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4CD8E">
      <w:pPr>
        <w:pStyle w:val="3"/>
        <w:spacing w:line="360" w:lineRule="auto"/>
        <w:rPr>
          <w:rFonts w:hint="eastAsia" w:ascii="仿宋" w:hAnsi="仿宋" w:eastAsia="仿宋" w:cs="仿宋"/>
          <w:sz w:val="24"/>
          <w:szCs w:val="21"/>
          <w:highlight w:val="none"/>
          <w:lang w:eastAsia="zh-CN"/>
        </w:rPr>
      </w:pPr>
      <w:r>
        <w:rPr>
          <w:rFonts w:hint="eastAsia" w:ascii="仿宋" w:hAnsi="仿宋" w:eastAsia="仿宋" w:cs="仿宋"/>
          <w:sz w:val="24"/>
          <w:szCs w:val="21"/>
          <w:highlight w:val="none"/>
        </w:rPr>
        <w:t>中国银行股份有限公司【</w:t>
      </w:r>
      <w:r>
        <w:rPr>
          <w:rFonts w:hint="eastAsia" w:ascii="仿宋" w:hAnsi="仿宋" w:eastAsia="仿宋" w:cs="仿宋"/>
          <w:sz w:val="24"/>
          <w:szCs w:val="21"/>
          <w:highlight w:val="none"/>
          <w:lang w:eastAsia="zh-CN"/>
        </w:rPr>
        <w:t>泉州分行</w:t>
      </w:r>
      <w:r>
        <w:rPr>
          <w:rFonts w:hint="eastAsia" w:ascii="仿宋" w:hAnsi="仿宋" w:eastAsia="仿宋" w:cs="仿宋"/>
          <w:sz w:val="24"/>
          <w:szCs w:val="21"/>
          <w:highlight w:val="none"/>
        </w:rPr>
        <w:t>】</w:t>
      </w:r>
      <w:r>
        <w:rPr>
          <w:rFonts w:hint="eastAsia" w:ascii="仿宋" w:hAnsi="仿宋" w:eastAsia="仿宋" w:cs="仿宋"/>
          <w:sz w:val="24"/>
          <w:szCs w:val="21"/>
          <w:highlight w:val="none"/>
          <w:lang w:eastAsia="zh-CN"/>
        </w:rPr>
        <w:t>2026-2027年法律服务项目</w:t>
      </w:r>
    </w:p>
    <w:p w14:paraId="74BC785E">
      <w:pPr>
        <w:pStyle w:val="3"/>
        <w:spacing w:line="360" w:lineRule="auto"/>
        <w:rPr>
          <w:rFonts w:hint="eastAsia" w:ascii="仿宋" w:hAnsi="仿宋" w:eastAsia="仿宋" w:cs="Times New Roman"/>
          <w:sz w:val="24"/>
          <w:highlight w:val="none"/>
          <w:lang w:eastAsia="zh-CN"/>
        </w:rPr>
      </w:pPr>
      <w:bookmarkStart w:id="94" w:name="_GoBack"/>
      <w:bookmarkEnd w:id="94"/>
      <w:r>
        <w:rPr>
          <w:rFonts w:hint="eastAsia" w:ascii="仿宋" w:hAnsi="仿宋" w:eastAsia="仿宋" w:cs="Times New Roman"/>
          <w:sz w:val="24"/>
          <w:highlight w:val="none"/>
          <w:lang w:eastAsia="zh-CN"/>
        </w:rPr>
        <w:t>采购邀请公告</w:t>
      </w:r>
    </w:p>
    <w:p w14:paraId="547DBBCF">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u w:val="single"/>
          <w:lang w:val="en-US" w:eastAsia="zh-CN"/>
        </w:rPr>
        <w:t>福建省中通通信有限公司</w:t>
      </w:r>
      <w:r>
        <w:rPr>
          <w:rFonts w:hint="eastAsia" w:ascii="仿宋" w:hAnsi="仿宋" w:eastAsia="仿宋" w:cs="仿宋"/>
          <w:sz w:val="24"/>
          <w:szCs w:val="21"/>
          <w:highlight w:val="none"/>
          <w:u w:val="single"/>
        </w:rPr>
        <w:t>（</w:t>
      </w:r>
      <w:r>
        <w:rPr>
          <w:rFonts w:hint="eastAsia" w:ascii="仿宋" w:hAnsi="仿宋" w:eastAsia="仿宋" w:cs="仿宋"/>
          <w:sz w:val="24"/>
          <w:szCs w:val="21"/>
          <w:highlight w:val="none"/>
          <w:u w:val="single"/>
          <w:lang w:val="en-US" w:eastAsia="zh-CN"/>
        </w:rPr>
        <w:t>采购</w:t>
      </w:r>
      <w:r>
        <w:rPr>
          <w:rFonts w:hint="eastAsia" w:ascii="仿宋" w:hAnsi="仿宋" w:eastAsia="仿宋" w:cs="仿宋"/>
          <w:sz w:val="24"/>
          <w:szCs w:val="21"/>
          <w:highlight w:val="none"/>
          <w:u w:val="single"/>
        </w:rPr>
        <w:t>代理机构）</w:t>
      </w:r>
      <w:r>
        <w:rPr>
          <w:rFonts w:hint="eastAsia" w:ascii="仿宋" w:hAnsi="仿宋" w:eastAsia="仿宋" w:cs="仿宋"/>
          <w:sz w:val="24"/>
          <w:szCs w:val="21"/>
          <w:highlight w:val="none"/>
        </w:rPr>
        <w:t>受</w:t>
      </w:r>
      <w:r>
        <w:rPr>
          <w:rFonts w:hint="eastAsia" w:ascii="仿宋" w:hAnsi="仿宋" w:eastAsia="仿宋" w:cs="仿宋"/>
          <w:sz w:val="24"/>
          <w:szCs w:val="21"/>
          <w:highlight w:val="none"/>
          <w:u w:val="single"/>
        </w:rPr>
        <w:t>中国银行股份有限公司</w:t>
      </w:r>
      <w:r>
        <w:rPr>
          <w:rFonts w:hint="eastAsia" w:ascii="仿宋" w:hAnsi="仿宋" w:eastAsia="仿宋" w:cs="仿宋"/>
          <w:color w:val="000000"/>
          <w:sz w:val="24"/>
          <w:szCs w:val="21"/>
          <w:highlight w:val="none"/>
          <w:u w:val="single"/>
        </w:rPr>
        <w:t>（以下简称“中国银行”）</w:t>
      </w:r>
      <w:r>
        <w:rPr>
          <w:rFonts w:hint="eastAsia" w:ascii="仿宋" w:hAnsi="仿宋" w:eastAsia="仿宋" w:cs="仿宋"/>
          <w:sz w:val="24"/>
          <w:szCs w:val="21"/>
          <w:highlight w:val="none"/>
          <w:u w:val="single"/>
        </w:rPr>
        <w:t>【</w:t>
      </w:r>
      <w:r>
        <w:rPr>
          <w:rFonts w:hint="eastAsia" w:ascii="仿宋" w:hAnsi="仿宋" w:eastAsia="仿宋" w:cs="仿宋"/>
          <w:sz w:val="24"/>
          <w:szCs w:val="21"/>
          <w:highlight w:val="none"/>
          <w:u w:val="single"/>
          <w:lang w:eastAsia="zh-CN"/>
        </w:rPr>
        <w:t>泉州分行</w:t>
      </w:r>
      <w:r>
        <w:rPr>
          <w:rFonts w:hint="eastAsia" w:ascii="仿宋" w:hAnsi="仿宋" w:eastAsia="仿宋" w:cs="仿宋"/>
          <w:sz w:val="24"/>
          <w:szCs w:val="21"/>
          <w:highlight w:val="none"/>
          <w:u w:val="single"/>
        </w:rPr>
        <w:t>】</w:t>
      </w:r>
      <w:r>
        <w:rPr>
          <w:rFonts w:hint="eastAsia" w:ascii="仿宋" w:hAnsi="仿宋" w:eastAsia="仿宋" w:cs="仿宋"/>
          <w:sz w:val="24"/>
          <w:szCs w:val="21"/>
          <w:highlight w:val="none"/>
        </w:rPr>
        <w:t>委托，就中国银行股份有限公司【</w:t>
      </w:r>
      <w:r>
        <w:rPr>
          <w:rFonts w:hint="eastAsia" w:ascii="仿宋" w:hAnsi="仿宋" w:eastAsia="仿宋" w:cs="仿宋"/>
          <w:sz w:val="24"/>
          <w:szCs w:val="21"/>
          <w:highlight w:val="none"/>
          <w:lang w:eastAsia="zh-CN"/>
        </w:rPr>
        <w:t>泉州分行</w:t>
      </w:r>
      <w:r>
        <w:rPr>
          <w:rFonts w:hint="eastAsia" w:ascii="仿宋" w:hAnsi="仿宋" w:eastAsia="仿宋" w:cs="仿宋"/>
          <w:sz w:val="24"/>
          <w:szCs w:val="21"/>
          <w:highlight w:val="none"/>
        </w:rPr>
        <w:t>】</w:t>
      </w:r>
      <w:r>
        <w:rPr>
          <w:rFonts w:hint="eastAsia" w:ascii="仿宋" w:hAnsi="仿宋" w:eastAsia="仿宋" w:cs="仿宋"/>
          <w:sz w:val="24"/>
          <w:szCs w:val="21"/>
          <w:highlight w:val="none"/>
          <w:lang w:eastAsia="zh-CN"/>
        </w:rPr>
        <w:t>2026-2027年法律服务项目</w:t>
      </w:r>
      <w:r>
        <w:rPr>
          <w:rFonts w:hint="eastAsia" w:ascii="仿宋" w:hAnsi="仿宋" w:eastAsia="仿宋" w:cs="仿宋"/>
          <w:sz w:val="24"/>
          <w:szCs w:val="21"/>
          <w:highlight w:val="none"/>
        </w:rPr>
        <w:t>进行采购。</w:t>
      </w:r>
    </w:p>
    <w:p w14:paraId="5EBA0664">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default"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邀请对象：</w:t>
      </w:r>
    </w:p>
    <w:p w14:paraId="1B003F8D">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bookmarkStart w:id="0" w:name="_Toc291713012"/>
      <w:bookmarkStart w:id="1" w:name="_Toc290394152"/>
      <w:bookmarkStart w:id="2" w:name="_Toc347770456"/>
      <w:bookmarkStart w:id="3" w:name="_Toc148111094"/>
      <w:bookmarkStart w:id="4" w:name="_Toc325969561"/>
      <w:bookmarkStart w:id="5" w:name="_Toc347771166"/>
      <w:bookmarkStart w:id="6" w:name="_Toc301955535"/>
      <w:bookmarkStart w:id="7" w:name="_Toc290647040"/>
      <w:bookmarkStart w:id="8" w:name="_Toc302465644"/>
      <w:bookmarkStart w:id="9" w:name="_Toc325969675"/>
      <w:bookmarkStart w:id="10" w:name="_Toc149224042"/>
      <w:bookmarkStart w:id="11" w:name="_Toc148110988"/>
      <w:bookmarkStart w:id="12" w:name="_Toc290841259"/>
      <w:bookmarkStart w:id="13" w:name="_Toc293927365"/>
      <w:bookmarkStart w:id="14" w:name="_Toc277169284"/>
      <w:bookmarkStart w:id="15" w:name="_Toc383529018"/>
      <w:bookmarkStart w:id="16" w:name="_Toc303850098"/>
      <w:bookmarkStart w:id="17" w:name="_Toc325969413"/>
      <w:r>
        <w:rPr>
          <w:rFonts w:hint="eastAsia" w:ascii="仿宋" w:hAnsi="仿宋" w:eastAsia="仿宋" w:cs="仿宋"/>
          <w:b/>
          <w:bCs/>
          <w:sz w:val="24"/>
          <w:szCs w:val="21"/>
          <w:highlight w:val="none"/>
        </w:rPr>
        <w:t>项目名称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仿宋" w:hAnsi="仿宋" w:eastAsia="仿宋" w:cs="仿宋"/>
          <w:b/>
          <w:bCs/>
          <w:sz w:val="24"/>
          <w:szCs w:val="21"/>
          <w:highlight w:val="none"/>
        </w:rPr>
        <w:t>：</w:t>
      </w:r>
    </w:p>
    <w:p w14:paraId="3E2C2C13">
      <w:pPr>
        <w:pageBreakBefore w:val="0"/>
        <w:shd w:val="clear"/>
        <w:kinsoku/>
        <w:wordWrap w:val="0"/>
        <w:overflowPunct/>
        <w:bidi w:val="0"/>
        <w:spacing w:line="240" w:lineRule="auto"/>
        <w:ind w:right="-286" w:rightChars="-136" w:firstLine="480" w:firstLineChars="200"/>
        <w:rPr>
          <w:rFonts w:hint="eastAsia" w:ascii="仿宋" w:hAnsi="仿宋" w:eastAsia="仿宋" w:cs="仿宋"/>
          <w:sz w:val="24"/>
          <w:szCs w:val="21"/>
          <w:highlight w:val="none"/>
        </w:rPr>
      </w:pPr>
      <w:r>
        <w:rPr>
          <w:rFonts w:hint="eastAsia" w:ascii="仿宋" w:hAnsi="仿宋" w:eastAsia="仿宋" w:cs="仿宋"/>
          <w:sz w:val="24"/>
          <w:szCs w:val="21"/>
          <w:highlight w:val="none"/>
        </w:rPr>
        <w:t>中国银行股份有限公司【</w:t>
      </w:r>
      <w:r>
        <w:rPr>
          <w:rFonts w:hint="eastAsia" w:ascii="仿宋" w:hAnsi="仿宋" w:eastAsia="仿宋" w:cs="仿宋"/>
          <w:sz w:val="24"/>
          <w:szCs w:val="21"/>
          <w:highlight w:val="none"/>
          <w:lang w:eastAsia="zh-CN"/>
        </w:rPr>
        <w:t>泉州分行</w:t>
      </w:r>
      <w:r>
        <w:rPr>
          <w:rFonts w:hint="eastAsia" w:ascii="仿宋" w:hAnsi="仿宋" w:eastAsia="仿宋" w:cs="仿宋"/>
          <w:sz w:val="24"/>
          <w:szCs w:val="21"/>
          <w:highlight w:val="none"/>
        </w:rPr>
        <w:t>】</w:t>
      </w:r>
      <w:r>
        <w:rPr>
          <w:rFonts w:hint="eastAsia" w:ascii="仿宋" w:hAnsi="仿宋" w:eastAsia="仿宋" w:cs="仿宋"/>
          <w:sz w:val="24"/>
          <w:szCs w:val="21"/>
          <w:highlight w:val="none"/>
          <w:lang w:eastAsia="zh-CN"/>
        </w:rPr>
        <w:t>2026-2027年法律服务项目</w:t>
      </w:r>
    </w:p>
    <w:p w14:paraId="133240AA">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bookmarkStart w:id="18" w:name="_Toc149224043"/>
      <w:bookmarkStart w:id="19" w:name="_Toc290841260"/>
      <w:bookmarkStart w:id="20" w:name="_Toc347770457"/>
      <w:bookmarkStart w:id="21" w:name="_Toc303850099"/>
      <w:bookmarkStart w:id="22" w:name="_Toc148111095"/>
      <w:bookmarkStart w:id="23" w:name="_Toc302465645"/>
      <w:bookmarkStart w:id="24" w:name="_Toc290647041"/>
      <w:bookmarkStart w:id="25" w:name="_Toc383529019"/>
      <w:bookmarkStart w:id="26" w:name="_Toc293927366"/>
      <w:bookmarkStart w:id="27" w:name="_Toc325969676"/>
      <w:bookmarkStart w:id="28" w:name="_Toc291713013"/>
      <w:bookmarkStart w:id="29" w:name="_Toc148110989"/>
      <w:bookmarkStart w:id="30" w:name="_Toc301955536"/>
      <w:bookmarkStart w:id="31" w:name="_Toc325969562"/>
      <w:bookmarkStart w:id="32" w:name="_Toc325969414"/>
      <w:bookmarkStart w:id="33" w:name="_Toc290394153"/>
      <w:bookmarkStart w:id="34" w:name="_Toc347771167"/>
      <w:bookmarkStart w:id="35" w:name="_Toc277169285"/>
      <w:r>
        <w:rPr>
          <w:rFonts w:hint="eastAsia" w:ascii="仿宋" w:hAnsi="仿宋" w:eastAsia="仿宋" w:cs="仿宋"/>
          <w:b/>
          <w:bCs/>
          <w:sz w:val="24"/>
          <w:szCs w:val="21"/>
          <w:highlight w:val="none"/>
        </w:rPr>
        <w:t>项目编号</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仿宋" w:hAnsi="仿宋" w:eastAsia="仿宋" w:cs="仿宋"/>
          <w:b/>
          <w:bCs/>
          <w:sz w:val="24"/>
          <w:szCs w:val="21"/>
          <w:highlight w:val="none"/>
        </w:rPr>
        <w:t>：</w:t>
      </w:r>
    </w:p>
    <w:p w14:paraId="47294E3E">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sz w:val="24"/>
          <w:szCs w:val="21"/>
          <w:highlight w:val="none"/>
          <w:lang w:eastAsia="zh-CN"/>
        </w:rPr>
      </w:pPr>
      <w:bookmarkStart w:id="36" w:name="_Toc325969563"/>
      <w:bookmarkStart w:id="37" w:name="_Toc290841261"/>
      <w:bookmarkStart w:id="38" w:name="_Toc302465646"/>
      <w:bookmarkStart w:id="39" w:name="_Toc301955537"/>
      <w:bookmarkStart w:id="40" w:name="_Toc347770458"/>
      <w:bookmarkStart w:id="41" w:name="_Toc293927367"/>
      <w:bookmarkStart w:id="42" w:name="_Toc290647042"/>
      <w:bookmarkStart w:id="43" w:name="_Toc325969677"/>
      <w:bookmarkStart w:id="44" w:name="_Toc325969415"/>
      <w:bookmarkStart w:id="45" w:name="_Toc383529020"/>
      <w:bookmarkStart w:id="46" w:name="_Toc303850100"/>
      <w:bookmarkStart w:id="47" w:name="_Toc277169286"/>
      <w:bookmarkStart w:id="48" w:name="_Toc290394154"/>
      <w:bookmarkStart w:id="49" w:name="_Toc347771168"/>
      <w:bookmarkStart w:id="50" w:name="_Toc291713014"/>
      <w:bookmarkStart w:id="51" w:name="_Toc149224045"/>
      <w:bookmarkStart w:id="52" w:name="_Toc148110991"/>
      <w:bookmarkStart w:id="53" w:name="_Toc148111097"/>
      <w:r>
        <w:rPr>
          <w:rFonts w:hint="eastAsia" w:ascii="仿宋" w:hAnsi="仿宋" w:eastAsia="仿宋" w:cs="仿宋"/>
          <w:b w:val="0"/>
          <w:bCs/>
          <w:sz w:val="24"/>
          <w:szCs w:val="21"/>
          <w:highlight w:val="none"/>
          <w:lang w:eastAsia="zh-CN"/>
        </w:rPr>
        <w:t>FJZT-2026-11628</w:t>
      </w: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1F74C5FD">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项目情况</w:t>
      </w:r>
      <w:bookmarkEnd w:id="51"/>
      <w:bookmarkEnd w:id="52"/>
      <w:bookmarkEnd w:id="53"/>
      <w:r>
        <w:rPr>
          <w:rFonts w:hint="eastAsia" w:ascii="仿宋" w:hAnsi="仿宋" w:eastAsia="仿宋" w:cs="仿宋"/>
          <w:b/>
          <w:bCs/>
          <w:sz w:val="24"/>
          <w:szCs w:val="21"/>
          <w:highlight w:val="none"/>
        </w:rPr>
        <w:t>：</w:t>
      </w:r>
    </w:p>
    <w:p w14:paraId="30CB50DC">
      <w:pPr>
        <w:keepNext w:val="0"/>
        <w:keepLines w:val="0"/>
        <w:pageBreakBefore w:val="0"/>
        <w:widowControl w:val="0"/>
        <w:numPr>
          <w:ilvl w:val="0"/>
          <w:numId w:val="3"/>
        </w:numPr>
        <w:shd w:val="clear"/>
        <w:kinsoku/>
        <w:wordWrap w:val="0"/>
        <w:overflowPunct/>
        <w:topLinePunct w:val="0"/>
        <w:autoSpaceDE/>
        <w:autoSpaceDN/>
        <w:bidi w:val="0"/>
        <w:adjustRightInd/>
        <w:snapToGrid/>
        <w:spacing w:line="360" w:lineRule="auto"/>
        <w:ind w:firstLine="482" w:firstLineChars="200"/>
        <w:textAlignment w:val="auto"/>
        <w:rPr>
          <w:rFonts w:hint="eastAsia" w:ascii="仿宋" w:hAnsi="仿宋" w:eastAsia="仿宋" w:cs="Times New Roman"/>
          <w:b/>
          <w:bCs/>
          <w:sz w:val="24"/>
          <w:szCs w:val="21"/>
          <w:highlight w:val="none"/>
        </w:rPr>
      </w:pPr>
      <w:r>
        <w:rPr>
          <w:rFonts w:hint="eastAsia" w:ascii="仿宋" w:hAnsi="仿宋" w:eastAsia="仿宋" w:cs="Times New Roman"/>
          <w:b/>
          <w:bCs/>
          <w:sz w:val="24"/>
          <w:szCs w:val="21"/>
          <w:highlight w:val="none"/>
        </w:rPr>
        <w:t>采购内容：</w:t>
      </w:r>
    </w:p>
    <w:tbl>
      <w:tblPr>
        <w:tblStyle w:val="8"/>
        <w:tblW w:w="4999" w:type="pct"/>
        <w:tblInd w:w="0" w:type="dxa"/>
        <w:tblLayout w:type="autofit"/>
        <w:tblCellMar>
          <w:top w:w="0" w:type="dxa"/>
          <w:left w:w="108" w:type="dxa"/>
          <w:bottom w:w="0" w:type="dxa"/>
          <w:right w:w="108" w:type="dxa"/>
        </w:tblCellMar>
      </w:tblPr>
      <w:tblGrid>
        <w:gridCol w:w="1502"/>
        <w:gridCol w:w="2378"/>
        <w:gridCol w:w="382"/>
        <w:gridCol w:w="2081"/>
        <w:gridCol w:w="2177"/>
      </w:tblGrid>
      <w:tr w14:paraId="3CCDB3B9">
        <w:tblPrEx>
          <w:tblCellMar>
            <w:top w:w="0" w:type="dxa"/>
            <w:left w:w="108" w:type="dxa"/>
            <w:bottom w:w="0" w:type="dxa"/>
            <w:right w:w="108" w:type="dxa"/>
          </w:tblCellMar>
        </w:tblPrEx>
        <w:trPr>
          <w:trHeight w:val="885" w:hRule="atLeast"/>
        </w:trPr>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2913">
            <w:pPr>
              <w:keepNext w:val="0"/>
              <w:keepLines w:val="0"/>
              <w:widowControl/>
              <w:suppressLineNumbers w:val="0"/>
              <w:spacing w:before="0" w:beforeAutospacing="0" w:after="0" w:afterAutospacing="0"/>
              <w:ind w:left="0" w:right="0" w:firstLine="542" w:firstLineChars="300"/>
              <w:textAlignment w:val="center"/>
              <w:rPr>
                <w:rFonts w:hint="eastAsia" w:ascii="宋体" w:hAnsi="宋体" w:eastAsia="宋体" w:cs="宋体"/>
                <w:b/>
                <w:bCs/>
                <w:color w:val="auto"/>
                <w:sz w:val="18"/>
                <w:szCs w:val="18"/>
                <w:lang w:eastAsia="zh-CN"/>
              </w:rPr>
            </w:pPr>
            <w:r>
              <w:rPr>
                <w:rFonts w:hint="eastAsia" w:ascii="宋体" w:hAnsi="宋体" w:eastAsia="宋体" w:cs="宋体"/>
                <w:b/>
                <w:bCs/>
                <w:color w:val="auto"/>
                <w:kern w:val="0"/>
                <w:sz w:val="18"/>
                <w:szCs w:val="18"/>
                <w:lang w:val="en-US" w:eastAsia="zh-CN" w:bidi="ar"/>
              </w:rPr>
              <w:t>序号</w:t>
            </w:r>
          </w:p>
        </w:tc>
        <w:tc>
          <w:tcPr>
            <w:tcW w:w="28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FE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bidi="ar"/>
              </w:rPr>
              <w:t>服务项目</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2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kern w:val="0"/>
                <w:sz w:val="18"/>
                <w:szCs w:val="18"/>
                <w:lang w:bidi="ar"/>
              </w:rPr>
            </w:pPr>
            <w:r>
              <w:rPr>
                <w:rFonts w:hint="eastAsia" w:ascii="仿宋" w:hAnsi="仿宋" w:eastAsia="仿宋" w:cs="仿宋"/>
                <w:kern w:val="0"/>
                <w:sz w:val="24"/>
                <w:szCs w:val="24"/>
                <w:highlight w:val="none"/>
                <w:lang w:val="en-US" w:eastAsia="zh-CN"/>
              </w:rPr>
              <w:t>最高限价【元/件(含税)人民币】</w:t>
            </w:r>
          </w:p>
        </w:tc>
      </w:tr>
      <w:tr w14:paraId="04E4E1E4">
        <w:tblPrEx>
          <w:tblCellMar>
            <w:top w:w="0" w:type="dxa"/>
            <w:left w:w="108" w:type="dxa"/>
            <w:bottom w:w="0" w:type="dxa"/>
            <w:right w:w="108" w:type="dxa"/>
          </w:tblCellMar>
        </w:tblPrEx>
        <w:trPr>
          <w:trHeight w:val="585" w:hRule="atLeast"/>
        </w:trPr>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DF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FF"/>
                <w:kern w:val="0"/>
                <w:sz w:val="18"/>
                <w:szCs w:val="18"/>
                <w:lang w:val="en-US" w:eastAsia="zh-CN" w:bidi="ar"/>
              </w:rPr>
            </w:pPr>
            <w:r>
              <w:rPr>
                <w:rFonts w:hint="eastAsia" w:ascii="宋体" w:hAnsi="宋体" w:eastAsia="宋体" w:cs="宋体"/>
                <w:color w:val="auto"/>
                <w:kern w:val="0"/>
                <w:sz w:val="18"/>
                <w:szCs w:val="18"/>
                <w:lang w:val="en-US" w:eastAsia="zh-CN" w:bidi="ar"/>
              </w:rPr>
              <w:t>1</w:t>
            </w:r>
          </w:p>
        </w:tc>
        <w:tc>
          <w:tcPr>
            <w:tcW w:w="28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C0DF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0000FF"/>
                <w:sz w:val="18"/>
                <w:szCs w:val="18"/>
              </w:rPr>
            </w:pPr>
            <w:r>
              <w:rPr>
                <w:rFonts w:hint="eastAsia" w:ascii="宋体" w:hAnsi="宋体" w:eastAsia="宋体" w:cs="宋体"/>
                <w:color w:val="auto"/>
                <w:sz w:val="18"/>
                <w:szCs w:val="18"/>
              </w:rPr>
              <w:t>消费金融与信用卡条线个人信用类贷款诉讼案件</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91280CF">
            <w:pPr>
              <w:keepNext w:val="0"/>
              <w:keepLines w:val="0"/>
              <w:widowControl/>
              <w:suppressLineNumbers w:val="0"/>
              <w:jc w:val="center"/>
              <w:textAlignment w:val="bottom"/>
              <w:rPr>
                <w:rFonts w:hint="eastAsia" w:ascii="宋体" w:hAnsi="宋体" w:eastAsia="宋体" w:cs="宋体"/>
                <w:color w:val="0000FF"/>
                <w:kern w:val="0"/>
                <w:sz w:val="18"/>
                <w:szCs w:val="18"/>
                <w:lang w:val="en-US" w:eastAsia="zh-CN" w:bidi="ar"/>
              </w:rPr>
            </w:pPr>
            <w:r>
              <w:rPr>
                <w:rFonts w:hint="eastAsia" w:ascii="宋体" w:hAnsi="宋体" w:eastAsia="宋体" w:cs="宋体"/>
                <w:i w:val="0"/>
                <w:iCs w:val="0"/>
                <w:color w:val="000000"/>
                <w:kern w:val="0"/>
                <w:sz w:val="22"/>
                <w:szCs w:val="22"/>
                <w:u w:val="none"/>
                <w:lang w:val="en-US" w:eastAsia="zh-CN" w:bidi="ar"/>
              </w:rPr>
              <w:t>1200.00</w:t>
            </w:r>
          </w:p>
        </w:tc>
      </w:tr>
      <w:tr w14:paraId="50265392">
        <w:tblPrEx>
          <w:tblCellMar>
            <w:top w:w="0" w:type="dxa"/>
            <w:left w:w="108" w:type="dxa"/>
            <w:bottom w:w="0" w:type="dxa"/>
            <w:right w:w="108" w:type="dxa"/>
          </w:tblCellMar>
        </w:tblPrEx>
        <w:trPr>
          <w:trHeight w:val="585" w:hRule="atLeast"/>
        </w:trPr>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A04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val="en-US" w:eastAsia="zh-CN" w:bidi="ar"/>
              </w:rPr>
              <w:t>2</w:t>
            </w:r>
          </w:p>
        </w:tc>
        <w:tc>
          <w:tcPr>
            <w:tcW w:w="28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0990B">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普惠金融条线个人信用类贷款诉讼案件</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24C661B">
            <w:pPr>
              <w:keepNext w:val="0"/>
              <w:keepLines w:val="0"/>
              <w:widowControl/>
              <w:suppressLineNumbers w:val="0"/>
              <w:jc w:val="center"/>
              <w:textAlignment w:val="bottom"/>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22"/>
                <w:szCs w:val="22"/>
                <w:u w:val="none"/>
                <w:lang w:val="en-US" w:eastAsia="zh-CN" w:bidi="ar"/>
              </w:rPr>
              <w:t>2500.00</w:t>
            </w:r>
          </w:p>
        </w:tc>
      </w:tr>
      <w:tr w14:paraId="4AD6B84B">
        <w:tblPrEx>
          <w:tblCellMar>
            <w:top w:w="0" w:type="dxa"/>
            <w:left w:w="108" w:type="dxa"/>
            <w:bottom w:w="0" w:type="dxa"/>
            <w:right w:w="108" w:type="dxa"/>
          </w:tblCellMar>
        </w:tblPrEx>
        <w:trPr>
          <w:trHeight w:val="870" w:hRule="atLeast"/>
        </w:trPr>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2DE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1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CD6A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highlight w:val="none"/>
                <w:lang w:val="en-US" w:eastAsia="zh-CN" w:bidi="ar"/>
              </w:rPr>
              <w:t>除个人信用类的民事诉讼类案件</w:t>
            </w: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4A7D90">
            <w:pPr>
              <w:numPr>
                <w:ilvl w:val="0"/>
                <w:numId w:val="0"/>
              </w:numPr>
              <w:spacing w:line="460" w:lineRule="exact"/>
              <w:ind w:left="0" w:leftChars="0" w:firstLine="0" w:firstLineChars="0"/>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标的在50万元（含）之内的</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4805FD5">
            <w:pPr>
              <w:keepNext w:val="0"/>
              <w:keepLines w:val="0"/>
              <w:widowControl/>
              <w:suppressLineNumbers w:val="0"/>
              <w:jc w:val="center"/>
              <w:textAlignment w:val="bottom"/>
              <w:rPr>
                <w:rFonts w:hint="eastAsia" w:ascii="宋体" w:hAnsi="宋体" w:eastAsia="宋体" w:cs="宋体"/>
                <w:color w:val="auto"/>
                <w:kern w:val="0"/>
                <w:sz w:val="18"/>
                <w:szCs w:val="18"/>
                <w:lang w:bidi="ar"/>
              </w:rPr>
            </w:pPr>
            <w:r>
              <w:rPr>
                <w:rFonts w:hint="eastAsia" w:ascii="宋体" w:hAnsi="宋体" w:eastAsia="宋体" w:cs="宋体"/>
                <w:i w:val="0"/>
                <w:iCs w:val="0"/>
                <w:color w:val="000000"/>
                <w:kern w:val="0"/>
                <w:sz w:val="22"/>
                <w:szCs w:val="22"/>
                <w:u w:val="none"/>
                <w:lang w:val="en-US" w:eastAsia="zh-CN" w:bidi="ar"/>
              </w:rPr>
              <w:t>3000.00</w:t>
            </w:r>
          </w:p>
        </w:tc>
      </w:tr>
      <w:tr w14:paraId="59FCE170">
        <w:tblPrEx>
          <w:tblCellMar>
            <w:top w:w="0" w:type="dxa"/>
            <w:left w:w="108" w:type="dxa"/>
            <w:bottom w:w="0" w:type="dxa"/>
            <w:right w:w="108" w:type="dxa"/>
          </w:tblCellMar>
        </w:tblPrEx>
        <w:trPr>
          <w:trHeight w:val="585" w:hRule="atLeast"/>
        </w:trPr>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B05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1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DD6D1">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rPr>
            </w:pP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EAABA9">
            <w:pPr>
              <w:numPr>
                <w:ilvl w:val="0"/>
                <w:numId w:val="0"/>
              </w:numPr>
              <w:spacing w:line="460" w:lineRule="exact"/>
              <w:ind w:left="0" w:leftChars="0" w:firstLine="0" w:firstLineChars="0"/>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标的在50万元至100万元（含）之间</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5F88CF5">
            <w:pPr>
              <w:keepNext w:val="0"/>
              <w:keepLines w:val="0"/>
              <w:widowControl/>
              <w:suppressLineNumbers w:val="0"/>
              <w:jc w:val="center"/>
              <w:textAlignment w:val="bottom"/>
              <w:rPr>
                <w:rFonts w:hint="eastAsia" w:ascii="宋体" w:hAnsi="宋体" w:eastAsia="宋体" w:cs="宋体"/>
                <w:color w:val="auto"/>
                <w:kern w:val="0"/>
                <w:sz w:val="18"/>
                <w:szCs w:val="18"/>
                <w:lang w:bidi="ar"/>
              </w:rPr>
            </w:pPr>
            <w:r>
              <w:rPr>
                <w:rFonts w:hint="eastAsia" w:ascii="宋体" w:hAnsi="宋体" w:eastAsia="宋体" w:cs="宋体"/>
                <w:i w:val="0"/>
                <w:iCs w:val="0"/>
                <w:color w:val="000000"/>
                <w:kern w:val="0"/>
                <w:sz w:val="22"/>
                <w:szCs w:val="22"/>
                <w:u w:val="none"/>
                <w:lang w:val="en-US" w:eastAsia="zh-CN" w:bidi="ar"/>
              </w:rPr>
              <w:t>5000.00</w:t>
            </w:r>
          </w:p>
        </w:tc>
      </w:tr>
      <w:tr w14:paraId="730D3C42">
        <w:tblPrEx>
          <w:tblCellMar>
            <w:top w:w="0" w:type="dxa"/>
            <w:left w:w="108" w:type="dxa"/>
            <w:bottom w:w="0" w:type="dxa"/>
            <w:right w:w="108" w:type="dxa"/>
          </w:tblCellMar>
        </w:tblPrEx>
        <w:trPr>
          <w:trHeight w:val="585" w:hRule="atLeast"/>
        </w:trPr>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C70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p>
        </w:tc>
        <w:tc>
          <w:tcPr>
            <w:tcW w:w="1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41700">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rPr>
            </w:pP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FE9EF4">
            <w:pPr>
              <w:numPr>
                <w:ilvl w:val="0"/>
                <w:numId w:val="0"/>
              </w:numPr>
              <w:spacing w:line="460" w:lineRule="exact"/>
              <w:ind w:left="0" w:leftChars="0" w:firstLine="0" w:firstLineChars="0"/>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标的在100万元至500万元（含）之间</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85E85C2">
            <w:pPr>
              <w:keepNext w:val="0"/>
              <w:keepLines w:val="0"/>
              <w:widowControl/>
              <w:suppressLineNumbers w:val="0"/>
              <w:jc w:val="center"/>
              <w:textAlignment w:val="bottom"/>
              <w:rPr>
                <w:rFonts w:hint="eastAsia" w:ascii="宋体" w:hAnsi="宋体" w:eastAsia="宋体" w:cs="宋体"/>
                <w:color w:val="auto"/>
                <w:kern w:val="0"/>
                <w:sz w:val="18"/>
                <w:szCs w:val="18"/>
                <w:lang w:bidi="ar"/>
              </w:rPr>
            </w:pPr>
            <w:r>
              <w:rPr>
                <w:rFonts w:hint="eastAsia" w:ascii="宋体" w:hAnsi="宋体" w:eastAsia="宋体" w:cs="宋体"/>
                <w:i w:val="0"/>
                <w:iCs w:val="0"/>
                <w:color w:val="000000"/>
                <w:kern w:val="0"/>
                <w:sz w:val="22"/>
                <w:szCs w:val="22"/>
                <w:u w:val="none"/>
                <w:lang w:val="en-US" w:eastAsia="zh-CN" w:bidi="ar"/>
              </w:rPr>
              <w:t>7000.00</w:t>
            </w:r>
          </w:p>
        </w:tc>
      </w:tr>
      <w:tr w14:paraId="64CC821F">
        <w:tblPrEx>
          <w:tblCellMar>
            <w:top w:w="0" w:type="dxa"/>
            <w:left w:w="108" w:type="dxa"/>
            <w:bottom w:w="0" w:type="dxa"/>
            <w:right w:w="108" w:type="dxa"/>
          </w:tblCellMar>
        </w:tblPrEx>
        <w:trPr>
          <w:trHeight w:val="585" w:hRule="atLeast"/>
        </w:trPr>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5BF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w:t>
            </w:r>
          </w:p>
        </w:tc>
        <w:tc>
          <w:tcPr>
            <w:tcW w:w="1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74CC">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rPr>
            </w:pP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A6F303">
            <w:pPr>
              <w:numPr>
                <w:ilvl w:val="0"/>
                <w:numId w:val="0"/>
              </w:numPr>
              <w:spacing w:line="460" w:lineRule="exact"/>
              <w:ind w:left="0" w:leftChars="0" w:firstLine="0" w:firstLineChars="0"/>
              <w:jc w:val="center"/>
              <w:rPr>
                <w:rFonts w:hint="eastAsia" w:ascii="宋体" w:hAnsi="宋体" w:eastAsia="宋体" w:cs="宋体"/>
                <w:color w:val="auto"/>
                <w:kern w:val="0"/>
                <w:sz w:val="18"/>
                <w:szCs w:val="18"/>
                <w:lang w:bidi="ar"/>
              </w:rPr>
            </w:pPr>
            <w:r>
              <w:rPr>
                <w:rFonts w:hint="eastAsia" w:ascii="宋体" w:hAnsi="宋体" w:eastAsia="宋体" w:cs="宋体"/>
                <w:color w:val="auto"/>
                <w:sz w:val="18"/>
                <w:szCs w:val="18"/>
                <w:lang w:val="en-US" w:eastAsia="zh-CN"/>
              </w:rPr>
              <w:t>标的在500万元至1000万元（含）之间</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D6B160">
            <w:pPr>
              <w:keepNext w:val="0"/>
              <w:keepLines w:val="0"/>
              <w:widowControl/>
              <w:suppressLineNumbers w:val="0"/>
              <w:jc w:val="center"/>
              <w:textAlignment w:val="bottom"/>
              <w:rPr>
                <w:rFonts w:hint="eastAsia" w:ascii="宋体" w:hAnsi="宋体" w:eastAsia="宋体" w:cs="宋体"/>
                <w:color w:val="auto"/>
                <w:kern w:val="0"/>
                <w:sz w:val="18"/>
                <w:szCs w:val="18"/>
                <w:lang w:bidi="ar"/>
              </w:rPr>
            </w:pPr>
            <w:r>
              <w:rPr>
                <w:rFonts w:hint="eastAsia" w:ascii="宋体" w:hAnsi="宋体" w:eastAsia="宋体" w:cs="宋体"/>
                <w:i w:val="0"/>
                <w:iCs w:val="0"/>
                <w:color w:val="000000"/>
                <w:kern w:val="0"/>
                <w:sz w:val="22"/>
                <w:szCs w:val="22"/>
                <w:u w:val="none"/>
                <w:lang w:val="en-US" w:eastAsia="zh-CN" w:bidi="ar"/>
              </w:rPr>
              <w:t>9000.00</w:t>
            </w:r>
          </w:p>
        </w:tc>
      </w:tr>
      <w:tr w14:paraId="3E2BCE96">
        <w:tblPrEx>
          <w:tblCellMar>
            <w:top w:w="0" w:type="dxa"/>
            <w:left w:w="108" w:type="dxa"/>
            <w:bottom w:w="0" w:type="dxa"/>
            <w:right w:w="108" w:type="dxa"/>
          </w:tblCellMar>
        </w:tblPrEx>
        <w:trPr>
          <w:trHeight w:val="585" w:hRule="atLeast"/>
        </w:trPr>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6176">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w:t>
            </w:r>
          </w:p>
        </w:tc>
        <w:tc>
          <w:tcPr>
            <w:tcW w:w="1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DD6D0">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rPr>
            </w:pP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0EB8AB">
            <w:pPr>
              <w:numPr>
                <w:ilvl w:val="0"/>
                <w:numId w:val="0"/>
              </w:numPr>
              <w:spacing w:line="460" w:lineRule="exact"/>
              <w:ind w:left="0" w:leftChars="0" w:firstLine="0" w:firstLineChars="0"/>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标的在1000万元以上</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86BE408">
            <w:pPr>
              <w:keepNext w:val="0"/>
              <w:keepLines w:val="0"/>
              <w:widowControl/>
              <w:suppressLineNumbers w:val="0"/>
              <w:jc w:val="center"/>
              <w:textAlignment w:val="bottom"/>
              <w:rPr>
                <w:rFonts w:hint="eastAsia" w:ascii="宋体" w:hAnsi="宋体" w:eastAsia="宋体" w:cs="宋体"/>
                <w:color w:val="auto"/>
                <w:kern w:val="0"/>
                <w:sz w:val="18"/>
                <w:szCs w:val="18"/>
                <w:lang w:bidi="ar"/>
              </w:rPr>
            </w:pPr>
            <w:r>
              <w:rPr>
                <w:rFonts w:hint="eastAsia" w:ascii="宋体" w:hAnsi="宋体" w:eastAsia="宋体" w:cs="宋体"/>
                <w:i w:val="0"/>
                <w:iCs w:val="0"/>
                <w:color w:val="000000"/>
                <w:kern w:val="0"/>
                <w:sz w:val="22"/>
                <w:szCs w:val="22"/>
                <w:u w:val="none"/>
                <w:lang w:val="en-US" w:eastAsia="zh-CN" w:bidi="ar"/>
              </w:rPr>
              <w:t>11000.00</w:t>
            </w:r>
          </w:p>
        </w:tc>
      </w:tr>
      <w:tr w14:paraId="29F07E6A">
        <w:tblPrEx>
          <w:tblCellMar>
            <w:top w:w="0" w:type="dxa"/>
            <w:left w:w="108" w:type="dxa"/>
            <w:bottom w:w="0" w:type="dxa"/>
            <w:right w:w="108" w:type="dxa"/>
          </w:tblCellMar>
        </w:tblPrEx>
        <w:trPr>
          <w:trHeight w:val="585" w:hRule="atLeast"/>
        </w:trPr>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9AF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8</w:t>
            </w:r>
          </w:p>
        </w:tc>
        <w:tc>
          <w:tcPr>
            <w:tcW w:w="28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DE135">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出具律师函（向违约客户）</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2AD974D">
            <w:pPr>
              <w:keepNext w:val="0"/>
              <w:keepLines w:val="0"/>
              <w:widowControl/>
              <w:suppressLineNumbers w:val="0"/>
              <w:jc w:val="center"/>
              <w:textAlignment w:val="bottom"/>
              <w:rPr>
                <w:rFonts w:hint="eastAsia" w:ascii="宋体" w:hAnsi="宋体" w:eastAsia="宋体" w:cs="宋体"/>
                <w:color w:val="0000FF"/>
                <w:kern w:val="0"/>
                <w:sz w:val="18"/>
                <w:szCs w:val="18"/>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r>
      <w:tr w14:paraId="046BC760">
        <w:tblPrEx>
          <w:tblCellMar>
            <w:top w:w="0" w:type="dxa"/>
            <w:left w:w="108" w:type="dxa"/>
            <w:bottom w:w="0" w:type="dxa"/>
            <w:right w:w="108" w:type="dxa"/>
          </w:tblCellMar>
        </w:tblPrEx>
        <w:trPr>
          <w:trHeight w:val="585" w:hRule="atLeast"/>
        </w:trPr>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7E79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9</w:t>
            </w:r>
          </w:p>
        </w:tc>
        <w:tc>
          <w:tcPr>
            <w:tcW w:w="28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02DD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18"/>
                <w:szCs w:val="18"/>
                <w:lang w:val="en-US" w:eastAsia="zh-CN"/>
              </w:rPr>
            </w:pPr>
            <w:r>
              <w:rPr>
                <w:rFonts w:hint="eastAsia" w:ascii="Calibri" w:hAnsi="Calibri" w:eastAsia="宋体" w:cs="Times New Roman"/>
                <w:szCs w:val="22"/>
                <w:lang w:val="en-US" w:eastAsia="zh-CN"/>
              </w:rPr>
              <w:t>非诉法律咨询费</w:t>
            </w:r>
            <w:r>
              <w:rPr>
                <w:rFonts w:hint="eastAsia" w:ascii="Calibri" w:hAnsi="Calibri" w:eastAsia="宋体" w:cs="Times New Roman"/>
                <w:szCs w:val="22"/>
                <w:highlight w:val="yellow"/>
                <w:lang w:val="en-US" w:eastAsia="zh-CN"/>
              </w:rPr>
              <w:t>（总额不超过3万元/年/家）</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66B925A">
            <w:pPr>
              <w:keepNext w:val="0"/>
              <w:keepLines w:val="0"/>
              <w:widowControl/>
              <w:suppressLineNumbers w:val="0"/>
              <w:jc w:val="center"/>
              <w:textAlignment w:val="bottom"/>
              <w:rPr>
                <w:rFonts w:hint="eastAsia" w:ascii="宋体" w:hAnsi="宋体" w:eastAsia="宋体" w:cs="宋体"/>
                <w:color w:val="0000FF"/>
                <w:kern w:val="0"/>
                <w:sz w:val="18"/>
                <w:szCs w:val="18"/>
                <w:lang w:val="en-US" w:eastAsia="zh-CN" w:bidi="ar"/>
              </w:rPr>
            </w:pPr>
            <w:r>
              <w:rPr>
                <w:rFonts w:hint="eastAsia" w:ascii="宋体" w:hAnsi="宋体" w:eastAsia="宋体" w:cs="宋体"/>
                <w:i w:val="0"/>
                <w:iCs w:val="0"/>
                <w:color w:val="000000"/>
                <w:kern w:val="0"/>
                <w:sz w:val="22"/>
                <w:szCs w:val="22"/>
                <w:u w:val="none"/>
                <w:lang w:val="en-US" w:eastAsia="zh-CN" w:bidi="ar"/>
              </w:rPr>
              <w:t>150.00</w:t>
            </w:r>
          </w:p>
        </w:tc>
      </w:tr>
      <w:tr w14:paraId="1F19CA5B">
        <w:tblPrEx>
          <w:tblCellMar>
            <w:top w:w="0" w:type="dxa"/>
            <w:left w:w="108" w:type="dxa"/>
            <w:bottom w:w="0" w:type="dxa"/>
            <w:right w:w="108" w:type="dxa"/>
          </w:tblCellMar>
        </w:tblPrEx>
        <w:trPr>
          <w:trHeight w:val="600" w:hRule="atLeast"/>
        </w:trPr>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51F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10</w:t>
            </w:r>
          </w:p>
        </w:tc>
        <w:tc>
          <w:tcPr>
            <w:tcW w:w="16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4CF6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尽职调查费【包含往返途中的差旅费（含交通、住宿和伙食等）】</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top"/>
          </w:tcPr>
          <w:p w14:paraId="7BD15421">
            <w:pPr>
              <w:numPr>
                <w:ilvl w:val="0"/>
                <w:numId w:val="0"/>
              </w:numPr>
              <w:spacing w:line="460" w:lineRule="exact"/>
              <w:ind w:left="0" w:leftChars="0"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调查区域仅在本市</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6549721">
            <w:pPr>
              <w:keepNext w:val="0"/>
              <w:keepLines w:val="0"/>
              <w:widowControl/>
              <w:suppressLineNumbers w:val="0"/>
              <w:jc w:val="center"/>
              <w:textAlignment w:val="bottom"/>
              <w:rPr>
                <w:rFonts w:hint="default"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22"/>
                <w:szCs w:val="22"/>
                <w:u w:val="none"/>
                <w:lang w:val="en-US" w:eastAsia="zh-CN" w:bidi="ar"/>
              </w:rPr>
              <w:t>5000.00</w:t>
            </w:r>
          </w:p>
        </w:tc>
      </w:tr>
      <w:tr w14:paraId="2AC36411">
        <w:tblPrEx>
          <w:tblCellMar>
            <w:top w:w="0" w:type="dxa"/>
            <w:left w:w="108" w:type="dxa"/>
            <w:bottom w:w="0" w:type="dxa"/>
            <w:right w:w="108" w:type="dxa"/>
          </w:tblCellMar>
        </w:tblPrEx>
        <w:trPr>
          <w:trHeight w:val="855" w:hRule="atLeast"/>
        </w:trPr>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CF7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1</w:t>
            </w:r>
          </w:p>
        </w:tc>
        <w:tc>
          <w:tcPr>
            <w:tcW w:w="1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1D5EB">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rPr>
            </w:pP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top"/>
          </w:tcPr>
          <w:p w14:paraId="7EAA5317">
            <w:pPr>
              <w:numPr>
                <w:ilvl w:val="0"/>
                <w:numId w:val="0"/>
              </w:numPr>
              <w:spacing w:line="460" w:lineRule="exact"/>
              <w:ind w:left="0" w:leftChars="0"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调查区域涉及省内其他地市</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5AF5C56">
            <w:pPr>
              <w:keepNext w:val="0"/>
              <w:keepLines w:val="0"/>
              <w:widowControl/>
              <w:suppressLineNumbers w:val="0"/>
              <w:jc w:val="center"/>
              <w:textAlignment w:val="bottom"/>
              <w:rPr>
                <w:rFonts w:hint="default"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22"/>
                <w:szCs w:val="22"/>
                <w:u w:val="none"/>
                <w:lang w:val="en-US" w:eastAsia="zh-CN" w:bidi="ar"/>
              </w:rPr>
              <w:t>7500.00</w:t>
            </w:r>
          </w:p>
        </w:tc>
      </w:tr>
      <w:tr w14:paraId="419F14B2">
        <w:tblPrEx>
          <w:tblCellMar>
            <w:top w:w="0" w:type="dxa"/>
            <w:left w:w="108" w:type="dxa"/>
            <w:bottom w:w="0" w:type="dxa"/>
            <w:right w:w="108" w:type="dxa"/>
          </w:tblCellMar>
        </w:tblPrEx>
        <w:trPr>
          <w:trHeight w:val="570" w:hRule="atLeast"/>
        </w:trPr>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DB25">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2</w:t>
            </w:r>
          </w:p>
        </w:tc>
        <w:tc>
          <w:tcPr>
            <w:tcW w:w="16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E7847">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rPr>
            </w:pP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top"/>
          </w:tcPr>
          <w:p w14:paraId="6DFE8191">
            <w:pPr>
              <w:numPr>
                <w:ilvl w:val="0"/>
                <w:numId w:val="0"/>
              </w:numPr>
              <w:spacing w:line="460" w:lineRule="exact"/>
              <w:ind w:left="0" w:leftChars="0"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调查区域涉及省外</w:t>
            </w:r>
          </w:p>
        </w:tc>
        <w:tc>
          <w:tcPr>
            <w:tcW w:w="127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8B33A53">
            <w:pPr>
              <w:keepNext w:val="0"/>
              <w:keepLines w:val="0"/>
              <w:widowControl/>
              <w:suppressLineNumbers w:val="0"/>
              <w:jc w:val="center"/>
              <w:textAlignment w:val="bottom"/>
              <w:rPr>
                <w:rFonts w:hint="default"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22"/>
                <w:szCs w:val="22"/>
                <w:u w:val="none"/>
                <w:lang w:val="en-US" w:eastAsia="zh-CN" w:bidi="ar"/>
              </w:rPr>
              <w:t>10000.00</w:t>
            </w:r>
          </w:p>
        </w:tc>
      </w:tr>
    </w:tbl>
    <w:p w14:paraId="394D9E0E">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具体内容详见采购邀请文件第四部分《采购需求书》。</w:t>
      </w:r>
    </w:p>
    <w:p w14:paraId="7AC0337D">
      <w:pPr>
        <w:keepNext w:val="0"/>
        <w:keepLines w:val="0"/>
        <w:pageBreakBefore w:val="0"/>
        <w:widowControl w:val="0"/>
        <w:numPr>
          <w:ilvl w:val="0"/>
          <w:numId w:val="4"/>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标包划分：不划分标包。</w:t>
      </w:r>
    </w:p>
    <w:p w14:paraId="172636C4">
      <w:pPr>
        <w:keepNext w:val="0"/>
        <w:keepLines w:val="0"/>
        <w:pageBreakBefore w:val="0"/>
        <w:widowControl w:val="0"/>
        <w:numPr>
          <w:ilvl w:val="0"/>
          <w:numId w:val="4"/>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应答缺漏项处理：</w:t>
      </w:r>
    </w:p>
    <w:p w14:paraId="3F5B78F3">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rPr>
        <w:t>供应商须对本项目所有采购内容进行应答及报价，否则其应答将被拒绝。</w:t>
      </w:r>
    </w:p>
    <w:p w14:paraId="0B08B290">
      <w:pPr>
        <w:keepNext w:val="0"/>
        <w:keepLines w:val="0"/>
        <w:pageBreakBefore w:val="0"/>
        <w:widowControl w:val="0"/>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□其他情形</w:t>
      </w:r>
    </w:p>
    <w:p w14:paraId="26E0C9F3">
      <w:pPr>
        <w:keepNext w:val="0"/>
        <w:keepLines w:val="0"/>
        <w:pageBreakBefore w:val="0"/>
        <w:widowControl w:val="0"/>
        <w:numPr>
          <w:ilvl w:val="0"/>
          <w:numId w:val="4"/>
        </w:numPr>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授予合同/入围供应商数量：</w:t>
      </w:r>
    </w:p>
    <w:p w14:paraId="1D3EF481">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1"/>
          <w:highlight w:val="none"/>
        </w:rPr>
        <w:t>【</w:t>
      </w:r>
      <w:r>
        <w:rPr>
          <w:rFonts w:hint="eastAsia" w:ascii="仿宋" w:hAnsi="仿宋" w:eastAsia="仿宋" w:cs="仿宋"/>
          <w:sz w:val="24"/>
          <w:szCs w:val="24"/>
          <w:highlight w:val="none"/>
          <w:lang w:val="en-US" w:eastAsia="zh-CN"/>
        </w:rPr>
        <w:t>（1）当初步评审后有效供应商数量≥【6】个时，授予合同/入围供应商数量为【3】个，按排名顺序承接比例分别为40%、35%、25%】</w:t>
      </w:r>
    </w:p>
    <w:p w14:paraId="33B068CD">
      <w:pPr>
        <w:keepNext w:val="0"/>
        <w:keepLines w:val="0"/>
        <w:pageBreakBefore w:val="0"/>
        <w:widowControl w:val="0"/>
        <w:numPr>
          <w:ilvl w:val="0"/>
          <w:numId w:val="5"/>
        </w:numPr>
        <w:shd w:val="clear"/>
        <w:kinsoku/>
        <w:wordWrap w:val="0"/>
        <w:overflowPunct/>
        <w:topLinePunct w:val="0"/>
        <w:autoSpaceDE/>
        <w:autoSpaceDN/>
        <w:bidi w:val="0"/>
        <w:adjustRightInd/>
        <w:snapToGrid/>
        <w:spacing w:after="0" w:line="240" w:lineRule="auto"/>
        <w:ind w:left="420" w:leftChars="200"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4"/>
          <w:highlight w:val="none"/>
          <w:lang w:val="en-US" w:eastAsia="zh-CN" w:bidi="ar-SA"/>
        </w:rPr>
        <w:t>当初步评审后有效供应商数量≥【4】个时，授予合同/入围供应商数量为【2】个，按排名顺序承接比例分别为60%、40%；</w:t>
      </w:r>
    </w:p>
    <w:p w14:paraId="2420BEE5">
      <w:pPr>
        <w:keepNext w:val="0"/>
        <w:keepLines w:val="0"/>
        <w:pageBreakBefore w:val="0"/>
        <w:widowControl w:val="0"/>
        <w:numPr>
          <w:ilvl w:val="0"/>
          <w:numId w:val="5"/>
        </w:numPr>
        <w:shd w:val="clear"/>
        <w:kinsoku/>
        <w:wordWrap w:val="0"/>
        <w:overflowPunct/>
        <w:topLinePunct w:val="0"/>
        <w:autoSpaceDE/>
        <w:autoSpaceDN/>
        <w:bidi w:val="0"/>
        <w:adjustRightInd/>
        <w:snapToGrid/>
        <w:spacing w:after="0" w:line="240" w:lineRule="auto"/>
        <w:ind w:left="420" w:leftChars="200"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4"/>
          <w:highlight w:val="none"/>
          <w:lang w:val="en-US" w:eastAsia="zh-CN" w:bidi="ar-SA"/>
        </w:rPr>
        <w:t>初步评审后有效供应商数量不得</w:t>
      </w:r>
      <w:r>
        <w:rPr>
          <w:rFonts w:hint="default" w:ascii="Arial" w:hAnsi="Arial" w:eastAsia="仿宋" w:cs="Arial"/>
          <w:kern w:val="2"/>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t>【3】。</w:t>
      </w:r>
    </w:p>
    <w:p w14:paraId="6C10EF88">
      <w:pPr>
        <w:keepNext w:val="0"/>
        <w:keepLines w:val="0"/>
        <w:pageBreakBefore w:val="0"/>
        <w:widowControl w:val="0"/>
        <w:numPr>
          <w:ilvl w:val="0"/>
          <w:numId w:val="4"/>
        </w:numPr>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预估规模：【1800000.00】元（含税）【其中：消费金融与信用卡条线97万元、普惠条线65万元、公司条线9万元、法规条线9万元】,具体详见（一）采购内容。</w:t>
      </w:r>
    </w:p>
    <w:p w14:paraId="0E7B4875">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w:t>
      </w:r>
      <w:r>
        <w:rPr>
          <w:rFonts w:hint="eastAsia" w:ascii="仿宋" w:hAnsi="仿宋" w:eastAsia="仿宋" w:cs="仿宋"/>
          <w:sz w:val="24"/>
          <w:szCs w:val="24"/>
          <w:highlight w:val="none"/>
          <w:lang w:val="en-US" w:eastAsia="zh-CN"/>
        </w:rPr>
        <w:t>服务期：1年</w:t>
      </w:r>
      <w:r>
        <w:rPr>
          <w:rFonts w:hint="eastAsia" w:ascii="仿宋" w:hAnsi="仿宋" w:eastAsia="仿宋" w:cs="仿宋"/>
          <w:sz w:val="24"/>
          <w:szCs w:val="21"/>
          <w:highlight w:val="none"/>
        </w:rPr>
        <w:t>】</w:t>
      </w:r>
    </w:p>
    <w:p w14:paraId="3497FB41">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w:t>
      </w:r>
      <w:r>
        <w:rPr>
          <w:rFonts w:hint="eastAsia" w:ascii="仿宋" w:hAnsi="仿宋" w:eastAsia="仿宋" w:cs="仿宋"/>
          <w:sz w:val="24"/>
          <w:szCs w:val="24"/>
          <w:highlight w:val="none"/>
          <w:lang w:val="en-US" w:eastAsia="zh-CN"/>
        </w:rPr>
        <w:t>项目地点：</w:t>
      </w:r>
      <w:r>
        <w:rPr>
          <w:rFonts w:hint="eastAsia" w:ascii="仿宋" w:hAnsi="仿宋" w:eastAsia="仿宋" w:cs="仿宋"/>
          <w:color w:val="auto"/>
          <w:kern w:val="2"/>
          <w:sz w:val="24"/>
          <w:szCs w:val="24"/>
          <w:highlight w:val="none"/>
          <w:lang w:val="en-US" w:eastAsia="zh-CN" w:bidi="ar-SA"/>
        </w:rPr>
        <w:t>泉州市丰泽街215号中银大厦</w:t>
      </w:r>
      <w:r>
        <w:rPr>
          <w:rFonts w:hint="eastAsia" w:ascii="仿宋" w:hAnsi="仿宋" w:eastAsia="仿宋" w:cs="仿宋"/>
          <w:sz w:val="24"/>
          <w:szCs w:val="21"/>
          <w:highlight w:val="none"/>
        </w:rPr>
        <w:t>】</w:t>
      </w:r>
    </w:p>
    <w:p w14:paraId="26710E08">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w:t>
      </w: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Hans"/>
        </w:rPr>
        <w:t>最</w:t>
      </w:r>
      <w:r>
        <w:rPr>
          <w:rFonts w:hint="eastAsia" w:ascii="仿宋" w:hAnsi="仿宋" w:eastAsia="仿宋" w:cs="仿宋"/>
          <w:sz w:val="24"/>
          <w:szCs w:val="24"/>
          <w:highlight w:val="none"/>
        </w:rPr>
        <w:t>高</w:t>
      </w:r>
      <w:r>
        <w:rPr>
          <w:rFonts w:hint="eastAsia" w:ascii="仿宋" w:hAnsi="仿宋" w:eastAsia="仿宋" w:cs="仿宋"/>
          <w:sz w:val="24"/>
          <w:szCs w:val="24"/>
          <w:highlight w:val="none"/>
          <w:lang w:val="en-US" w:eastAsia="zh-CN"/>
        </w:rPr>
        <w:t>响应报</w:t>
      </w:r>
      <w:r>
        <w:rPr>
          <w:rFonts w:hint="eastAsia" w:ascii="仿宋" w:hAnsi="仿宋" w:eastAsia="仿宋" w:cs="仿宋"/>
          <w:sz w:val="24"/>
          <w:szCs w:val="24"/>
          <w:highlight w:val="none"/>
        </w:rPr>
        <w:t>价【</w:t>
      </w:r>
      <w:r>
        <w:rPr>
          <w:rFonts w:hint="eastAsia" w:ascii="仿宋" w:hAnsi="仿宋" w:eastAsia="仿宋" w:cs="仿宋"/>
          <w:kern w:val="0"/>
          <w:sz w:val="24"/>
          <w:szCs w:val="24"/>
          <w:highlight w:val="none"/>
          <w:lang w:val="en-US" w:eastAsia="zh-CN"/>
        </w:rPr>
        <w:t>详见采购内容</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应答人应答</w:t>
      </w:r>
      <w:r>
        <w:rPr>
          <w:rFonts w:hint="eastAsia" w:ascii="仿宋" w:hAnsi="仿宋" w:eastAsia="仿宋" w:cs="仿宋"/>
          <w:sz w:val="24"/>
          <w:szCs w:val="24"/>
          <w:highlight w:val="none"/>
        </w:rPr>
        <w:t>报价高于最高</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限价的，其</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将被否决</w:t>
      </w:r>
      <w:r>
        <w:rPr>
          <w:rFonts w:hint="eastAsia" w:ascii="仿宋" w:hAnsi="仿宋" w:eastAsia="仿宋" w:cs="仿宋"/>
          <w:sz w:val="24"/>
          <w:szCs w:val="21"/>
          <w:highlight w:val="none"/>
        </w:rPr>
        <w:t>】</w:t>
      </w:r>
    </w:p>
    <w:p w14:paraId="5043F14D">
      <w:pPr>
        <w:keepNext w:val="0"/>
        <w:keepLines w:val="0"/>
        <w:pageBreakBefore w:val="0"/>
        <w:widowControl w:val="0"/>
        <w:numPr>
          <w:ilvl w:val="0"/>
          <w:numId w:val="4"/>
        </w:numPr>
        <w:shd w:val="clear"/>
        <w:tabs>
          <w:tab w:val="left" w:pos="0"/>
          <w:tab w:val="left" w:pos="1260"/>
          <w:tab w:val="left" w:pos="144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【续签管理：】</w:t>
      </w:r>
    </w:p>
    <w:p w14:paraId="53CD5C7F">
      <w:pPr>
        <w:keepNext w:val="0"/>
        <w:keepLines w:val="0"/>
        <w:pageBreakBefore w:val="0"/>
        <w:widowControl w:val="0"/>
        <w:shd w:val="clear"/>
        <w:kinsoku/>
        <w:wordWrap w:val="0"/>
        <w:overflowPunct/>
        <w:topLinePunct w:val="0"/>
        <w:autoSpaceDE/>
        <w:autoSpaceDN/>
        <w:bidi w:val="0"/>
        <w:adjustRightInd/>
        <w:snapToGrid/>
        <w:spacing w:after="0" w:line="240" w:lineRule="auto"/>
        <w:ind w:firstLine="480" w:firstLineChars="200"/>
        <w:jc w:val="both"/>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w:t>
      </w:r>
      <w:r>
        <w:rPr>
          <w:rFonts w:hint="eastAsia" w:ascii="仿宋" w:hAnsi="仿宋" w:eastAsia="仿宋" w:cs="仿宋"/>
          <w:bCs/>
          <w:color w:val="000000"/>
          <w:kern w:val="2"/>
          <w:sz w:val="24"/>
          <w:szCs w:val="24"/>
          <w:highlight w:val="none"/>
          <w:lang w:val="en-US" w:eastAsia="zh-CN" w:bidi="ar-SA"/>
        </w:rPr>
        <w:t>本次采购价格有效期为X年/月。在价格有效期内，如采购人采购需求未发生实质变化的，中选供应商承诺按照本次中选价格提供服务。中选供应商的《续签承诺》</w:t>
      </w:r>
      <w:r>
        <w:rPr>
          <w:rFonts w:hint="eastAsia" w:ascii="仿宋" w:hAnsi="仿宋" w:eastAsia="仿宋" w:cs="仿宋"/>
          <w:color w:val="000000"/>
          <w:kern w:val="2"/>
          <w:sz w:val="24"/>
          <w:szCs w:val="24"/>
          <w:highlight w:val="none"/>
          <w:lang w:val="en-US" w:eastAsia="zh-CN" w:bidi="ar-SA"/>
        </w:rPr>
        <w:t>不视为采购人对供应商的后续采购承诺，采购人有权自主决定是否继续采购。</w:t>
      </w:r>
    </w:p>
    <w:p w14:paraId="5F9AEDC6">
      <w:pPr>
        <w:keepNext w:val="0"/>
        <w:keepLines w:val="0"/>
        <w:pageBreakBefore w:val="0"/>
        <w:widowControl w:val="0"/>
        <w:shd w:val="clear"/>
        <w:tabs>
          <w:tab w:val="left" w:pos="0"/>
          <w:tab w:val="left" w:pos="1260"/>
          <w:tab w:val="left" w:pos="1440"/>
        </w:tabs>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lang w:eastAsia="zh-CN"/>
        </w:rPr>
        <w:t>☑</w:t>
      </w:r>
      <w:r>
        <w:rPr>
          <w:rFonts w:hint="eastAsia" w:ascii="仿宋" w:hAnsi="仿宋" w:eastAsia="仿宋" w:cs="仿宋"/>
          <w:sz w:val="24"/>
          <w:szCs w:val="21"/>
          <w:highlight w:val="none"/>
        </w:rPr>
        <w:t>其他情形【</w:t>
      </w:r>
      <w:r>
        <w:rPr>
          <w:rFonts w:hint="eastAsia" w:ascii="仿宋" w:hAnsi="仿宋" w:eastAsia="仿宋" w:cs="仿宋"/>
          <w:sz w:val="24"/>
          <w:szCs w:val="21"/>
          <w:highlight w:val="none"/>
          <w:lang w:val="en-US" w:eastAsia="zh-CN"/>
        </w:rPr>
        <w:t>不涉及</w:t>
      </w:r>
      <w:r>
        <w:rPr>
          <w:rFonts w:hint="eastAsia" w:ascii="仿宋" w:hAnsi="仿宋" w:eastAsia="仿宋" w:cs="仿宋"/>
          <w:sz w:val="24"/>
          <w:szCs w:val="21"/>
          <w:highlight w:val="none"/>
        </w:rPr>
        <w:t>】</w:t>
      </w:r>
    </w:p>
    <w:p w14:paraId="3E09B9A1">
      <w:pPr>
        <w:keepNext w:val="0"/>
        <w:keepLines w:val="0"/>
        <w:pageBreakBefore w:val="0"/>
        <w:widowControl w:val="0"/>
        <w:numPr>
          <w:ilvl w:val="0"/>
          <w:numId w:val="3"/>
        </w:numPr>
        <w:shd w:val="clear"/>
        <w:kinsoku/>
        <w:wordWrap w:val="0"/>
        <w:overflowPunct/>
        <w:topLinePunct w:val="0"/>
        <w:autoSpaceDE/>
        <w:autoSpaceDN/>
        <w:bidi w:val="0"/>
        <w:adjustRightInd/>
        <w:snapToGrid/>
        <w:spacing w:line="360" w:lineRule="auto"/>
        <w:ind w:firstLine="482" w:firstLineChars="200"/>
        <w:textAlignment w:val="auto"/>
        <w:rPr>
          <w:rFonts w:hint="eastAsia" w:ascii="仿宋" w:hAnsi="仿宋" w:eastAsia="仿宋" w:cs="Times New Roman"/>
          <w:b/>
          <w:bCs/>
          <w:sz w:val="24"/>
          <w:szCs w:val="21"/>
          <w:highlight w:val="none"/>
        </w:rPr>
      </w:pPr>
      <w:r>
        <w:rPr>
          <w:rFonts w:hint="eastAsia" w:ascii="仿宋" w:hAnsi="仿宋" w:eastAsia="仿宋" w:cs="Times New Roman"/>
          <w:b/>
          <w:bCs/>
          <w:sz w:val="24"/>
          <w:szCs w:val="21"/>
          <w:highlight w:val="none"/>
        </w:rPr>
        <w:t>采购流程：</w:t>
      </w:r>
    </w:p>
    <w:p w14:paraId="5FB0CC29">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szCs w:val="21"/>
          <w:highlight w:val="none"/>
        </w:rPr>
      </w:pPr>
      <w:bookmarkStart w:id="54" w:name="_Toc325969678"/>
      <w:bookmarkStart w:id="55" w:name="_Toc302465647"/>
      <w:bookmarkStart w:id="56" w:name="_Toc290647043"/>
      <w:bookmarkStart w:id="57" w:name="_Toc325969416"/>
      <w:bookmarkStart w:id="58" w:name="_Toc383529021"/>
      <w:bookmarkStart w:id="59" w:name="_Toc277169287"/>
      <w:bookmarkStart w:id="60" w:name="_Toc303850101"/>
      <w:bookmarkStart w:id="61" w:name="_Toc347771169"/>
      <w:bookmarkStart w:id="62" w:name="_Toc291713015"/>
      <w:bookmarkStart w:id="63" w:name="_Toc290394155"/>
      <w:bookmarkStart w:id="64" w:name="_Toc293927368"/>
      <w:bookmarkStart w:id="65" w:name="_Toc290841262"/>
      <w:bookmarkStart w:id="66" w:name="_Toc325969564"/>
      <w:bookmarkStart w:id="67" w:name="_Toc301955538"/>
      <w:bookmarkStart w:id="68" w:name="_Toc347770459"/>
      <w:bookmarkStart w:id="69" w:name="_Toc148110992"/>
      <w:bookmarkStart w:id="70" w:name="_Toc148111098"/>
      <w:bookmarkStart w:id="71" w:name="_Toc149224046"/>
      <w:r>
        <w:rPr>
          <w:rFonts w:hint="eastAsia" w:ascii="仿宋" w:hAnsi="仿宋" w:eastAsia="仿宋" w:cs="仿宋"/>
          <w:bCs/>
          <w:color w:val="auto"/>
          <w:sz w:val="24"/>
          <w:szCs w:val="21"/>
          <w:highlight w:val="none"/>
        </w:rPr>
        <w:t>供应商须按规定参加谈判。谈判内容包括且不限于技术方案部分、服务部分、价格部分等。</w:t>
      </w:r>
    </w:p>
    <w:p w14:paraId="4430FBA2">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采购人将根据最终评审结果，确定</w:t>
      </w:r>
      <w:r>
        <w:rPr>
          <w:rFonts w:hint="eastAsia" w:ascii="仿宋" w:hAnsi="仿宋" w:eastAsia="仿宋" w:cs="仿宋"/>
          <w:bCs/>
          <w:color w:val="auto"/>
          <w:sz w:val="24"/>
          <w:szCs w:val="21"/>
          <w:highlight w:val="none"/>
          <w:lang w:val="en-US" w:eastAsia="zh-CN"/>
        </w:rPr>
        <w:t>2-3</w:t>
      </w:r>
      <w:r>
        <w:rPr>
          <w:rFonts w:hint="eastAsia" w:ascii="仿宋" w:hAnsi="仿宋" w:eastAsia="仿宋" w:cs="仿宋"/>
          <w:bCs/>
          <w:color w:val="auto"/>
          <w:sz w:val="24"/>
          <w:szCs w:val="21"/>
          <w:highlight w:val="none"/>
        </w:rPr>
        <w:t>名的拟授予合同供应商。如采购人今后政策发生变化或客观实际情况发生变化，采购人有权利单方面中止与供应商的合同。</w:t>
      </w:r>
    </w:p>
    <w:p w14:paraId="02E1F85A">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资格后审项目，通过最终资格审查的供应商数量符合下述条件时，才能进入后续详细评审，否则该项目终止采购流程：通过最终资格审查的供应商数量不少于</w:t>
      </w:r>
      <w:r>
        <w:rPr>
          <w:rFonts w:hint="eastAsia" w:ascii="仿宋" w:hAnsi="仿宋" w:eastAsia="仿宋" w:cs="仿宋"/>
          <w:bCs/>
          <w:color w:val="auto"/>
          <w:sz w:val="24"/>
          <w:szCs w:val="21"/>
          <w:highlight w:val="none"/>
          <w:lang w:val="en-US" w:eastAsia="zh-CN"/>
        </w:rPr>
        <w:t>3</w:t>
      </w:r>
      <w:r>
        <w:rPr>
          <w:rFonts w:hint="eastAsia" w:ascii="仿宋" w:hAnsi="仿宋" w:eastAsia="仿宋" w:cs="仿宋"/>
          <w:bCs/>
          <w:color w:val="auto"/>
          <w:sz w:val="24"/>
          <w:szCs w:val="21"/>
          <w:highlight w:val="none"/>
        </w:rPr>
        <w:t>家。</w:t>
      </w:r>
    </w:p>
    <w:p w14:paraId="579C67F9">
      <w:pPr>
        <w:keepNext w:val="0"/>
        <w:keepLines w:val="0"/>
        <w:pageBreakBefore w:val="0"/>
        <w:widowControl w:val="0"/>
        <w:shd w:val="clear"/>
        <w:kinsoku/>
        <w:wordWrap w:val="0"/>
        <w:overflowPunct/>
        <w:topLinePunct w:val="0"/>
        <w:autoSpaceDE/>
        <w:autoSpaceDN/>
        <w:bidi w:val="0"/>
        <w:adjustRightInd/>
        <w:snapToGrid/>
        <w:spacing w:after="0" w:line="240" w:lineRule="auto"/>
        <w:ind w:firstLine="480" w:firstLineChars="200"/>
        <w:jc w:val="left"/>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bCs/>
          <w:color w:val="auto"/>
          <w:kern w:val="2"/>
          <w:sz w:val="24"/>
          <w:szCs w:val="21"/>
          <w:highlight w:val="none"/>
          <w:lang w:val="en-US" w:eastAsia="zh-CN" w:bidi="ar-SA"/>
        </w:rPr>
        <w:t>注：如通过资格审查的供应商数量为3家，评审委员会须从项目情况、技术方案、报价等方面判断是否具备竞争性，并在评审报告中记录；如评审委员会未对上述情况进行分析记录，不得评审</w:t>
      </w:r>
      <w:r>
        <w:rPr>
          <w:rFonts w:hint="eastAsia" w:ascii="仿宋" w:hAnsi="仿宋" w:eastAsia="仿宋" w:cs="仿宋"/>
          <w:kern w:val="2"/>
          <w:sz w:val="24"/>
          <w:szCs w:val="21"/>
          <w:highlight w:val="none"/>
          <w:lang w:val="en-US" w:eastAsia="zh-CN" w:bidi="ar-SA"/>
        </w:rPr>
        <w:t>。</w:t>
      </w:r>
    </w:p>
    <w:p w14:paraId="3F06BEC9">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合格供应商的基本资质要求</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仿宋" w:hAnsi="仿宋" w:eastAsia="仿宋" w:cs="仿宋"/>
          <w:b/>
          <w:bCs/>
          <w:sz w:val="24"/>
          <w:szCs w:val="21"/>
          <w:highlight w:val="none"/>
        </w:rPr>
        <w:t xml:space="preserve"> （须同时满足）</w:t>
      </w:r>
      <w:bookmarkEnd w:id="69"/>
      <w:bookmarkEnd w:id="70"/>
      <w:bookmarkEnd w:id="71"/>
      <w:r>
        <w:rPr>
          <w:rFonts w:hint="eastAsia" w:ascii="仿宋" w:hAnsi="仿宋" w:eastAsia="仿宋" w:cs="仿宋"/>
          <w:b/>
          <w:bCs/>
          <w:sz w:val="24"/>
          <w:szCs w:val="21"/>
          <w:highlight w:val="none"/>
        </w:rPr>
        <w:t>：</w:t>
      </w:r>
    </w:p>
    <w:p w14:paraId="49DA5B63">
      <w:pPr>
        <w:keepNext w:val="0"/>
        <w:keepLines w:val="0"/>
        <w:pageBreakBefore w:val="0"/>
        <w:widowControl w:val="0"/>
        <w:numPr>
          <w:ilvl w:val="0"/>
          <w:numId w:val="6"/>
        </w:numPr>
        <w:shd w:val="clear"/>
        <w:tabs>
          <w:tab w:val="left" w:pos="0"/>
          <w:tab w:val="left" w:pos="1260"/>
          <w:tab w:val="left" w:pos="1440"/>
        </w:tabs>
        <w:kinsoku/>
        <w:wordWrap w:val="0"/>
        <w:overflowPunct/>
        <w:topLinePunct w:val="0"/>
        <w:autoSpaceDE/>
        <w:autoSpaceDN/>
        <w:bidi w:val="0"/>
        <w:adjustRightInd/>
        <w:snapToGrid/>
        <w:spacing w:line="360" w:lineRule="auto"/>
        <w:ind w:firstLine="482" w:firstLineChars="200"/>
        <w:textAlignment w:val="auto"/>
        <w:rPr>
          <w:rFonts w:hint="eastAsia" w:ascii="仿宋" w:hAnsi="仿宋" w:eastAsia="仿宋" w:cs="宋体"/>
          <w:b/>
          <w:bCs/>
          <w:sz w:val="24"/>
          <w:szCs w:val="21"/>
          <w:highlight w:val="none"/>
        </w:rPr>
      </w:pPr>
      <w:r>
        <w:rPr>
          <w:rFonts w:hint="eastAsia" w:ascii="仿宋" w:hAnsi="仿宋" w:eastAsia="仿宋" w:cs="宋体"/>
          <w:b/>
          <w:bCs/>
          <w:sz w:val="24"/>
          <w:szCs w:val="21"/>
          <w:highlight w:val="none"/>
        </w:rPr>
        <w:t>供应商及所报产品/服务的资质要求如下：</w:t>
      </w:r>
    </w:p>
    <w:p w14:paraId="5C52DDE0">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rPr>
        <w:t>供应商须具有独立承担民事责任的能力，遵守法律、法规，具有良好的商业信誉和健全的财务会计制度。</w:t>
      </w:r>
    </w:p>
    <w:p w14:paraId="276F1F1C">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1"/>
          <w:highlight w:val="none"/>
          <w:lang w:eastAsia="zh-CN"/>
        </w:rPr>
        <w:t>律所已纳入中国银行福建省分行外聘律师准入名单（泉州地区）。【</w:t>
      </w:r>
      <w:r>
        <w:rPr>
          <w:rFonts w:hint="eastAsia" w:ascii="仿宋" w:hAnsi="仿宋" w:eastAsia="仿宋" w:cs="仿宋"/>
          <w:sz w:val="24"/>
          <w:szCs w:val="21"/>
          <w:highlight w:val="none"/>
          <w:lang w:val="en-US" w:eastAsia="zh-CN"/>
        </w:rPr>
        <w:t>准入名单：北京盈科（泉州）律师事务所、福建建达（泉州）律师事务所、福建诺道律师事务所、福建顺济律师事务所、北京天驰君泰（泉州）律师事务所、福建信实（泉州）律师事务所、北京德恒（泉州）律师事务所</w:t>
      </w:r>
      <w:r>
        <w:rPr>
          <w:rFonts w:hint="eastAsia" w:ascii="仿宋" w:hAnsi="仿宋" w:eastAsia="仿宋" w:cs="仿宋"/>
          <w:sz w:val="24"/>
          <w:szCs w:val="21"/>
          <w:highlight w:val="none"/>
          <w:lang w:eastAsia="zh-CN"/>
        </w:rPr>
        <w:t>】。</w:t>
      </w:r>
    </w:p>
    <w:p w14:paraId="774C9EAD">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律所已通过司法行政机关最近一次考核，考核结果为合格。</w:t>
      </w:r>
    </w:p>
    <w:p w14:paraId="74B749C2">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供应商承诺律所近五年（2021年至今）未受过司法行政部门的行政处罚、律师协会的行业处分、银行同业公会不良行为通报或有其他违规违法等不良记录。</w:t>
      </w:r>
    </w:p>
    <w:p w14:paraId="12784291">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供应商承诺律所和律师不在我行律所限制名单内，在我行无被投诉记录或不良合作史,且不在供应商不良行为处罚期内。</w:t>
      </w:r>
    </w:p>
    <w:p w14:paraId="02B0CB32">
      <w:pPr>
        <w:keepNext w:val="0"/>
        <w:keepLines w:val="0"/>
        <w:pageBreakBefore w:val="0"/>
        <w:widowControl w:val="0"/>
        <w:numPr>
          <w:ilvl w:val="0"/>
          <w:numId w:val="7"/>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供应商承诺与我行不存在利益冲突。</w:t>
      </w:r>
    </w:p>
    <w:p w14:paraId="3CA95520">
      <w:pPr>
        <w:keepNext w:val="0"/>
        <w:keepLines w:val="0"/>
        <w:pageBreakBefore w:val="0"/>
        <w:widowControl w:val="0"/>
        <w:numPr>
          <w:ilvl w:val="0"/>
          <w:numId w:val="6"/>
        </w:numPr>
        <w:shd w:val="clear"/>
        <w:tabs>
          <w:tab w:val="left" w:pos="0"/>
          <w:tab w:val="left" w:pos="1260"/>
          <w:tab w:val="left" w:pos="1440"/>
        </w:tabs>
        <w:kinsoku/>
        <w:wordWrap w:val="0"/>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1"/>
          <w:highlight w:val="none"/>
        </w:rPr>
      </w:pPr>
      <w:r>
        <w:rPr>
          <w:rFonts w:hint="eastAsia" w:ascii="仿宋" w:hAnsi="仿宋" w:eastAsia="仿宋" w:cs="宋体"/>
          <w:b/>
          <w:bCs/>
          <w:sz w:val="24"/>
          <w:szCs w:val="21"/>
          <w:highlight w:val="none"/>
        </w:rPr>
        <w:t>其他必须满足的要求：</w:t>
      </w:r>
    </w:p>
    <w:p w14:paraId="45FFAFE6">
      <w:pPr>
        <w:keepNext w:val="0"/>
        <w:keepLines w:val="0"/>
        <w:pageBreakBefore w:val="0"/>
        <w:widowControl w:val="0"/>
        <w:numPr>
          <w:ilvl w:val="0"/>
          <w:numId w:val="8"/>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供应商须在法律和财务上独立、合法运作并独立于采购人和采购代理机构，不得直接或间接地与采购人为本项目所委托的咨询公司或其附属机构有任何关联。</w:t>
      </w:r>
    </w:p>
    <w:p w14:paraId="5B1BE0F0">
      <w:pPr>
        <w:keepNext w:val="0"/>
        <w:keepLines w:val="0"/>
        <w:pageBreakBefore w:val="0"/>
        <w:widowControl w:val="0"/>
        <w:numPr>
          <w:ilvl w:val="0"/>
          <w:numId w:val="8"/>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供应商须从采购人获得采购邀请文件并登记备案，否则不能参加本项目。</w:t>
      </w:r>
    </w:p>
    <w:p w14:paraId="61191D5C">
      <w:pPr>
        <w:keepNext w:val="0"/>
        <w:keepLines w:val="0"/>
        <w:pageBreakBefore w:val="0"/>
        <w:widowControl w:val="0"/>
        <w:numPr>
          <w:ilvl w:val="0"/>
          <w:numId w:val="8"/>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联合体：</w:t>
      </w:r>
    </w:p>
    <w:p w14:paraId="6814E1D1">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lang w:eastAsia="zh-CN"/>
        </w:rPr>
        <w:t>☑</w:t>
      </w:r>
      <w:r>
        <w:rPr>
          <w:rFonts w:hint="eastAsia" w:ascii="仿宋" w:hAnsi="仿宋" w:eastAsia="仿宋" w:cs="仿宋"/>
          <w:bCs/>
          <w:sz w:val="24"/>
          <w:szCs w:val="21"/>
          <w:highlight w:val="none"/>
        </w:rPr>
        <w:t>本项目不接受联合体</w:t>
      </w:r>
    </w:p>
    <w:p w14:paraId="482C2211">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□其他情形</w:t>
      </w:r>
    </w:p>
    <w:p w14:paraId="3DC7B84C">
      <w:pPr>
        <w:keepNext w:val="0"/>
        <w:keepLines w:val="0"/>
        <w:pageBreakBefore w:val="0"/>
        <w:widowControl w:val="0"/>
        <w:numPr>
          <w:ilvl w:val="0"/>
          <w:numId w:val="8"/>
        </w:numPr>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bCs/>
          <w:kern w:val="2"/>
          <w:sz w:val="24"/>
          <w:szCs w:val="21"/>
          <w:highlight w:val="none"/>
          <w:lang w:val="en-US" w:eastAsia="zh-CN" w:bidi="ar-SA"/>
        </w:rPr>
      </w:pPr>
      <w:r>
        <w:rPr>
          <w:rFonts w:hint="eastAsia" w:ascii="仿宋" w:hAnsi="仿宋" w:eastAsia="仿宋" w:cs="仿宋"/>
          <w:bCs/>
          <w:kern w:val="2"/>
          <w:sz w:val="24"/>
          <w:szCs w:val="21"/>
          <w:highlight w:val="none"/>
          <w:lang w:val="en-US" w:eastAsia="zh-CN" w:bidi="ar-SA"/>
        </w:rPr>
        <w:t>项目分包：</w:t>
      </w:r>
    </w:p>
    <w:p w14:paraId="7F570A1C">
      <w:pPr>
        <w:keepNext w:val="0"/>
        <w:keepLines w:val="0"/>
        <w:pageBreakBefore w:val="0"/>
        <w:widowControl w:val="0"/>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bCs/>
          <w:kern w:val="2"/>
          <w:sz w:val="24"/>
          <w:szCs w:val="21"/>
          <w:highlight w:val="none"/>
          <w:lang w:val="en-US" w:eastAsia="zh-CN" w:bidi="ar-SA"/>
        </w:rPr>
      </w:pPr>
      <w:r>
        <w:rPr>
          <w:rFonts w:hint="eastAsia" w:ascii="仿宋" w:hAnsi="仿宋" w:eastAsia="仿宋" w:cs="仿宋"/>
          <w:bCs/>
          <w:kern w:val="2"/>
          <w:sz w:val="24"/>
          <w:szCs w:val="21"/>
          <w:highlight w:val="none"/>
          <w:lang w:val="en-US" w:eastAsia="zh-CN" w:bidi="ar-SA"/>
        </w:rPr>
        <w:t>□未经采购人允许，供应商不得将本项目采购内容以任何方式进行分包。</w:t>
      </w:r>
    </w:p>
    <w:p w14:paraId="344E7C80">
      <w:pPr>
        <w:keepNext w:val="0"/>
        <w:keepLines w:val="0"/>
        <w:pageBreakBefore w:val="0"/>
        <w:widowControl w:val="0"/>
        <w:shd w:val="clear"/>
        <w:kinsoku/>
        <w:wordWrap w:val="0"/>
        <w:overflowPunct/>
        <w:topLinePunct w:val="0"/>
        <w:autoSpaceDE/>
        <w:autoSpaceDN/>
        <w:bidi w:val="0"/>
        <w:adjustRightInd/>
        <w:snapToGrid/>
        <w:spacing w:after="0" w:line="240" w:lineRule="auto"/>
        <w:ind w:left="0" w:leftChars="0" w:firstLine="480" w:firstLineChars="200"/>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bCs/>
          <w:kern w:val="2"/>
          <w:sz w:val="24"/>
          <w:szCs w:val="21"/>
          <w:highlight w:val="none"/>
          <w:lang w:val="en-US" w:eastAsia="zh-CN" w:bidi="ar-SA"/>
        </w:rPr>
        <w:t>☑供应商不得将本项目采购内容以任何方式进行分包。</w:t>
      </w:r>
    </w:p>
    <w:p w14:paraId="794F7107">
      <w:pPr>
        <w:keepNext w:val="0"/>
        <w:keepLines w:val="0"/>
        <w:pageBreakBefore w:val="0"/>
        <w:widowControl w:val="0"/>
        <w:numPr>
          <w:ilvl w:val="0"/>
          <w:numId w:val="8"/>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供应商不得将本项目采购内容以任何方式进行转包。</w:t>
      </w:r>
    </w:p>
    <w:p w14:paraId="5D1E84D9">
      <w:pPr>
        <w:keepNext w:val="0"/>
        <w:keepLines w:val="0"/>
        <w:pageBreakBefore w:val="0"/>
        <w:widowControl w:val="0"/>
        <w:numPr>
          <w:ilvl w:val="0"/>
          <w:numId w:val="8"/>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截至应答文件递交截止日（含）,供应商未被“信用中国”网站（http://www.creditchina.gov.cn）列入失信被执行人、重大税收违法失信主体和政府采购严重违法失信行为记录名单（供应商需按附件要求提供查询截图。评审委员会在谈判当日进行查询，如查询结果与应答文件不同，以评审委员会查询结果为准）。</w:t>
      </w:r>
    </w:p>
    <w:p w14:paraId="1AC10D4F">
      <w:pPr>
        <w:keepNext w:val="0"/>
        <w:keepLines w:val="0"/>
        <w:pageBreakBefore w:val="0"/>
        <w:widowControl w:val="0"/>
        <w:numPr>
          <w:ilvl w:val="0"/>
          <w:numId w:val="8"/>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Cs w:val="21"/>
          <w:highlight w:val="none"/>
        </w:rPr>
      </w:pPr>
      <w:r>
        <w:rPr>
          <w:rFonts w:hint="eastAsia" w:ascii="仿宋" w:hAnsi="仿宋" w:eastAsia="仿宋" w:cs="仿宋"/>
          <w:bCs/>
          <w:sz w:val="24"/>
          <w:szCs w:val="21"/>
          <w:highlight w:val="none"/>
        </w:rPr>
        <w:t>近3年（20</w:t>
      </w:r>
      <w:r>
        <w:rPr>
          <w:rFonts w:hint="eastAsia" w:ascii="仿宋" w:hAnsi="仿宋" w:eastAsia="仿宋" w:cs="仿宋"/>
          <w:bCs/>
          <w:sz w:val="24"/>
          <w:szCs w:val="21"/>
          <w:highlight w:val="none"/>
          <w:lang w:val="en-US" w:eastAsia="zh-CN"/>
        </w:rPr>
        <w:t>23</w:t>
      </w:r>
      <w:r>
        <w:rPr>
          <w:rFonts w:hint="eastAsia" w:ascii="仿宋" w:hAnsi="仿宋" w:eastAsia="仿宋" w:cs="仿宋"/>
          <w:bCs/>
          <w:sz w:val="24"/>
          <w:szCs w:val="21"/>
          <w:highlight w:val="none"/>
        </w:rPr>
        <w:t>年1月1日至应答文件递交截止日（含）止）</w:t>
      </w:r>
      <w:r>
        <w:rPr>
          <w:rFonts w:hint="eastAsia" w:ascii="仿宋" w:hAnsi="仿宋" w:eastAsia="仿宋" w:cs="仿宋"/>
          <w:bCs/>
          <w:sz w:val="24"/>
          <w:szCs w:val="21"/>
          <w:highlight w:val="none"/>
          <w:lang w:eastAsia="zh-CN"/>
        </w:rPr>
        <w:t>，</w:t>
      </w:r>
      <w:r>
        <w:rPr>
          <w:rFonts w:hint="eastAsia" w:ascii="仿宋" w:hAnsi="仿宋" w:eastAsia="仿宋" w:cs="仿宋"/>
          <w:bCs/>
          <w:sz w:val="24"/>
          <w:szCs w:val="21"/>
          <w:highlight w:val="none"/>
          <w:lang w:val="en-US" w:eastAsia="zh-CN"/>
        </w:rPr>
        <w:t>供应商</w:t>
      </w:r>
      <w:r>
        <w:rPr>
          <w:rFonts w:hint="eastAsia" w:ascii="仿宋" w:hAnsi="仿宋" w:eastAsia="仿宋" w:cs="仿宋"/>
          <w:bCs/>
          <w:sz w:val="24"/>
          <w:szCs w:val="21"/>
          <w:highlight w:val="none"/>
        </w:rPr>
        <w:t>经营活动中没有重大违法违规记录或涉及环境保护、劳动用工、消费者权益保护等方面的重大违法违规行为。重大违法违规，是指供应商因违法经营受到刑事处罚或者责令停产停业、吊销许可证或者执照、人民币200万元以上（含）的罚款等行政处罚。</w:t>
      </w:r>
    </w:p>
    <w:p w14:paraId="2F4CAAA2">
      <w:pPr>
        <w:keepNext w:val="0"/>
        <w:keepLines w:val="0"/>
        <w:pageBreakBefore w:val="0"/>
        <w:widowControl w:val="0"/>
        <w:numPr>
          <w:ilvl w:val="0"/>
          <w:numId w:val="8"/>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截至应答文件递交截止日（含），供应商未处于中国银行供应商不良行为禁止准入处罚范围及处罚期内。</w:t>
      </w:r>
    </w:p>
    <w:p w14:paraId="4AB87ADD">
      <w:pPr>
        <w:keepNext w:val="0"/>
        <w:keepLines w:val="0"/>
        <w:pageBreakBefore w:val="0"/>
        <w:widowControl w:val="0"/>
        <w:numPr>
          <w:ilvl w:val="0"/>
          <w:numId w:val="8"/>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须保证：采购人在使用其提供的货物/服务时，在使用的国家/地区不存在任何已知的不合法的情形，也不存在任何已知的与第三方专利权、著作权、商标权等知识产权、肖像权等民事权利相关的侵权行为。如果有任何因采购人使用供应商提供的货物/服务而提起的侵权指控，供应商须依法承担全部责任。</w:t>
      </w:r>
    </w:p>
    <w:p w14:paraId="03509939">
      <w:pPr>
        <w:keepNext w:val="0"/>
        <w:keepLines w:val="0"/>
        <w:pageBreakBefore w:val="0"/>
        <w:widowControl w:val="0"/>
        <w:numPr>
          <w:ilvl w:val="0"/>
          <w:numId w:val="8"/>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bCs/>
          <w:sz w:val="24"/>
          <w:szCs w:val="21"/>
          <w:highlight w:val="none"/>
        </w:rPr>
      </w:pPr>
      <w:r>
        <w:rPr>
          <w:rFonts w:hint="eastAsia" w:ascii="仿宋" w:hAnsi="仿宋" w:eastAsia="仿宋" w:cs="仿宋"/>
          <w:sz w:val="24"/>
          <w:szCs w:val="21"/>
          <w:highlight w:val="none"/>
        </w:rPr>
        <w:t>存在关联关系的供应商不得同时参加本项目的同一分包，如项目不存在分包，则不得同时参加本项目。</w:t>
      </w:r>
    </w:p>
    <w:p w14:paraId="646E8FB7">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关联关系企业包含以下情况：</w:t>
      </w:r>
    </w:p>
    <w:p w14:paraId="4A5F4D17">
      <w:pPr>
        <w:pageBreakBefore w:val="0"/>
        <w:widowControl w:val="0"/>
        <w:numPr>
          <w:ilvl w:val="0"/>
          <w:numId w:val="9"/>
        </w:numPr>
        <w:shd w:val="clear"/>
        <w:kinsoku/>
        <w:wordWrap w:val="0"/>
        <w:bidi w:val="0"/>
        <w:spacing w:after="0" w:line="240" w:lineRule="auto"/>
        <w:ind w:left="845"/>
        <w:jc w:val="left"/>
        <w:rPr>
          <w:rFonts w:hint="eastAsia" w:ascii="仿宋_GB2312" w:hAnsi="宋体" w:eastAsia="仿宋" w:cs="Times New Roman"/>
          <w:kern w:val="2"/>
          <w:sz w:val="24"/>
          <w:szCs w:val="21"/>
          <w:highlight w:val="none"/>
          <w:lang w:val="en-US" w:eastAsia="zh-CN" w:bidi="ar-SA"/>
        </w:rPr>
      </w:pPr>
      <w:r>
        <w:rPr>
          <w:rFonts w:hint="eastAsia" w:ascii="仿宋_GB2312" w:hAnsi="宋体" w:eastAsia="仿宋" w:cs="Times New Roman"/>
          <w:kern w:val="2"/>
          <w:sz w:val="24"/>
          <w:szCs w:val="21"/>
          <w:highlight w:val="none"/>
          <w:lang w:val="en-US" w:eastAsia="zh-CN" w:bidi="ar-SA"/>
        </w:rPr>
        <w:t>与本企业单位法定代表人/负责人为同一人的其他企业；</w:t>
      </w:r>
    </w:p>
    <w:p w14:paraId="23031167">
      <w:pPr>
        <w:pageBreakBefore w:val="0"/>
        <w:widowControl w:val="0"/>
        <w:numPr>
          <w:ilvl w:val="0"/>
          <w:numId w:val="9"/>
        </w:numPr>
        <w:shd w:val="clear"/>
        <w:kinsoku/>
        <w:wordWrap w:val="0"/>
        <w:bidi w:val="0"/>
        <w:spacing w:after="0" w:line="240" w:lineRule="auto"/>
        <w:ind w:left="845"/>
        <w:jc w:val="left"/>
        <w:rPr>
          <w:rFonts w:hint="eastAsia" w:ascii="仿宋_GB2312" w:hAnsi="宋体" w:eastAsia="仿宋" w:cs="Times New Roman"/>
          <w:kern w:val="2"/>
          <w:sz w:val="24"/>
          <w:szCs w:val="21"/>
          <w:highlight w:val="none"/>
          <w:lang w:val="en-US" w:eastAsia="zh-CN" w:bidi="ar-SA"/>
        </w:rPr>
      </w:pPr>
      <w:r>
        <w:rPr>
          <w:rFonts w:hint="eastAsia" w:ascii="仿宋_GB2312" w:hAnsi="宋体" w:eastAsia="仿宋" w:cs="Times New Roman"/>
          <w:kern w:val="2"/>
          <w:sz w:val="24"/>
          <w:szCs w:val="21"/>
          <w:highlight w:val="none"/>
          <w:lang w:val="en-US" w:eastAsia="zh-CN" w:bidi="ar-SA"/>
        </w:rPr>
        <w:t>与本企业存在直接控股、管理关系的其他企业。</w:t>
      </w:r>
    </w:p>
    <w:p w14:paraId="1BBF3BE0">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1"/>
          <w:highlight w:val="none"/>
        </w:rPr>
      </w:pPr>
      <w:r>
        <w:rPr>
          <w:rFonts w:hint="eastAsia" w:ascii="仿宋" w:hAnsi="仿宋" w:eastAsia="仿宋" w:cs="仿宋"/>
          <w:bCs/>
          <w:sz w:val="24"/>
          <w:szCs w:val="21"/>
          <w:highlight w:val="none"/>
        </w:rPr>
        <w:t>供应商应向采购人如实披露与本单位存在关联关系的其他企业。采购人有权取消关联关系企业参与该项目的资格或重新组织采购。</w:t>
      </w:r>
    </w:p>
    <w:p w14:paraId="17AC78CB">
      <w:pPr>
        <w:keepNext w:val="0"/>
        <w:keepLines w:val="0"/>
        <w:pageBreakBefore w:val="0"/>
        <w:widowControl w:val="0"/>
        <w:numPr>
          <w:ilvl w:val="0"/>
          <w:numId w:val="8"/>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当严格遵守有关法律法规和行业标准规范，依法诚信参与项目，自觉维护公平竞争秩序。不得通过受让、租借或者挂靠资质参与项目；不得伪造、变造资质、资格证书或者其他许可证件，提供虚假业绩、奖项、项目负责人等材料，或者以其他方式弄虚作假参与项目；不得与采购人、采购代理机构或其他供应商串通报价；不得与评审委员会成员私下接触，或向采购人、采购代理机构、交易平台运行服务机构、评审委员会成员、行政监督部门人员等行贿谋取授予合同；不得恶意提出异议、投诉或者举报，干扰正常采购活动。供应商如出现上述行为之一的，其应答将被拒绝，采购人有权将其列入中国银行供应商不良行为名单。</w:t>
      </w:r>
    </w:p>
    <w:p w14:paraId="4BE3A3CA">
      <w:pPr>
        <w:keepNext w:val="0"/>
        <w:keepLines w:val="0"/>
        <w:pageBreakBefore w:val="0"/>
        <w:widowControl w:val="0"/>
        <w:numPr>
          <w:ilvl w:val="0"/>
          <w:numId w:val="8"/>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供应商应未受到联合国、中国或其他采购人认为需适用的制裁发布主体的制裁，也未被前述制裁对象拥有或实际控制。</w:t>
      </w:r>
    </w:p>
    <w:p w14:paraId="2A84972D">
      <w:pPr>
        <w:keepNext w:val="0"/>
        <w:keepLines w:val="0"/>
        <w:pageBreakBefore w:val="0"/>
        <w:widowControl w:val="0"/>
        <w:numPr>
          <w:ilvl w:val="0"/>
          <w:numId w:val="8"/>
        </w:numPr>
        <w:shd w:val="clear"/>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供应商发生合并、分立、破产等重大变化的，应当及时书面告知采购人。供应商不再具备资格预审文件、采购邀请文件规定的资格条件或者其应答影响采购活动公正性的，其应答无效。</w:t>
      </w:r>
    </w:p>
    <w:p w14:paraId="02E98E53">
      <w:pPr>
        <w:keepNext w:val="0"/>
        <w:keepLines w:val="0"/>
        <w:pageBreakBefore w:val="0"/>
        <w:widowControl w:val="0"/>
        <w:numPr>
          <w:ilvl w:val="0"/>
          <w:numId w:val="8"/>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yellow"/>
        </w:rPr>
        <w:t>供应商应严格遵守国家有关信息安全的法律法规，落实监管部门对信息安全的监管要求，履行信息安全保密责任和义务，依法依规规范信息数据处理活动。供应商在信息安全管理方面不存在重大风险缺陷和信息安全违规记录</w:t>
      </w:r>
      <w:r>
        <w:rPr>
          <w:rFonts w:hint="eastAsia" w:ascii="仿宋" w:hAnsi="仿宋" w:eastAsia="仿宋" w:cs="仿宋"/>
          <w:sz w:val="24"/>
          <w:szCs w:val="24"/>
          <w:highlight w:val="yellow"/>
          <w:lang w:eastAsia="zh-CN"/>
        </w:rPr>
        <w:t>。</w:t>
      </w:r>
    </w:p>
    <w:p w14:paraId="1D3CA57A">
      <w:pPr>
        <w:keepNext w:val="0"/>
        <w:keepLines w:val="0"/>
        <w:pageBreakBefore w:val="0"/>
        <w:widowControl w:val="0"/>
        <w:numPr>
          <w:ilvl w:val="0"/>
          <w:numId w:val="8"/>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供应商若接触采购人数据、采购人客户数据（如有），应严格遵守《银行保险机构数据安全管理办法》等数据安全相关法律法规、监管要求，并配合</w:t>
      </w:r>
      <w:r>
        <w:rPr>
          <w:rFonts w:hint="eastAsia" w:ascii="仿宋" w:hAnsi="仿宋" w:eastAsia="仿宋" w:cs="仿宋"/>
          <w:sz w:val="24"/>
          <w:szCs w:val="24"/>
          <w:lang w:val="en-US" w:eastAsia="zh-CN"/>
        </w:rPr>
        <w:t>采购</w:t>
      </w:r>
      <w:r>
        <w:rPr>
          <w:rFonts w:hint="eastAsia" w:ascii="仿宋" w:hAnsi="仿宋" w:eastAsia="仿宋" w:cs="仿宋"/>
          <w:sz w:val="24"/>
          <w:szCs w:val="24"/>
        </w:rPr>
        <w:t>人根据数据处理的具体模式，在“第五部分 合同主要条款及格式”中明确数据处理的相关约定。</w:t>
      </w:r>
    </w:p>
    <w:p w14:paraId="550E2206">
      <w:pPr>
        <w:keepNext w:val="0"/>
        <w:keepLines w:val="0"/>
        <w:pageBreakBefore w:val="0"/>
        <w:widowControl w:val="0"/>
        <w:numPr>
          <w:ilvl w:val="0"/>
          <w:numId w:val="8"/>
        </w:numPr>
        <w:shd w:val="clear"/>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yellow"/>
        </w:rPr>
        <w:t>供应商不得为采购人的关联方，同时不为采购人关联方所控制。</w:t>
      </w:r>
    </w:p>
    <w:p w14:paraId="5AE4D52D">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sz w:val="24"/>
          <w:szCs w:val="21"/>
          <w:highlight w:val="none"/>
        </w:rPr>
      </w:pPr>
      <w:r>
        <w:rPr>
          <w:rFonts w:hint="eastAsia" w:ascii="仿宋" w:hAnsi="仿宋" w:eastAsia="仿宋" w:cs="仿宋"/>
          <w:b/>
          <w:bCs/>
          <w:sz w:val="24"/>
          <w:szCs w:val="21"/>
          <w:highlight w:val="none"/>
        </w:rPr>
        <w:t>采购邀请文件的领取：</w:t>
      </w:r>
    </w:p>
    <w:p w14:paraId="684D75A6">
      <w:pPr>
        <w:pageBreakBefore w:val="0"/>
        <w:shd w:val="clear"/>
        <w:tabs>
          <w:tab w:val="left" w:pos="425"/>
        </w:tabs>
        <w:kinsoku/>
        <w:wordWrap w:val="0"/>
        <w:bidi w:val="0"/>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（一）凡有意向参加本项目的供应商应前往中国银行中银智采平台（https://ctpch.fmscop.bankofchina.com）（以下简称“中银智采平台”）进行免费注册。并关注以下事项：</w:t>
      </w:r>
    </w:p>
    <w:p w14:paraId="48B09866">
      <w:pPr>
        <w:pageBreakBefore w:val="0"/>
        <w:shd w:val="clear"/>
        <w:kinsoku/>
        <w:wordWrap w:val="0"/>
        <w:bidi w:val="0"/>
        <w:spacing w:line="240" w:lineRule="auto"/>
        <w:ind w:left="-53" w:leftChars="-2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宋体" w:cs="仿宋"/>
          <w:szCs w:val="24"/>
          <w:highlight w:val="none"/>
        </w:rPr>
        <w:t>．</w:t>
      </w:r>
      <w:r>
        <w:rPr>
          <w:rFonts w:hint="eastAsia" w:ascii="仿宋" w:hAnsi="仿宋" w:eastAsia="仿宋" w:cs="仿宋"/>
          <w:sz w:val="24"/>
          <w:szCs w:val="24"/>
          <w:highlight w:val="none"/>
        </w:rPr>
        <w:t>请有意愿参与采购工作的供应商尽早在“中银智采”完成注册工作，并在采购邀请文件领取截止日1个工作日前完成注册。注册方式详见中国银行中银智采平台（https://ctpch.fmscop.bankofchina.com）“最新动态”中的“供应商注册登录操作手册”。</w:t>
      </w:r>
    </w:p>
    <w:p w14:paraId="23A39E5D">
      <w:pPr>
        <w:pageBreakBefore w:val="0"/>
        <w:shd w:val="clear"/>
        <w:kinsoku/>
        <w:wordWrap w:val="0"/>
        <w:bidi w:val="0"/>
        <w:spacing w:line="240" w:lineRule="auto"/>
        <w:ind w:left="-53" w:leftChars="-2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在“中银智采”系统中提交材料不能代表注册成功，中国银行将对供应商提交材料进行注册审核，审核通过后供应商才注册成功。请供应商于提交材料当日晚些时间或第2日进行注册审核情况查询，实时关注注册审核结果，以免影响使用。未注册成功的供应商无法参与中国银行采购项目。</w:t>
      </w:r>
    </w:p>
    <w:p w14:paraId="49226FC5">
      <w:pPr>
        <w:pageBreakBefore w:val="0"/>
        <w:shd w:val="clear"/>
        <w:kinsoku/>
        <w:wordWrap w:val="0"/>
        <w:bidi w:val="0"/>
        <w:spacing w:line="240" w:lineRule="auto"/>
        <w:ind w:left="-53" w:leftChars="-2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如供应商在领取采购邀请文件截止当日（工作日）注册，请联系采购项目联系人，申请加急审核，并关注注册材料审核结果。因供应商提交材料质量等原因，无法保证供应商注册审核通过，所造成的影响由供应商自行承担。</w:t>
      </w:r>
    </w:p>
    <w:p w14:paraId="24DC984B">
      <w:pPr>
        <w:pageBreakBefore w:val="0"/>
        <w:shd w:val="clear"/>
        <w:kinsoku/>
        <w:wordWrap w:val="0"/>
        <w:bidi w:val="0"/>
        <w:spacing w:line="240" w:lineRule="auto"/>
        <w:ind w:left="-53" w:leftChars="-2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注册成功的供应商请登录注册账号后并于中银智采平台的“工作台-操作手册”处下载“供应商投标业务操作手册”或下载中国银行中银智采平台（https://ctpch.fmscop.bankofchina.com）“最新动态”中的“供应商投标业务操作手册”中的附件。</w:t>
      </w:r>
    </w:p>
    <w:p w14:paraId="5BB0FD76">
      <w:pPr>
        <w:tabs>
          <w:tab w:val="left" w:pos="425"/>
        </w:tabs>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需在中银智采平台“基础管理</w:t>
      </w:r>
      <w:r>
        <w:rPr>
          <w:rFonts w:ascii="仿宋" w:hAnsi="仿宋" w:eastAsia="仿宋" w:cs="仿宋"/>
          <w:sz w:val="24"/>
          <w:szCs w:val="24"/>
          <w:highlight w:val="none"/>
        </w:rPr>
        <w:t>-软件下载”页面</w:t>
      </w:r>
      <w:r>
        <w:rPr>
          <w:rFonts w:hint="eastAsia" w:ascii="仿宋" w:hAnsi="仿宋" w:eastAsia="仿宋" w:cs="仿宋"/>
          <w:sz w:val="24"/>
          <w:szCs w:val="24"/>
          <w:highlight w:val="none"/>
        </w:rPr>
        <w:t>，及时下载中国银行投标客户端，用于申请CA证书、制作投标文件。目前投标客户端仅适用Windows10（64位）及以上系统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此条款适用于电子标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0D4696EA">
      <w:pPr>
        <w:tabs>
          <w:tab w:val="left" w:pos="425"/>
        </w:tabs>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务必在投标文件递交截止时间1个工作日前申请CA证书，否则将不能使用CA证书进行后续操作，例如投标文件加密、解密和加盖</w:t>
      </w:r>
      <w:r>
        <w:rPr>
          <w:rFonts w:ascii="仿宋" w:hAnsi="仿宋" w:eastAsia="仿宋" w:cs="仿宋"/>
          <w:sz w:val="24"/>
          <w:szCs w:val="24"/>
          <w:highlight w:val="none"/>
        </w:rPr>
        <w:t>CA</w:t>
      </w:r>
      <w:r>
        <w:rPr>
          <w:rFonts w:hint="eastAsia" w:ascii="仿宋" w:hAnsi="仿宋" w:eastAsia="仿宋" w:cs="仿宋"/>
          <w:sz w:val="24"/>
          <w:szCs w:val="24"/>
          <w:highlight w:val="none"/>
        </w:rPr>
        <w:t>电子印章操作等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此条款适用于电子标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49AEA6DA">
      <w:pPr>
        <w:pageBreakBefore w:val="0"/>
        <w:tabs>
          <w:tab w:val="left" w:pos="425"/>
        </w:tabs>
        <w:kinsoku/>
        <w:wordWrap w:val="0"/>
        <w:bidi w:val="0"/>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针对技术问题的咨询，可拨打中银智采平台技术支持联系电话：010-66593459/010-66595932/010-66593484，工作时间（工作日）：8:30-11:30、13:30-17:30，其他时间及法定节假日不提供技术支持。</w:t>
      </w:r>
    </w:p>
    <w:p w14:paraId="128BF2B7">
      <w:pPr>
        <w:keepNext w:val="0"/>
        <w:keepLines w:val="0"/>
        <w:pageBreakBefore w:val="0"/>
        <w:shd w:val="clear"/>
        <w:tabs>
          <w:tab w:val="left" w:pos="567"/>
        </w:tabs>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r>
        <w:rPr>
          <w:rFonts w:hint="eastAsia" w:ascii="仿宋" w:hAnsi="仿宋" w:eastAsia="仿宋" w:cs="仿宋"/>
          <w:color w:val="000000"/>
          <w:sz w:val="24"/>
          <w:szCs w:val="24"/>
          <w:highlight w:val="none"/>
        </w:rPr>
        <w:t>采购邀请</w:t>
      </w:r>
      <w:r>
        <w:rPr>
          <w:rFonts w:hint="eastAsia" w:ascii="仿宋" w:hAnsi="仿宋" w:eastAsia="仿宋" w:cs="仿宋"/>
          <w:sz w:val="24"/>
          <w:szCs w:val="24"/>
          <w:highlight w:val="none"/>
        </w:rPr>
        <w:t>文件获取时间:【20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分至20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分】（北京时间，下同）。</w:t>
      </w:r>
    </w:p>
    <w:p w14:paraId="26891BAE">
      <w:pPr>
        <w:keepNext w:val="0"/>
        <w:keepLines w:val="0"/>
        <w:pageBreakBefore w:val="0"/>
        <w:shd w:val="clear"/>
        <w:tabs>
          <w:tab w:val="left" w:pos="567"/>
        </w:tabs>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）领取采购邀请文件操作流程：</w:t>
      </w:r>
    </w:p>
    <w:p w14:paraId="0EE6850B">
      <w:pPr>
        <w:keepNext w:val="0"/>
        <w:keepLines w:val="0"/>
        <w:pageBreakBefore w:val="0"/>
        <w:widowControl/>
        <w:shd w:val="clear" w:color="auto"/>
        <w:kinsoku/>
        <w:wordWrap w:val="0"/>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1</w:t>
      </w:r>
      <w:r>
        <w:rPr>
          <w:rFonts w:hint="eastAsia" w:ascii="仿宋" w:hAnsi="仿宋" w:eastAsia="仿宋" w:cs="仿宋"/>
          <w:kern w:val="2"/>
          <w:sz w:val="24"/>
          <w:szCs w:val="24"/>
          <w:highlight w:val="none"/>
          <w:lang w:val="en-US" w:eastAsia="zh-CN" w:bidi="ar-SA"/>
        </w:rPr>
        <w:t>．出售：福建省中通通信有限公司。</w:t>
      </w:r>
      <w:r>
        <w:rPr>
          <w:rFonts w:hint="eastAsia" w:ascii="仿宋" w:hAnsi="仿宋" w:eastAsia="仿宋" w:cs="仿宋"/>
          <w:b/>
          <w:bCs/>
          <w:kern w:val="2"/>
          <w:sz w:val="24"/>
          <w:szCs w:val="24"/>
          <w:highlight w:val="none"/>
          <w:lang w:val="en-US" w:eastAsia="zh-CN" w:bidi="ar-SA"/>
        </w:rPr>
        <w:t>登录采购代理机构电子招标系统“链捷招”（https：//zb.chinaccsscm.cn/）完成免费注册,根据提示在系统完成费用支付。（“链捷招”注册审核联系商务专员，电话：18060753032）。</w:t>
      </w:r>
    </w:p>
    <w:p w14:paraId="0335D673">
      <w:pPr>
        <w:keepNext w:val="0"/>
        <w:keepLines w:val="0"/>
        <w:pageBreakBefore w:val="0"/>
        <w:widowControl/>
        <w:shd w:val="clear" w:color="auto"/>
        <w:kinsoku/>
        <w:wordWrap w:val="0"/>
        <w:overflowPunct/>
        <w:topLinePunct w:val="0"/>
        <w:autoSpaceDE/>
        <w:autoSpaceDN/>
        <w:bidi w:val="0"/>
        <w:adjustRightInd/>
        <w:snapToGrid/>
        <w:spacing w:beforeAutospacing="0" w:afterAutospacing="0" w:line="24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2．售价领取：300元人民币（采购邀请文件售后不退）。</w:t>
      </w:r>
    </w:p>
    <w:p w14:paraId="17350CF9">
      <w:pPr>
        <w:pageBreakBefore w:val="0"/>
        <w:numPr>
          <w:ilvl w:val="255"/>
          <w:numId w:val="0"/>
        </w:numPr>
        <w:kinsoku/>
        <w:wordWrap w:val="0"/>
        <w:bidi w:val="0"/>
        <w:spacing w:line="24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．领取</w:t>
      </w:r>
      <w:r>
        <w:rPr>
          <w:rFonts w:hint="eastAsia" w:ascii="仿宋" w:hAnsi="仿宋" w:eastAsia="仿宋" w:cs="仿宋"/>
          <w:sz w:val="24"/>
          <w:szCs w:val="24"/>
          <w:highlight w:val="none"/>
          <w:lang w:val="en-US" w:eastAsia="zh-CN"/>
        </w:rPr>
        <w:t>采购邀请</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val="en-US" w:eastAsia="zh-CN"/>
        </w:rPr>
        <w:t>通过“</w:t>
      </w:r>
      <w:r>
        <w:rPr>
          <w:rFonts w:hint="eastAsia" w:ascii="仿宋" w:hAnsi="仿宋" w:eastAsia="仿宋" w:cs="仿宋"/>
          <w:b/>
          <w:bCs/>
          <w:sz w:val="24"/>
          <w:szCs w:val="24"/>
          <w:highlight w:val="none"/>
          <w:lang w:val="en-US" w:eastAsia="zh-CN"/>
        </w:rPr>
        <w:t>链捷招</w:t>
      </w:r>
      <w:r>
        <w:rPr>
          <w:rFonts w:hint="eastAsia" w:ascii="仿宋" w:hAnsi="仿宋" w:eastAsia="仿宋" w:cs="仿宋"/>
          <w:sz w:val="24"/>
          <w:szCs w:val="24"/>
          <w:highlight w:val="none"/>
          <w:lang w:val="en-US" w:eastAsia="zh-CN"/>
        </w:rPr>
        <w:t>”系统</w:t>
      </w:r>
      <w:r>
        <w:rPr>
          <w:rFonts w:hint="eastAsia" w:ascii="仿宋" w:hAnsi="仿宋" w:eastAsia="仿宋" w:cs="仿宋"/>
          <w:sz w:val="24"/>
          <w:szCs w:val="24"/>
          <w:highlight w:val="none"/>
        </w:rPr>
        <w:t>向代理机构支付</w:t>
      </w:r>
      <w:r>
        <w:rPr>
          <w:rFonts w:hint="eastAsia" w:ascii="仿宋" w:hAnsi="仿宋" w:eastAsia="仿宋" w:cs="仿宋"/>
          <w:sz w:val="24"/>
          <w:szCs w:val="24"/>
          <w:highlight w:val="none"/>
          <w:lang w:eastAsia="zh-CN"/>
        </w:rPr>
        <w:t>采购邀请文件</w:t>
      </w:r>
      <w:r>
        <w:rPr>
          <w:rFonts w:hint="eastAsia" w:ascii="仿宋" w:hAnsi="仿宋" w:eastAsia="仿宋" w:cs="仿宋"/>
          <w:sz w:val="24"/>
          <w:szCs w:val="24"/>
          <w:highlight w:val="none"/>
        </w:rPr>
        <w:t>费用后，方可</w:t>
      </w:r>
      <w:r>
        <w:rPr>
          <w:rFonts w:hint="eastAsia" w:ascii="仿宋" w:hAnsi="仿宋" w:eastAsia="仿宋" w:cs="仿宋"/>
          <w:sz w:val="24"/>
          <w:szCs w:val="24"/>
          <w:highlight w:val="none"/>
          <w:lang w:val="en-US" w:eastAsia="zh-CN"/>
        </w:rPr>
        <w:t>在“标书购买列表”</w:t>
      </w:r>
      <w:r>
        <w:rPr>
          <w:rFonts w:hint="eastAsia" w:ascii="仿宋" w:hAnsi="仿宋" w:eastAsia="仿宋" w:cs="仿宋"/>
          <w:sz w:val="24"/>
          <w:szCs w:val="24"/>
          <w:highlight w:val="none"/>
        </w:rPr>
        <w:t>下载</w:t>
      </w:r>
      <w:r>
        <w:rPr>
          <w:rFonts w:hint="eastAsia" w:ascii="仿宋" w:hAnsi="仿宋" w:eastAsia="仿宋" w:cs="仿宋"/>
          <w:sz w:val="24"/>
          <w:szCs w:val="24"/>
          <w:highlight w:val="none"/>
          <w:lang w:eastAsia="zh-CN"/>
        </w:rPr>
        <w:t>采购邀请文件</w:t>
      </w:r>
      <w:r>
        <w:rPr>
          <w:rFonts w:hint="eastAsia" w:ascii="仿宋" w:hAnsi="仿宋" w:eastAsia="仿宋" w:cs="仿宋"/>
          <w:sz w:val="24"/>
          <w:szCs w:val="24"/>
          <w:highlight w:val="none"/>
          <w:lang w:val="en-US" w:eastAsia="zh-CN"/>
        </w:rPr>
        <w:t>。</w:t>
      </w:r>
    </w:p>
    <w:p w14:paraId="4836B2C8">
      <w:pPr>
        <w:pageBreakBefore w:val="0"/>
        <w:tabs>
          <w:tab w:val="left" w:pos="425"/>
        </w:tabs>
        <w:kinsoku/>
        <w:wordWrap w:val="0"/>
        <w:bidi w:val="0"/>
        <w:spacing w:line="24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对资格预审文件、</w:t>
      </w:r>
      <w:r>
        <w:rPr>
          <w:rFonts w:hint="eastAsia" w:ascii="仿宋" w:hAnsi="仿宋" w:eastAsia="仿宋" w:cs="仿宋"/>
          <w:sz w:val="24"/>
          <w:szCs w:val="24"/>
          <w:highlight w:val="none"/>
          <w:lang w:eastAsia="zh-CN"/>
        </w:rPr>
        <w:t>采购邀请文件</w:t>
      </w:r>
      <w:r>
        <w:rPr>
          <w:rFonts w:hint="eastAsia" w:ascii="仿宋" w:hAnsi="仿宋" w:eastAsia="仿宋" w:cs="仿宋"/>
          <w:sz w:val="24"/>
          <w:szCs w:val="24"/>
          <w:highlight w:val="none"/>
        </w:rPr>
        <w:t>进行澄清或者修改的，将通过采购代理机构电子招投标平台公告澄清或者修改的内容。</w:t>
      </w:r>
      <w:r>
        <w:rPr>
          <w:rFonts w:hint="eastAsia" w:ascii="仿宋" w:hAnsi="仿宋" w:eastAsia="仿宋" w:cs="仿宋"/>
          <w:sz w:val="24"/>
          <w:szCs w:val="24"/>
          <w:highlight w:val="none"/>
          <w:lang w:val="en-US" w:eastAsia="zh-CN"/>
        </w:rPr>
        <w:t>请供应商及时关注。</w:t>
      </w:r>
    </w:p>
    <w:p w14:paraId="042C8BC7">
      <w:pPr>
        <w:pageBreakBefore w:val="0"/>
        <w:tabs>
          <w:tab w:val="left" w:pos="425"/>
        </w:tabs>
        <w:kinsoku/>
        <w:wordWrap w:val="0"/>
        <w:bidi w:val="0"/>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针对技术问题的咨询，可</w:t>
      </w:r>
      <w:r>
        <w:rPr>
          <w:rFonts w:hint="eastAsia" w:ascii="仿宋" w:hAnsi="仿宋" w:eastAsia="仿宋" w:cs="仿宋"/>
          <w:sz w:val="24"/>
          <w:szCs w:val="24"/>
          <w:highlight w:val="none"/>
          <w:lang w:val="en-US" w:eastAsia="zh-CN"/>
        </w:rPr>
        <w:t>拨打商务专员联系</w:t>
      </w:r>
      <w:r>
        <w:rPr>
          <w:rFonts w:hint="eastAsia" w:ascii="仿宋" w:hAnsi="仿宋" w:eastAsia="仿宋" w:cs="仿宋"/>
          <w:sz w:val="24"/>
          <w:szCs w:val="24"/>
          <w:highlight w:val="none"/>
        </w:rPr>
        <w:t>电话：18060753032，工作时间（工作日）：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0-11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30-17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30，其他时间及法定节假日不提供技术支持。</w:t>
      </w:r>
      <w:r>
        <w:rPr>
          <w:rFonts w:hint="eastAsia" w:ascii="仿宋" w:hAnsi="仿宋" w:eastAsia="仿宋" w:cs="仿宋"/>
          <w:sz w:val="24"/>
          <w:szCs w:val="24"/>
          <w:highlight w:val="none"/>
          <w:lang w:val="en-US" w:eastAsia="zh-CN"/>
        </w:rPr>
        <w:t>更多平台操作</w:t>
      </w:r>
      <w:r>
        <w:rPr>
          <w:rFonts w:hint="eastAsia" w:ascii="仿宋" w:hAnsi="仿宋" w:eastAsia="仿宋" w:cs="仿宋"/>
          <w:sz w:val="24"/>
          <w:szCs w:val="24"/>
          <w:highlight w:val="none"/>
        </w:rPr>
        <w:t>详见</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链捷招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下载</w:t>
      </w:r>
      <w:r>
        <w:rPr>
          <w:rFonts w:hint="eastAsia" w:ascii="仿宋" w:hAnsi="仿宋" w:eastAsia="仿宋" w:cs="仿宋"/>
          <w:sz w:val="24"/>
          <w:szCs w:val="24"/>
          <w:highlight w:val="none"/>
          <w:lang w:val="en-US" w:eastAsia="zh-CN"/>
        </w:rPr>
        <w:t>中心</w:t>
      </w:r>
      <w:r>
        <w:rPr>
          <w:rFonts w:hint="eastAsia" w:ascii="仿宋" w:hAnsi="仿宋" w:eastAsia="仿宋" w:cs="仿宋"/>
          <w:sz w:val="24"/>
          <w:szCs w:val="24"/>
          <w:highlight w:val="none"/>
        </w:rPr>
        <w:t>”中的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供应链电子招投标平台操作手册（供应商）</w:t>
      </w:r>
      <w:r>
        <w:rPr>
          <w:rFonts w:hint="eastAsia" w:ascii="仿宋" w:hAnsi="仿宋" w:eastAsia="仿宋" w:cs="仿宋"/>
          <w:sz w:val="24"/>
          <w:szCs w:val="24"/>
          <w:highlight w:val="none"/>
          <w:lang w:eastAsia="zh-CN"/>
        </w:rPr>
        <w:t>》。</w:t>
      </w:r>
    </w:p>
    <w:p w14:paraId="3F65AC79">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bookmarkStart w:id="72" w:name="_Toc325969681"/>
      <w:bookmarkStart w:id="73" w:name="_Toc325969419"/>
      <w:bookmarkStart w:id="74" w:name="_Toc383529024"/>
      <w:bookmarkStart w:id="75" w:name="_Toc325969567"/>
      <w:bookmarkStart w:id="76" w:name="_Toc347771173"/>
      <w:bookmarkStart w:id="77" w:name="_Toc347770463"/>
      <w:bookmarkStart w:id="78" w:name="_Toc148111101"/>
      <w:bookmarkStart w:id="79" w:name="_Toc148110995"/>
      <w:bookmarkStart w:id="80" w:name="_Toc149224048"/>
      <w:r>
        <w:rPr>
          <w:rFonts w:hint="eastAsia" w:ascii="仿宋" w:hAnsi="仿宋" w:eastAsia="仿宋" w:cs="仿宋"/>
          <w:b/>
          <w:bCs/>
          <w:sz w:val="24"/>
          <w:szCs w:val="21"/>
          <w:highlight w:val="none"/>
        </w:rPr>
        <w:t>发布公告的媒介</w:t>
      </w:r>
      <w:bookmarkEnd w:id="72"/>
      <w:bookmarkEnd w:id="73"/>
      <w:bookmarkEnd w:id="74"/>
      <w:bookmarkEnd w:id="75"/>
      <w:bookmarkEnd w:id="76"/>
      <w:bookmarkEnd w:id="77"/>
      <w:r>
        <w:rPr>
          <w:rFonts w:hint="eastAsia" w:ascii="仿宋" w:hAnsi="仿宋" w:eastAsia="仿宋" w:cs="仿宋"/>
          <w:b/>
          <w:bCs/>
          <w:sz w:val="24"/>
          <w:szCs w:val="21"/>
          <w:highlight w:val="none"/>
        </w:rPr>
        <w:t>：</w:t>
      </w:r>
      <w:bookmarkEnd w:id="78"/>
      <w:bookmarkEnd w:id="79"/>
      <w:bookmarkEnd w:id="80"/>
    </w:p>
    <w:p w14:paraId="7C253671">
      <w:pPr>
        <w:keepNext w:val="0"/>
        <w:keepLines w:val="0"/>
        <w:pageBreakBefore w:val="0"/>
        <w:widowControl w:val="0"/>
        <w:shd w:val="clea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1"/>
          <w:highlight w:val="none"/>
        </w:rPr>
      </w:pPr>
      <w:r>
        <w:rPr>
          <w:rFonts w:hint="eastAsia" w:ascii="仿宋" w:hAnsi="仿宋" w:eastAsia="仿宋" w:cs="仿宋"/>
          <w:sz w:val="24"/>
          <w:szCs w:val="21"/>
          <w:highlight w:val="none"/>
        </w:rPr>
        <w:t>本公告同时在</w:t>
      </w:r>
      <w:r>
        <w:rPr>
          <w:rFonts w:hint="eastAsia" w:ascii="仿宋" w:hAnsi="仿宋" w:eastAsia="仿宋" w:cs="仿宋"/>
          <w:sz w:val="24"/>
          <w:szCs w:val="21"/>
          <w:highlight w:val="none"/>
          <w:lang w:val="en-US" w:eastAsia="zh-CN"/>
        </w:rPr>
        <w:t>中国招标投标公共服务平台（http://www.cebpubservice.com/）、链捷招（ https://zb.chinaccsscm.cn/）</w:t>
      </w:r>
      <w:r>
        <w:rPr>
          <w:rFonts w:hint="eastAsia" w:ascii="仿宋" w:hAnsi="仿宋" w:eastAsia="仿宋" w:cs="仿宋"/>
          <w:sz w:val="24"/>
          <w:szCs w:val="21"/>
          <w:highlight w:val="none"/>
        </w:rPr>
        <w:t>上进行发布。</w:t>
      </w:r>
    </w:p>
    <w:p w14:paraId="60886683">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项目说明会【□适用/</w:t>
      </w:r>
      <w:r>
        <w:rPr>
          <w:rFonts w:hint="eastAsia" w:ascii="仿宋" w:hAnsi="仿宋" w:eastAsia="仿宋" w:cs="仿宋"/>
          <w:b/>
          <w:bCs/>
          <w:sz w:val="24"/>
          <w:szCs w:val="21"/>
          <w:highlight w:val="none"/>
          <w:lang w:eastAsia="zh-CN"/>
        </w:rPr>
        <w:t>☑</w:t>
      </w:r>
      <w:r>
        <w:rPr>
          <w:rFonts w:hint="eastAsia" w:ascii="仿宋" w:hAnsi="仿宋" w:eastAsia="仿宋" w:cs="仿宋"/>
          <w:b/>
          <w:bCs/>
          <w:sz w:val="24"/>
          <w:szCs w:val="21"/>
          <w:highlight w:val="none"/>
        </w:rPr>
        <w:t>不适用】</w:t>
      </w:r>
    </w:p>
    <w:p w14:paraId="60DA4924">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踏勘：【□适用/</w:t>
      </w:r>
      <w:r>
        <w:rPr>
          <w:rFonts w:hint="eastAsia" w:ascii="仿宋" w:hAnsi="仿宋" w:eastAsia="仿宋" w:cs="仿宋"/>
          <w:b/>
          <w:bCs/>
          <w:sz w:val="24"/>
          <w:szCs w:val="21"/>
          <w:highlight w:val="none"/>
          <w:lang w:eastAsia="zh-CN"/>
        </w:rPr>
        <w:t>☑</w:t>
      </w:r>
      <w:r>
        <w:rPr>
          <w:rFonts w:hint="eastAsia" w:ascii="仿宋" w:hAnsi="仿宋" w:eastAsia="仿宋" w:cs="仿宋"/>
          <w:b/>
          <w:bCs/>
          <w:sz w:val="24"/>
          <w:szCs w:val="21"/>
          <w:highlight w:val="none"/>
        </w:rPr>
        <w:t>不适用】</w:t>
      </w:r>
    </w:p>
    <w:p w14:paraId="7E337C4A">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sz w:val="24"/>
          <w:szCs w:val="21"/>
          <w:highlight w:val="none"/>
        </w:rPr>
      </w:pPr>
      <w:r>
        <w:rPr>
          <w:rFonts w:hint="eastAsia" w:ascii="仿宋" w:hAnsi="仿宋" w:eastAsia="仿宋" w:cs="仿宋"/>
          <w:b/>
          <w:bCs/>
          <w:sz w:val="24"/>
          <w:szCs w:val="21"/>
          <w:highlight w:val="none"/>
        </w:rPr>
        <w:t>应答文件的递交：</w:t>
      </w:r>
    </w:p>
    <w:p w14:paraId="7FE553A9">
      <w:pPr>
        <w:keepNext w:val="0"/>
        <w:keepLines w:val="0"/>
        <w:pageBreakBefore w:val="0"/>
        <w:shd w:val="clear"/>
        <w:tabs>
          <w:tab w:val="left" w:pos="425"/>
        </w:tabs>
        <w:kinsoku/>
        <w:wordWrap w:val="0"/>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（一）本项目应答文件递交截止时间为：20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w:t>
      </w:r>
    </w:p>
    <w:p w14:paraId="786AAA68">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bidi="ar"/>
        </w:rPr>
        <w:t>应答文件递交地点：【</w:t>
      </w:r>
      <w:r>
        <w:rPr>
          <w:rFonts w:hint="eastAsia" w:ascii="仿宋" w:hAnsi="仿宋" w:eastAsia="仿宋" w:cs="仿宋"/>
          <w:b w:val="0"/>
          <w:bCs/>
          <w:sz w:val="24"/>
          <w:szCs w:val="24"/>
          <w:highlight w:val="none"/>
          <w:lang w:val="en-US" w:eastAsia="zh-CN"/>
        </w:rPr>
        <w:t>福建省泉州市丰泽区泉秀街道宝洲路399号富翔上城1#407室</w:t>
      </w:r>
      <w:r>
        <w:rPr>
          <w:rFonts w:hint="eastAsia" w:ascii="仿宋" w:hAnsi="仿宋" w:eastAsia="仿宋" w:cs="仿宋"/>
          <w:sz w:val="24"/>
          <w:szCs w:val="24"/>
          <w:highlight w:val="none"/>
          <w:lang w:bidi="ar"/>
        </w:rPr>
        <w:t>】。</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应答文件不接受邮寄</w:t>
      </w:r>
      <w:r>
        <w:rPr>
          <w:rFonts w:hint="eastAsia" w:ascii="仿宋" w:hAnsi="仿宋" w:eastAsia="仿宋" w:cs="仿宋"/>
          <w:b w:val="0"/>
          <w:bCs/>
          <w:sz w:val="24"/>
          <w:szCs w:val="24"/>
          <w:highlight w:val="none"/>
        </w:rPr>
        <w:t>】</w:t>
      </w:r>
    </w:p>
    <w:p w14:paraId="4F230836">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本项目将于上述同一时间、地点进行</w:t>
      </w:r>
      <w:r>
        <w:rPr>
          <w:rFonts w:hint="eastAsia" w:ascii="仿宋" w:hAnsi="仿宋" w:eastAsia="仿宋" w:cs="仿宋"/>
          <w:b w:val="0"/>
          <w:bCs/>
          <w:sz w:val="24"/>
          <w:szCs w:val="24"/>
          <w:highlight w:val="none"/>
          <w:lang w:val="en-US" w:eastAsia="zh-CN"/>
        </w:rPr>
        <w:t>开标</w:t>
      </w:r>
      <w:r>
        <w:rPr>
          <w:rFonts w:hint="eastAsia" w:ascii="仿宋" w:hAnsi="仿宋" w:eastAsia="仿宋" w:cs="仿宋"/>
          <w:b w:val="0"/>
          <w:bCs/>
          <w:sz w:val="24"/>
          <w:szCs w:val="24"/>
          <w:highlight w:val="none"/>
        </w:rPr>
        <w:t>，【采购人/采购代理机构】邀请</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的法定代表人/负责人或者其委托代理人准时参加。</w:t>
      </w:r>
    </w:p>
    <w:p w14:paraId="08E3E6D8">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w:t>
      </w:r>
      <w:r>
        <w:rPr>
          <w:rFonts w:hint="eastAsia" w:ascii="仿宋" w:hAnsi="仿宋" w:eastAsia="仿宋" w:cs="仿宋"/>
          <w:b w:val="0"/>
          <w:bCs/>
          <w:sz w:val="24"/>
          <w:szCs w:val="24"/>
          <w:highlight w:val="none"/>
          <w:lang w:eastAsia="zh-CN"/>
        </w:rPr>
        <w:t>.</w:t>
      </w:r>
      <w:r>
        <w:rPr>
          <w:rFonts w:hint="eastAsia" w:ascii="仿宋" w:hAnsi="仿宋" w:eastAsia="仿宋" w:cs="仿宋"/>
          <w:color w:val="000000"/>
          <w:sz w:val="24"/>
          <w:szCs w:val="24"/>
          <w:highlight w:val="none"/>
        </w:rPr>
        <w:t>采购邀请</w:t>
      </w:r>
      <w:r>
        <w:rPr>
          <w:rFonts w:hint="eastAsia" w:ascii="仿宋" w:hAnsi="仿宋" w:eastAsia="仿宋" w:cs="仿宋"/>
          <w:b w:val="0"/>
          <w:bCs/>
          <w:sz w:val="24"/>
          <w:szCs w:val="24"/>
          <w:highlight w:val="none"/>
        </w:rPr>
        <w:t>文件要求递交纸质应答文件的，出现以下情形之一时，【采购人/采购代理机构】不予接收：</w:t>
      </w:r>
    </w:p>
    <w:p w14:paraId="1195A4B6">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逾期送达或者未送达指定地点的；</w:t>
      </w:r>
    </w:p>
    <w:p w14:paraId="11E9AEF0">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未按照</w:t>
      </w:r>
      <w:r>
        <w:rPr>
          <w:rFonts w:hint="eastAsia" w:ascii="仿宋" w:hAnsi="仿宋" w:eastAsia="仿宋" w:cs="仿宋"/>
          <w:color w:val="000000"/>
          <w:sz w:val="24"/>
          <w:szCs w:val="24"/>
          <w:highlight w:val="none"/>
        </w:rPr>
        <w:t>采购邀请</w:t>
      </w:r>
      <w:r>
        <w:rPr>
          <w:rFonts w:hint="eastAsia" w:ascii="仿宋" w:hAnsi="仿宋" w:eastAsia="仿宋" w:cs="仿宋"/>
          <w:b w:val="0"/>
          <w:bCs/>
          <w:sz w:val="24"/>
          <w:szCs w:val="24"/>
          <w:highlight w:val="none"/>
        </w:rPr>
        <w:t>文件要求密封的；</w:t>
      </w:r>
    </w:p>
    <w:p w14:paraId="1C7CECF4">
      <w:pPr>
        <w:spacing w:line="360" w:lineRule="auto"/>
        <w:ind w:firstLine="480" w:firstLineChars="200"/>
        <w:rPr>
          <w:rFonts w:hint="eastAsia" w:ascii="Calibri" w:hAnsi="Calibri" w:eastAsia="宋体" w:cs="Times New Roman"/>
          <w:szCs w:val="21"/>
          <w:highlight w:val="none"/>
        </w:rPr>
      </w:pPr>
      <w:r>
        <w:rPr>
          <w:rFonts w:hint="eastAsia" w:ascii="仿宋" w:hAnsi="仿宋" w:eastAsia="仿宋" w:cs="仿宋"/>
          <w:b w:val="0"/>
          <w:bCs/>
          <w:sz w:val="24"/>
          <w:szCs w:val="24"/>
          <w:highlight w:val="none"/>
          <w:lang w:val="en-US" w:eastAsia="zh-CN"/>
        </w:rPr>
        <w:t>5.2</w:t>
      </w:r>
      <w:r>
        <w:rPr>
          <w:rFonts w:hint="eastAsia" w:ascii="仿宋" w:hAnsi="仿宋" w:eastAsia="仿宋" w:cs="仿宋"/>
          <w:b w:val="0"/>
          <w:bCs/>
          <w:sz w:val="24"/>
          <w:szCs w:val="24"/>
          <w:highlight w:val="none"/>
        </w:rPr>
        <w:t>未按照本公告要求获得本项目</w:t>
      </w:r>
      <w:r>
        <w:rPr>
          <w:rFonts w:hint="eastAsia" w:ascii="仿宋" w:hAnsi="仿宋" w:eastAsia="仿宋" w:cs="仿宋"/>
          <w:color w:val="000000"/>
          <w:sz w:val="24"/>
          <w:szCs w:val="24"/>
          <w:highlight w:val="none"/>
        </w:rPr>
        <w:t>采购邀请</w:t>
      </w:r>
      <w:r>
        <w:rPr>
          <w:rFonts w:hint="eastAsia" w:ascii="仿宋" w:hAnsi="仿宋" w:eastAsia="仿宋" w:cs="仿宋"/>
          <w:b w:val="0"/>
          <w:bCs/>
          <w:sz w:val="24"/>
          <w:szCs w:val="24"/>
          <w:highlight w:val="none"/>
        </w:rPr>
        <w:t>文件的。</w:t>
      </w:r>
    </w:p>
    <w:p w14:paraId="0B9AF8C4">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sz w:val="24"/>
          <w:szCs w:val="21"/>
          <w:highlight w:val="none"/>
        </w:rPr>
      </w:pPr>
      <w:r>
        <w:rPr>
          <w:rFonts w:hint="eastAsia" w:ascii="仿宋" w:hAnsi="仿宋" w:eastAsia="仿宋" w:cs="仿宋"/>
          <w:b/>
          <w:bCs/>
          <w:sz w:val="24"/>
          <w:szCs w:val="21"/>
          <w:highlight w:val="none"/>
        </w:rPr>
        <w:t>开启报价及谈判</w:t>
      </w:r>
    </w:p>
    <w:p w14:paraId="7BEA7010">
      <w:pPr>
        <w:keepNext w:val="0"/>
        <w:keepLines w:val="0"/>
        <w:pageBreakBefore w:val="0"/>
        <w:widowControl w:val="0"/>
        <w:shd w:val="clear"/>
        <w:tabs>
          <w:tab w:val="left" w:pos="42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（一）谈判时间：20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w:t>
      </w:r>
    </w:p>
    <w:p w14:paraId="26294772">
      <w:pPr>
        <w:keepNext w:val="0"/>
        <w:keepLines w:val="0"/>
        <w:pageBreakBefore w:val="0"/>
        <w:widowControl w:val="0"/>
        <w:shd w:val="clear"/>
        <w:tabs>
          <w:tab w:val="left" w:pos="420"/>
        </w:tabs>
        <w:kinsoku/>
        <w:wordWrap w:val="0"/>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（二）谈判地点：</w:t>
      </w:r>
      <w:r>
        <w:rPr>
          <w:rFonts w:hint="eastAsia" w:ascii="仿宋" w:hAnsi="仿宋" w:eastAsia="仿宋" w:cs="仿宋"/>
          <w:b w:val="0"/>
          <w:bCs/>
          <w:sz w:val="24"/>
          <w:szCs w:val="24"/>
          <w:highlight w:val="none"/>
          <w:lang w:val="en-US" w:eastAsia="zh-CN"/>
        </w:rPr>
        <w:t>福建省泉州市丰泽区泉秀街道宝洲路399号富翔上城1#407室</w:t>
      </w:r>
      <w:r>
        <w:rPr>
          <w:rFonts w:hint="eastAsia" w:ascii="仿宋" w:hAnsi="仿宋" w:eastAsia="仿宋" w:cs="仿宋"/>
          <w:sz w:val="24"/>
          <w:szCs w:val="24"/>
          <w:highlight w:val="none"/>
        </w:rPr>
        <w:t>。</w:t>
      </w:r>
    </w:p>
    <w:p w14:paraId="0CD6F7EC">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举报方式：</w:t>
      </w:r>
    </w:p>
    <w:p w14:paraId="4E8FE4EE">
      <w:pPr>
        <w:pageBreakBefore w:val="0"/>
        <w:shd w:val="clear"/>
        <w:kinsoku/>
        <w:wordWrap w:val="0"/>
        <w:overflowPunct/>
        <w:bidi w:val="0"/>
        <w:spacing w:line="240" w:lineRule="auto"/>
        <w:ind w:left="-53" w:leftChars="-25" w:firstLine="480" w:firstLineChars="20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供应商与采购人在接触及合作过程中，如遇采购人部门或员工的违法、违规等问题，可向采购人纪检部门反映和举报。采购人保护举报人的合法权益，严肃处理打击报复的行为。</w:t>
      </w:r>
    </w:p>
    <w:p w14:paraId="0689B5A5">
      <w:pPr>
        <w:tabs>
          <w:tab w:val="left" w:pos="420"/>
        </w:tabs>
        <w:spacing w:line="360" w:lineRule="auto"/>
        <w:ind w:firstLine="480" w:firstLineChars="200"/>
        <w:rPr>
          <w:rFonts w:ascii="仿宋" w:hAnsi="仿宋" w:eastAsia="仿宋" w:cs="仿宋"/>
          <w:sz w:val="24"/>
          <w:szCs w:val="24"/>
          <w:highlight w:val="none"/>
          <w:lang w:bidi="ar"/>
        </w:rPr>
      </w:pPr>
      <w:bookmarkStart w:id="81" w:name="_Toc148111103"/>
      <w:bookmarkStart w:id="82" w:name="_Toc149224050"/>
      <w:bookmarkStart w:id="83" w:name="_Toc148110997"/>
      <w:r>
        <w:rPr>
          <w:rFonts w:hint="eastAsia" w:ascii="仿宋" w:hAnsi="仿宋" w:eastAsia="仿宋" w:cs="仿宋"/>
          <w:sz w:val="24"/>
          <w:szCs w:val="24"/>
          <w:highlight w:val="none"/>
          <w:lang w:bidi="ar"/>
        </w:rPr>
        <w:t>举报电话：</w:t>
      </w:r>
      <w:r>
        <w:rPr>
          <w:rFonts w:hint="eastAsia" w:ascii="仿宋" w:hAnsi="仿宋" w:eastAsia="仿宋" w:cs="仿宋"/>
          <w:b w:val="0"/>
          <w:bCs/>
          <w:sz w:val="24"/>
          <w:szCs w:val="24"/>
          <w:highlight w:val="none"/>
          <w:lang w:val="en-US" w:eastAsia="zh-CN"/>
        </w:rPr>
        <w:t>0595-22152912</w:t>
      </w:r>
    </w:p>
    <w:p w14:paraId="16A409ED">
      <w:pPr>
        <w:tabs>
          <w:tab w:val="left" w:pos="420"/>
        </w:tabs>
        <w:spacing w:line="360" w:lineRule="auto"/>
        <w:ind w:firstLine="480" w:firstLineChars="200"/>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信函地址：</w:t>
      </w:r>
      <w:r>
        <w:rPr>
          <w:rFonts w:hint="eastAsia" w:ascii="仿宋" w:hAnsi="仿宋" w:eastAsia="仿宋" w:cs="仿宋"/>
          <w:b w:val="0"/>
          <w:bCs/>
          <w:sz w:val="24"/>
          <w:szCs w:val="24"/>
          <w:highlight w:val="none"/>
          <w:lang w:val="en-US" w:eastAsia="zh-CN"/>
        </w:rPr>
        <w:t>泉州分行附属楼一楼纪委办公室信箱</w:t>
      </w:r>
    </w:p>
    <w:p w14:paraId="28A7BA48">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b/>
          <w:bCs/>
          <w:sz w:val="24"/>
          <w:szCs w:val="21"/>
          <w:highlight w:val="none"/>
        </w:rPr>
      </w:pPr>
      <w:r>
        <w:rPr>
          <w:rFonts w:hint="eastAsia" w:ascii="仿宋" w:hAnsi="仿宋" w:eastAsia="仿宋" w:cs="仿宋"/>
          <w:b/>
          <w:bCs/>
          <w:sz w:val="24"/>
          <w:szCs w:val="21"/>
          <w:highlight w:val="none"/>
        </w:rPr>
        <w:t>其他：</w:t>
      </w:r>
      <w:bookmarkEnd w:id="81"/>
      <w:bookmarkEnd w:id="82"/>
      <w:bookmarkEnd w:id="83"/>
    </w:p>
    <w:p w14:paraId="2BF7AF96">
      <w:pPr>
        <w:pageBreakBefore w:val="0"/>
        <w:shd w:val="clear"/>
        <w:kinsoku/>
        <w:wordWrap w:val="0"/>
        <w:overflowPunct/>
        <w:bidi w:val="0"/>
        <w:spacing w:line="240" w:lineRule="auto"/>
        <w:ind w:left="-53" w:leftChars="-25" w:firstLine="482" w:firstLineChars="200"/>
        <w:rPr>
          <w:rFonts w:hint="eastAsia" w:ascii="仿宋" w:hAnsi="仿宋" w:eastAsia="仿宋" w:cs="仿宋"/>
          <w:b/>
          <w:sz w:val="24"/>
          <w:szCs w:val="24"/>
          <w:highlight w:val="none"/>
          <w:lang w:bidi="ar"/>
        </w:rPr>
      </w:pPr>
      <w:r>
        <w:rPr>
          <w:rFonts w:hint="eastAsia" w:ascii="仿宋" w:hAnsi="仿宋" w:eastAsia="仿宋" w:cs="仿宋"/>
          <w:b/>
          <w:sz w:val="24"/>
          <w:szCs w:val="24"/>
          <w:highlight w:val="none"/>
          <w:lang w:bidi="ar"/>
        </w:rPr>
        <w:t>本项目不属于依法必须进行招标的项目，也不属于政府采购项目，为采购人自行采购的项目。</w:t>
      </w:r>
    </w:p>
    <w:p w14:paraId="0AB1F26D">
      <w:pPr>
        <w:keepNext w:val="0"/>
        <w:keepLines w:val="0"/>
        <w:pageBreakBefore w:val="0"/>
        <w:widowControl w:val="0"/>
        <w:numPr>
          <w:ilvl w:val="0"/>
          <w:numId w:val="2"/>
        </w:numPr>
        <w:shd w:val="clear"/>
        <w:kinsoku/>
        <w:wordWrap w:val="0"/>
        <w:overflowPunct/>
        <w:topLinePunct w:val="0"/>
        <w:autoSpaceDE/>
        <w:autoSpaceDN/>
        <w:bidi w:val="0"/>
        <w:adjustRightInd/>
        <w:snapToGrid/>
        <w:spacing w:line="360" w:lineRule="auto"/>
        <w:ind w:left="0" w:firstLine="0"/>
        <w:textAlignment w:val="auto"/>
        <w:outlineLvl w:val="1"/>
        <w:rPr>
          <w:rFonts w:hint="eastAsia" w:ascii="仿宋" w:hAnsi="仿宋" w:eastAsia="仿宋" w:cs="仿宋"/>
          <w:sz w:val="24"/>
          <w:szCs w:val="21"/>
          <w:highlight w:val="none"/>
        </w:rPr>
      </w:pPr>
      <w:bookmarkStart w:id="84" w:name="_Toc325969683"/>
      <w:bookmarkStart w:id="85" w:name="_Toc303850106"/>
      <w:bookmarkStart w:id="86" w:name="_Toc347770465"/>
      <w:bookmarkStart w:id="87" w:name="_Toc347771175"/>
      <w:bookmarkStart w:id="88" w:name="_Toc325969569"/>
      <w:bookmarkStart w:id="89" w:name="_Toc383529026"/>
      <w:bookmarkStart w:id="90" w:name="_Toc325969421"/>
      <w:bookmarkStart w:id="91" w:name="_Toc148110998"/>
      <w:bookmarkStart w:id="92" w:name="_Toc149224051"/>
      <w:bookmarkStart w:id="93" w:name="_Toc148111104"/>
      <w:r>
        <w:rPr>
          <w:rFonts w:hint="eastAsia" w:ascii="仿宋" w:hAnsi="仿宋" w:eastAsia="仿宋" w:cs="仿宋"/>
          <w:b/>
          <w:bCs/>
          <w:sz w:val="24"/>
          <w:szCs w:val="21"/>
          <w:highlight w:val="none"/>
        </w:rPr>
        <w:t>联系方式</w:t>
      </w:r>
      <w:bookmarkEnd w:id="84"/>
      <w:bookmarkEnd w:id="85"/>
      <w:bookmarkEnd w:id="86"/>
      <w:bookmarkEnd w:id="87"/>
      <w:bookmarkEnd w:id="88"/>
      <w:bookmarkEnd w:id="89"/>
      <w:bookmarkEnd w:id="90"/>
      <w:r>
        <w:rPr>
          <w:rFonts w:hint="eastAsia" w:ascii="仿宋" w:hAnsi="仿宋" w:eastAsia="仿宋" w:cs="仿宋"/>
          <w:b/>
          <w:bCs/>
          <w:sz w:val="24"/>
          <w:szCs w:val="21"/>
          <w:highlight w:val="none"/>
        </w:rPr>
        <w:t>：</w:t>
      </w:r>
      <w:bookmarkEnd w:id="91"/>
      <w:bookmarkEnd w:id="92"/>
      <w:bookmarkEnd w:id="93"/>
    </w:p>
    <w:p w14:paraId="393A06BA">
      <w:pPr>
        <w:pageBreakBefore w:val="0"/>
        <w:shd w:val="clear"/>
        <w:tabs>
          <w:tab w:val="left" w:pos="420"/>
        </w:tabs>
        <w:kinsoku/>
        <w:wordWrap w:val="0"/>
        <w:overflowPunct/>
        <w:bidi w:val="0"/>
        <w:spacing w:line="240" w:lineRule="auto"/>
        <w:ind w:firstLine="482" w:firstLineChars="200"/>
        <w:jc w:val="left"/>
        <w:rPr>
          <w:rFonts w:hint="eastAsia" w:ascii="仿宋" w:hAnsi="仿宋" w:eastAsia="仿宋" w:cs="仿宋"/>
          <w:b/>
          <w:sz w:val="24"/>
          <w:szCs w:val="24"/>
          <w:highlight w:val="none"/>
          <w:lang w:bidi="ar"/>
        </w:rPr>
      </w:pPr>
      <w:r>
        <w:rPr>
          <w:rFonts w:hint="eastAsia" w:ascii="仿宋" w:hAnsi="仿宋" w:eastAsia="仿宋" w:cs="仿宋"/>
          <w:b/>
          <w:sz w:val="24"/>
          <w:szCs w:val="24"/>
          <w:highlight w:val="none"/>
          <w:lang w:bidi="ar"/>
        </w:rPr>
        <w:t>采购过程中涉及的澄清答疑及投诉反映等，联系方式如下：</w:t>
      </w:r>
    </w:p>
    <w:p w14:paraId="6FEB18AE">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购</w:t>
      </w:r>
      <w:r>
        <w:rPr>
          <w:rFonts w:hint="eastAsia" w:ascii="仿宋" w:hAnsi="仿宋" w:eastAsia="仿宋" w:cs="仿宋"/>
          <w:sz w:val="24"/>
          <w:szCs w:val="24"/>
          <w:highlight w:val="none"/>
        </w:rPr>
        <w:t xml:space="preserve"> 人：</w:t>
      </w:r>
      <w:r>
        <w:rPr>
          <w:rFonts w:hint="eastAsia" w:ascii="仿宋" w:hAnsi="仿宋" w:eastAsia="仿宋" w:cs="仿宋"/>
          <w:sz w:val="24"/>
          <w:szCs w:val="24"/>
          <w:highlight w:val="none"/>
          <w:lang w:val="en-US" w:eastAsia="zh-CN"/>
        </w:rPr>
        <w:t>中国银行股份有限公司泉州分行</w:t>
      </w:r>
    </w:p>
    <w:p w14:paraId="0D1FC2CF">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地  </w:t>
      </w:r>
      <w:r>
        <w:rPr>
          <w:rFonts w:hint="eastAsia" w:ascii="仿宋" w:hAnsi="仿宋" w:eastAsia="仿宋" w:cs="仿宋"/>
          <w:sz w:val="24"/>
          <w:szCs w:val="24"/>
          <w:highlight w:val="none"/>
          <w:lang w:eastAsia="zh-CN"/>
        </w:rPr>
        <w:t xml:space="preserve">  址：</w:t>
      </w:r>
      <w:r>
        <w:rPr>
          <w:rFonts w:hint="eastAsia" w:ascii="仿宋" w:hAnsi="仿宋" w:eastAsia="仿宋" w:cs="仿宋"/>
          <w:sz w:val="24"/>
          <w:szCs w:val="24"/>
          <w:highlight w:val="none"/>
          <w:lang w:val="en-US" w:eastAsia="zh-CN"/>
        </w:rPr>
        <w:t>泉州市丰泽区丰泽街中段南侧中银大厦</w:t>
      </w:r>
    </w:p>
    <w:p w14:paraId="16D4401C">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邮    编：362000</w:t>
      </w:r>
    </w:p>
    <w:p w14:paraId="311646AB">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 系 人：【李经理】</w:t>
      </w:r>
    </w:p>
    <w:p w14:paraId="2C5CA11B">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电    话：【0595 22152232</w:t>
      </w:r>
      <w:r>
        <w:rPr>
          <w:rFonts w:hint="eastAsia" w:ascii="仿宋" w:hAnsi="仿宋" w:eastAsia="仿宋" w:cs="仿宋"/>
          <w:sz w:val="24"/>
          <w:szCs w:val="24"/>
          <w:highlight w:val="none"/>
          <w:lang w:eastAsia="zh-CN"/>
        </w:rPr>
        <w:t>】</w:t>
      </w:r>
    </w:p>
    <w:p w14:paraId="1FBBD04D">
      <w:pPr>
        <w:spacing w:line="360" w:lineRule="auto"/>
        <w:ind w:firstLine="240" w:firstLineChars="100"/>
        <w:rPr>
          <w:rFonts w:hint="eastAsia" w:ascii="仿宋" w:hAnsi="仿宋" w:eastAsia="仿宋" w:cs="仿宋"/>
          <w:sz w:val="24"/>
          <w:szCs w:val="24"/>
          <w:highlight w:val="none"/>
          <w:lang w:val="en-US" w:eastAsia="zh-CN"/>
        </w:rPr>
      </w:pPr>
    </w:p>
    <w:p w14:paraId="5D7617B9">
      <w:pPr>
        <w:spacing w:line="360" w:lineRule="auto"/>
        <w:ind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代理机构名称：</w:t>
      </w:r>
      <w:r>
        <w:rPr>
          <w:rFonts w:hint="eastAsia" w:ascii="仿宋" w:hAnsi="仿宋" w:eastAsia="仿宋" w:cs="仿宋"/>
          <w:sz w:val="24"/>
          <w:szCs w:val="24"/>
          <w:highlight w:val="none"/>
          <w:lang w:eastAsia="zh-CN"/>
        </w:rPr>
        <w:t>福建省中通通信有限公司</w:t>
      </w:r>
    </w:p>
    <w:p w14:paraId="392896C3">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代理机构地址：福州市仓山区信平路10号</w:t>
      </w:r>
    </w:p>
    <w:p w14:paraId="64A4A154">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邮编：350007</w:t>
      </w:r>
    </w:p>
    <w:p w14:paraId="1EF9433B">
      <w:pPr>
        <w:spacing w:line="360" w:lineRule="auto"/>
        <w:ind w:firstLine="241" w:firstLineChars="100"/>
        <w:rPr>
          <w:rFonts w:hint="eastAsia" w:ascii="仿宋" w:hAnsi="仿宋" w:eastAsia="仿宋" w:cs="仿宋"/>
          <w:sz w:val="24"/>
          <w:szCs w:val="24"/>
          <w:highlight w:val="none"/>
        </w:rPr>
      </w:pPr>
      <w:r>
        <w:rPr>
          <w:rFonts w:hint="eastAsia" w:ascii="仿宋" w:hAnsi="仿宋" w:eastAsia="仿宋" w:cs="仿宋"/>
          <w:b/>
          <w:bCs/>
          <w:sz w:val="24"/>
          <w:szCs w:val="24"/>
          <w:highlight w:val="none"/>
        </w:rPr>
        <w:t>文件发售/接收/退保证金联系人：【</w:t>
      </w:r>
      <w:r>
        <w:rPr>
          <w:rFonts w:hint="eastAsia" w:ascii="仿宋" w:hAnsi="仿宋" w:eastAsia="仿宋" w:cs="仿宋"/>
          <w:b/>
          <w:bCs/>
          <w:sz w:val="24"/>
          <w:szCs w:val="24"/>
          <w:highlight w:val="none"/>
          <w:lang w:val="en-US" w:eastAsia="zh-CN"/>
        </w:rPr>
        <w:t>蒋恭楷</w:t>
      </w:r>
      <w:r>
        <w:rPr>
          <w:rFonts w:hint="eastAsia" w:ascii="仿宋" w:hAnsi="仿宋" w:eastAsia="仿宋" w:cs="仿宋"/>
          <w:b/>
          <w:bCs/>
          <w:sz w:val="24"/>
          <w:szCs w:val="24"/>
          <w:highlight w:val="none"/>
        </w:rPr>
        <w:t>】     电话：【</w:t>
      </w:r>
      <w:r>
        <w:rPr>
          <w:rFonts w:hint="eastAsia" w:ascii="仿宋" w:hAnsi="仿宋" w:eastAsia="仿宋" w:cs="仿宋"/>
          <w:b/>
          <w:bCs/>
          <w:sz w:val="24"/>
          <w:szCs w:val="24"/>
          <w:highlight w:val="none"/>
          <w:lang w:val="en-US" w:eastAsia="zh-CN"/>
        </w:rPr>
        <w:t>19905958001</w:t>
      </w:r>
      <w:r>
        <w:rPr>
          <w:rFonts w:hint="eastAsia" w:ascii="仿宋" w:hAnsi="仿宋" w:eastAsia="仿宋" w:cs="仿宋"/>
          <w:b/>
          <w:bCs/>
          <w:sz w:val="24"/>
          <w:szCs w:val="24"/>
          <w:highlight w:val="none"/>
        </w:rPr>
        <w:t>】</w:t>
      </w:r>
    </w:p>
    <w:p w14:paraId="383254DC">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sz w:val="24"/>
          <w:szCs w:val="24"/>
          <w:highlight w:val="none"/>
          <w:lang w:val="en-US" w:eastAsia="zh-CN"/>
        </w:rPr>
        <w:t>蒋恭楷</w:t>
      </w:r>
      <w:r>
        <w:rPr>
          <w:rFonts w:hint="eastAsia" w:ascii="仿宋" w:hAnsi="仿宋" w:eastAsia="仿宋" w:cs="仿宋"/>
          <w:sz w:val="24"/>
          <w:szCs w:val="24"/>
          <w:highlight w:val="none"/>
        </w:rPr>
        <w:t>】       电话：【</w:t>
      </w:r>
      <w:r>
        <w:rPr>
          <w:rFonts w:hint="eastAsia" w:ascii="仿宋" w:hAnsi="仿宋" w:eastAsia="仿宋" w:cs="仿宋"/>
          <w:sz w:val="24"/>
          <w:szCs w:val="24"/>
          <w:highlight w:val="none"/>
          <w:lang w:val="en-US" w:eastAsia="zh-CN"/>
        </w:rPr>
        <w:t>19905958001</w:t>
      </w:r>
      <w:r>
        <w:rPr>
          <w:rFonts w:hint="eastAsia" w:ascii="仿宋" w:hAnsi="仿宋" w:eastAsia="仿宋" w:cs="仿宋"/>
          <w:sz w:val="24"/>
          <w:szCs w:val="24"/>
          <w:highlight w:val="none"/>
        </w:rPr>
        <w:t>】</w:t>
      </w:r>
    </w:p>
    <w:p w14:paraId="37C0F3F1">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电子邮箱（异议接收邮箱）：【jianggongkai@chinaccs.cn】</w:t>
      </w:r>
    </w:p>
    <w:p w14:paraId="28F68057">
      <w:pPr>
        <w:spacing w:line="360" w:lineRule="auto"/>
        <w:ind w:firstLine="2880" w:firstLineChars="1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w:t>
      </w:r>
    </w:p>
    <w:p w14:paraId="2013905C">
      <w:pPr>
        <w:spacing w:line="360" w:lineRule="auto"/>
        <w:ind w:firstLine="3360" w:firstLineChars="14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17日</w:t>
      </w:r>
      <w:r>
        <w:rPr>
          <w:rFonts w:hint="eastAsia" w:ascii="仿宋" w:hAnsi="仿宋" w:eastAsia="仿宋" w:cs="仿宋"/>
          <w:sz w:val="24"/>
          <w:szCs w:val="24"/>
          <w:highlight w:val="none"/>
        </w:rPr>
        <w:t>】</w:t>
      </w:r>
    </w:p>
    <w:p w14:paraId="13428915">
      <w:pPr>
        <w:pageBreakBefore w:val="0"/>
        <w:shd w:val="clear"/>
        <w:tabs>
          <w:tab w:val="left" w:pos="420"/>
        </w:tabs>
        <w:kinsoku/>
        <w:wordWrap w:val="0"/>
        <w:overflowPunct/>
        <w:bidi w:val="0"/>
        <w:spacing w:line="240" w:lineRule="auto"/>
        <w:ind w:firstLine="480" w:firstLineChars="200"/>
        <w:jc w:val="left"/>
        <w:rPr>
          <w:rFonts w:hint="eastAsia" w:ascii="仿宋" w:hAnsi="仿宋" w:eastAsia="仿宋" w:cs="仿宋"/>
          <w:sz w:val="24"/>
          <w:szCs w:val="24"/>
          <w:highlight w:val="none"/>
          <w:lang w:bidi="ar"/>
        </w:rPr>
      </w:pPr>
    </w:p>
    <w:p w14:paraId="2D2770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FBCB5"/>
    <w:multiLevelType w:val="singleLevel"/>
    <w:tmpl w:val="C72FBCB5"/>
    <w:lvl w:ilvl="0" w:tentative="0">
      <w:start w:val="1"/>
      <w:numFmt w:val="decimal"/>
      <w:suff w:val="nothing"/>
      <w:lvlText w:val="%1．"/>
      <w:lvlJc w:val="left"/>
      <w:pPr>
        <w:ind w:left="0" w:firstLine="400"/>
      </w:pPr>
      <w:rPr>
        <w:rFonts w:hint="default"/>
      </w:rPr>
    </w:lvl>
  </w:abstractNum>
  <w:abstractNum w:abstractNumId="1">
    <w:nsid w:val="DBBD0F88"/>
    <w:multiLevelType w:val="singleLevel"/>
    <w:tmpl w:val="DBBD0F88"/>
    <w:lvl w:ilvl="0" w:tentative="0">
      <w:start w:val="1"/>
      <w:numFmt w:val="chineseCounting"/>
      <w:suff w:val="nothing"/>
      <w:lvlText w:val="（%1）"/>
      <w:lvlJc w:val="left"/>
      <w:pPr>
        <w:ind w:left="0" w:firstLine="420"/>
      </w:pPr>
      <w:rPr>
        <w:rFonts w:hint="eastAsia"/>
        <w:b/>
        <w:bCs/>
      </w:rPr>
    </w:lvl>
  </w:abstractNum>
  <w:abstractNum w:abstractNumId="2">
    <w:nsid w:val="E8D03649"/>
    <w:multiLevelType w:val="singleLevel"/>
    <w:tmpl w:val="E8D03649"/>
    <w:lvl w:ilvl="0" w:tentative="0">
      <w:start w:val="1"/>
      <w:numFmt w:val="decimal"/>
      <w:suff w:val="nothing"/>
      <w:lvlText w:val="%1．"/>
      <w:lvlJc w:val="left"/>
      <w:pPr>
        <w:ind w:left="0" w:firstLine="400"/>
      </w:pPr>
      <w:rPr>
        <w:rFonts w:hint="default"/>
      </w:rPr>
    </w:lvl>
  </w:abstractNum>
  <w:abstractNum w:abstractNumId="3">
    <w:nsid w:val="EFFF512E"/>
    <w:multiLevelType w:val="singleLevel"/>
    <w:tmpl w:val="EFFF512E"/>
    <w:lvl w:ilvl="0" w:tentative="0">
      <w:start w:val="1"/>
      <w:numFmt w:val="chineseCounting"/>
      <w:suff w:val="nothing"/>
      <w:lvlText w:val="%1、"/>
      <w:lvlJc w:val="left"/>
      <w:pPr>
        <w:ind w:left="0" w:firstLine="0"/>
      </w:pPr>
      <w:rPr>
        <w:rFonts w:hint="eastAsia"/>
        <w:b/>
        <w:bCs/>
      </w:rPr>
    </w:lvl>
  </w:abstractNum>
  <w:abstractNum w:abstractNumId="4">
    <w:nsid w:val="F440BE73"/>
    <w:multiLevelType w:val="singleLevel"/>
    <w:tmpl w:val="F440BE73"/>
    <w:lvl w:ilvl="0" w:tentative="0">
      <w:start w:val="2"/>
      <w:numFmt w:val="decimal"/>
      <w:suff w:val="nothing"/>
      <w:lvlText w:val="（%1）"/>
      <w:lvlJc w:val="left"/>
    </w:lvl>
  </w:abstractNum>
  <w:abstractNum w:abstractNumId="5">
    <w:nsid w:val="F77F7FCD"/>
    <w:multiLevelType w:val="singleLevel"/>
    <w:tmpl w:val="F77F7FCD"/>
    <w:lvl w:ilvl="0" w:tentative="0">
      <w:start w:val="1"/>
      <w:numFmt w:val="chineseCounting"/>
      <w:suff w:val="nothing"/>
      <w:lvlText w:val="（%1）"/>
      <w:lvlJc w:val="left"/>
      <w:pPr>
        <w:ind w:left="0" w:firstLine="420"/>
      </w:pPr>
      <w:rPr>
        <w:rFonts w:hint="eastAsia"/>
        <w:b/>
        <w:bCs/>
      </w:rPr>
    </w:lvl>
  </w:abstractNum>
  <w:abstractNum w:abstractNumId="6">
    <w:nsid w:val="25AB5796"/>
    <w:multiLevelType w:val="multilevel"/>
    <w:tmpl w:val="25AB5796"/>
    <w:lvl w:ilvl="0" w:tentative="0">
      <w:start w:val="1"/>
      <w:numFmt w:val="decimal"/>
      <w:lvlText w:val="（%1）"/>
      <w:lvlJc w:val="left"/>
      <w:pPr>
        <w:ind w:left="1570" w:hanging="720"/>
      </w:pPr>
      <w:rPr>
        <w:rFonts w:hint="default"/>
      </w:rPr>
    </w:lvl>
    <w:lvl w:ilvl="1" w:tentative="0">
      <w:start w:val="1"/>
      <w:numFmt w:val="lowerLetter"/>
      <w:lvlText w:val="%2)"/>
      <w:lvlJc w:val="left"/>
      <w:pPr>
        <w:ind w:left="2028" w:hanging="420"/>
      </w:pPr>
    </w:lvl>
    <w:lvl w:ilvl="2" w:tentative="0">
      <w:start w:val="1"/>
      <w:numFmt w:val="lowerRoman"/>
      <w:lvlText w:val="%3."/>
      <w:lvlJc w:val="right"/>
      <w:pPr>
        <w:ind w:left="2448" w:hanging="420"/>
      </w:pPr>
    </w:lvl>
    <w:lvl w:ilvl="3" w:tentative="0">
      <w:start w:val="1"/>
      <w:numFmt w:val="decimal"/>
      <w:lvlText w:val="%4."/>
      <w:lvlJc w:val="left"/>
      <w:pPr>
        <w:ind w:left="2868" w:hanging="420"/>
      </w:pPr>
    </w:lvl>
    <w:lvl w:ilvl="4" w:tentative="0">
      <w:start w:val="1"/>
      <w:numFmt w:val="lowerLetter"/>
      <w:lvlText w:val="%5)"/>
      <w:lvlJc w:val="left"/>
      <w:pPr>
        <w:ind w:left="3288" w:hanging="420"/>
      </w:pPr>
    </w:lvl>
    <w:lvl w:ilvl="5" w:tentative="0">
      <w:start w:val="1"/>
      <w:numFmt w:val="lowerRoman"/>
      <w:lvlText w:val="%6."/>
      <w:lvlJc w:val="right"/>
      <w:pPr>
        <w:ind w:left="3708" w:hanging="420"/>
      </w:pPr>
    </w:lvl>
    <w:lvl w:ilvl="6" w:tentative="0">
      <w:start w:val="1"/>
      <w:numFmt w:val="decimal"/>
      <w:lvlText w:val="%7."/>
      <w:lvlJc w:val="left"/>
      <w:pPr>
        <w:ind w:left="4128" w:hanging="420"/>
      </w:pPr>
    </w:lvl>
    <w:lvl w:ilvl="7" w:tentative="0">
      <w:start w:val="1"/>
      <w:numFmt w:val="lowerLetter"/>
      <w:lvlText w:val="%8)"/>
      <w:lvlJc w:val="left"/>
      <w:pPr>
        <w:ind w:left="4548" w:hanging="420"/>
      </w:pPr>
    </w:lvl>
    <w:lvl w:ilvl="8" w:tentative="0">
      <w:start w:val="1"/>
      <w:numFmt w:val="lowerRoman"/>
      <w:lvlText w:val="%9."/>
      <w:lvlJc w:val="right"/>
      <w:pPr>
        <w:ind w:left="4968" w:hanging="420"/>
      </w:pPr>
    </w:lvl>
  </w:abstractNum>
  <w:abstractNum w:abstractNumId="7">
    <w:nsid w:val="35C200DD"/>
    <w:multiLevelType w:val="multilevel"/>
    <w:tmpl w:val="35C200DD"/>
    <w:lvl w:ilvl="0" w:tentative="0">
      <w:start w:val="1"/>
      <w:numFmt w:val="decimal"/>
      <w:pStyle w:val="20"/>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44214096"/>
    <w:multiLevelType w:val="singleLevel"/>
    <w:tmpl w:val="44214096"/>
    <w:lvl w:ilvl="0" w:tentative="0">
      <w:start w:val="1"/>
      <w:numFmt w:val="decimal"/>
      <w:suff w:val="nothing"/>
      <w:lvlText w:val="%1．"/>
      <w:lvlJc w:val="left"/>
      <w:pPr>
        <w:ind w:left="0" w:firstLine="400"/>
      </w:pPr>
      <w:rPr>
        <w:rFonts w:hint="default"/>
      </w:rPr>
    </w:lvl>
  </w:abstractNum>
  <w:num w:numId="1">
    <w:abstractNumId w:val="7"/>
  </w:num>
  <w:num w:numId="2">
    <w:abstractNumId w:val="3"/>
  </w:num>
  <w:num w:numId="3">
    <w:abstractNumId w:val="5"/>
  </w:num>
  <w:num w:numId="4">
    <w:abstractNumId w:val="0"/>
  </w:num>
  <w:num w:numId="5">
    <w:abstractNumId w:val="4"/>
  </w:num>
  <w:num w:numId="6">
    <w:abstractNumId w:val="1"/>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897A9B"/>
    <w:rsid w:val="00301611"/>
    <w:rsid w:val="00897A9B"/>
    <w:rsid w:val="008E2A18"/>
    <w:rsid w:val="00B51ADF"/>
    <w:rsid w:val="01FC65B5"/>
    <w:rsid w:val="038267D2"/>
    <w:rsid w:val="03914CEF"/>
    <w:rsid w:val="07AB0349"/>
    <w:rsid w:val="0C8278CB"/>
    <w:rsid w:val="0ED62EEB"/>
    <w:rsid w:val="13F27F59"/>
    <w:rsid w:val="16394D7C"/>
    <w:rsid w:val="1685472A"/>
    <w:rsid w:val="1A766291"/>
    <w:rsid w:val="224316A8"/>
    <w:rsid w:val="26E95F63"/>
    <w:rsid w:val="28614609"/>
    <w:rsid w:val="28C815E8"/>
    <w:rsid w:val="2AC31382"/>
    <w:rsid w:val="39563F92"/>
    <w:rsid w:val="3DF15DAF"/>
    <w:rsid w:val="3EB968CD"/>
    <w:rsid w:val="40093ABE"/>
    <w:rsid w:val="406E1939"/>
    <w:rsid w:val="42E24862"/>
    <w:rsid w:val="4416031D"/>
    <w:rsid w:val="4B3C4CB1"/>
    <w:rsid w:val="5221680B"/>
    <w:rsid w:val="526606C2"/>
    <w:rsid w:val="53283BC9"/>
    <w:rsid w:val="562E13A7"/>
    <w:rsid w:val="58F20F01"/>
    <w:rsid w:val="5B1909C7"/>
    <w:rsid w:val="5E7F21F0"/>
    <w:rsid w:val="6DB85E1E"/>
    <w:rsid w:val="6E7E7408"/>
    <w:rsid w:val="760836BA"/>
    <w:rsid w:val="7A8B6668"/>
    <w:rsid w:val="7AD67BE3"/>
    <w:rsid w:val="7C1D3C7C"/>
    <w:rsid w:val="7F05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jc w:val="center"/>
      <w:outlineLvl w:val="0"/>
    </w:pPr>
    <w:rPr>
      <w:b/>
      <w:bCs/>
      <w:kern w:val="44"/>
      <w:sz w:val="28"/>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8"/>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2"/>
    <w:basedOn w:val="1"/>
    <w:autoRedefine/>
    <w:qFormat/>
    <w:uiPriority w:val="0"/>
    <w:pPr>
      <w:spacing w:after="120" w:line="480" w:lineRule="auto"/>
    </w:pPr>
  </w:style>
  <w:style w:type="paragraph" w:styleId="7">
    <w:name w:val="Normal (Web)"/>
    <w:basedOn w:val="1"/>
    <w:autoRedefine/>
    <w:semiHidden/>
    <w:unhideWhenUsed/>
    <w:qFormat/>
    <w:uiPriority w:val="99"/>
    <w:rPr>
      <w:sz w:val="24"/>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rPr>
  </w:style>
  <w:style w:type="character" w:styleId="12">
    <w:name w:val="Hyperlink"/>
    <w:autoRedefine/>
    <w:qFormat/>
    <w:uiPriority w:val="99"/>
    <w:rPr>
      <w:color w:val="0000FF"/>
      <w:u w:val="single"/>
    </w:rPr>
  </w:style>
  <w:style w:type="character" w:customStyle="1" w:styleId="13">
    <w:name w:val="页眉 Char"/>
    <w:basedOn w:val="10"/>
    <w:link w:val="5"/>
    <w:autoRedefine/>
    <w:qFormat/>
    <w:uiPriority w:val="99"/>
    <w:rPr>
      <w:sz w:val="18"/>
      <w:szCs w:val="18"/>
    </w:rPr>
  </w:style>
  <w:style w:type="character" w:customStyle="1" w:styleId="14">
    <w:name w:val="页脚 Char"/>
    <w:basedOn w:val="10"/>
    <w:link w:val="4"/>
    <w:autoRedefine/>
    <w:qFormat/>
    <w:uiPriority w:val="99"/>
    <w:rPr>
      <w:sz w:val="18"/>
      <w:szCs w:val="18"/>
    </w:rPr>
  </w:style>
  <w:style w:type="paragraph" w:customStyle="1" w:styleId="15">
    <w:name w:val="列出段落1"/>
    <w:basedOn w:val="1"/>
    <w:autoRedefine/>
    <w:unhideWhenUsed/>
    <w:qFormat/>
    <w:uiPriority w:val="34"/>
    <w:pPr>
      <w:ind w:firstLine="420" w:firstLineChars="200"/>
    </w:pPr>
  </w:style>
  <w:style w:type="character" w:customStyle="1" w:styleId="16">
    <w:name w:val="列出段落 Char"/>
    <w:basedOn w:val="10"/>
    <w:link w:val="17"/>
    <w:autoRedefine/>
    <w:qFormat/>
    <w:uiPriority w:val="34"/>
  </w:style>
  <w:style w:type="paragraph" w:styleId="17">
    <w:name w:val="List Paragraph"/>
    <w:basedOn w:val="1"/>
    <w:link w:val="16"/>
    <w:autoRedefine/>
    <w:unhideWhenUsed/>
    <w:qFormat/>
    <w:uiPriority w:val="34"/>
    <w:pPr>
      <w:ind w:firstLine="420" w:firstLineChars="200"/>
    </w:pPr>
  </w:style>
  <w:style w:type="character" w:customStyle="1" w:styleId="18">
    <w:name w:val="正文缩进 Char"/>
    <w:link w:val="2"/>
    <w:autoRedefine/>
    <w:qFormat/>
    <w:uiPriority w:val="99"/>
    <w:rPr>
      <w:rFonts w:ascii="楷体_GB2312" w:hAnsi="Times New Roman" w:eastAsia="楷体_GB2312" w:cs="Times New Roman"/>
      <w:kern w:val="0"/>
      <w:sz w:val="28"/>
      <w:szCs w:val="20"/>
    </w:rPr>
  </w:style>
  <w:style w:type="character" w:customStyle="1" w:styleId="19">
    <w:name w:val="样式1标题2 字符"/>
    <w:basedOn w:val="16"/>
    <w:link w:val="20"/>
    <w:autoRedefine/>
    <w:qFormat/>
    <w:uiPriority w:val="0"/>
    <w:rPr>
      <w:rFonts w:asciiTheme="minorEastAsia" w:hAnsiTheme="minorEastAsia" w:eastAsiaTheme="minorEastAsia"/>
      <w:b/>
      <w:szCs w:val="21"/>
    </w:rPr>
  </w:style>
  <w:style w:type="paragraph" w:customStyle="1" w:styleId="20">
    <w:name w:val="样式1标题2"/>
    <w:basedOn w:val="17"/>
    <w:link w:val="19"/>
    <w:autoRedefine/>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3321</Words>
  <Characters>3603</Characters>
  <Lines>16</Lines>
  <Paragraphs>4</Paragraphs>
  <TotalTime>0</TotalTime>
  <ScaleCrop>false</ScaleCrop>
  <LinksUpToDate>false</LinksUpToDate>
  <CharactersWithSpaces>3605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2023-11-02T08:55:00Z</dcterms:created>
  <dc:creator>Windows 用户</dc:creator>
  <cp:lastModifiedBy>76876</cp:lastModifiedBy>
  <dcterms:modified xsi:type="dcterms:W3CDTF">2026-06-17T09:02:21Z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9FBECCE98CB943FD8A1CBF702D1030E1_12</vt:lpwstr>
  </property>
  <property fmtid="{D5CDD505-2E9C-101B-9397-08002B2CF9AE}" pid="4" name="KSOTemplateDocerSaveRecord">
    <vt:lpwstr>eyJoZGlkIjoiZWRmN2NhMDY5MzBmZDkzOTJmODliOTBhMmMzNWJlYzYiLCJ1c2VySWQiOiIxNTEwNTczNjUxIn0=</vt:lpwstr>
  </property>
</Properties>
</file>