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6853A5">
      <w:pPr>
        <w:widowControl/>
        <w:spacing w:before="100" w:beforeAutospacing="1" w:after="100" w:afterAutospacing="1"/>
        <w:jc w:val="center"/>
        <w:rPr>
          <w:rFonts w:ascii="宋体" w:hAnsi="宋体" w:eastAsia="宋体" w:cs="宋体"/>
          <w:b/>
          <w:kern w:val="0"/>
          <w:sz w:val="44"/>
          <w:szCs w:val="44"/>
          <w:highlight w:val="none"/>
        </w:rPr>
      </w:pPr>
      <w:r>
        <w:rPr>
          <w:rFonts w:hint="eastAsia" w:ascii="宋体" w:hAnsi="宋体" w:eastAsia="宋体" w:cs="宋体"/>
          <w:b/>
          <w:kern w:val="0"/>
          <w:sz w:val="44"/>
          <w:szCs w:val="44"/>
          <w:highlight w:val="none"/>
        </w:rPr>
        <w:t>信息容灾机房租赁（</w:t>
      </w:r>
      <w:r>
        <w:rPr>
          <w:rFonts w:ascii="宋体" w:hAnsi="宋体" w:eastAsia="宋体" w:cs="宋体"/>
          <w:b/>
          <w:kern w:val="0"/>
          <w:sz w:val="44"/>
          <w:szCs w:val="44"/>
          <w:highlight w:val="none"/>
        </w:rPr>
        <w:t>2026年）</w:t>
      </w:r>
      <w:r>
        <w:rPr>
          <w:rFonts w:hint="eastAsia" w:ascii="宋体" w:hAnsi="宋体" w:eastAsia="宋体" w:cs="宋体"/>
          <w:b/>
          <w:kern w:val="0"/>
          <w:sz w:val="44"/>
          <w:szCs w:val="44"/>
          <w:highlight w:val="none"/>
        </w:rPr>
        <w:t>项目需求书</w:t>
      </w:r>
    </w:p>
    <w:p w14:paraId="2A5DB071">
      <w:pPr>
        <w:pStyle w:val="7"/>
        <w:numPr>
          <w:ilvl w:val="0"/>
          <w:numId w:val="3"/>
        </w:numPr>
        <w:rPr>
          <w:rFonts w:ascii="宋体" w:hAnsi="宋体" w:eastAsia="宋体" w:cs="宋体"/>
          <w:highlight w:val="none"/>
        </w:rPr>
      </w:pPr>
      <w:r>
        <w:rPr>
          <w:rFonts w:hint="eastAsia" w:ascii="宋体" w:hAnsi="宋体" w:eastAsia="宋体" w:cs="宋体"/>
          <w:highlight w:val="none"/>
        </w:rPr>
        <w:t>项目名称</w:t>
      </w:r>
    </w:p>
    <w:p w14:paraId="6746AE2C">
      <w:pPr>
        <w:spacing w:line="360" w:lineRule="auto"/>
        <w:ind w:left="432"/>
        <w:rPr>
          <w:rFonts w:ascii="宋体" w:hAnsi="宋体" w:eastAsia="宋体" w:cs="宋体"/>
          <w:sz w:val="24"/>
          <w:szCs w:val="22"/>
          <w:highlight w:val="none"/>
        </w:rPr>
      </w:pPr>
      <w:r>
        <w:rPr>
          <w:rFonts w:hint="eastAsia" w:ascii="宋体" w:hAnsi="宋体" w:eastAsia="宋体" w:cs="宋体"/>
          <w:sz w:val="24"/>
          <w:szCs w:val="22"/>
          <w:highlight w:val="none"/>
        </w:rPr>
        <w:t>项目名称：</w:t>
      </w:r>
      <w:r>
        <w:rPr>
          <w:rFonts w:ascii="宋体" w:hAnsi="宋体" w:eastAsia="宋体" w:cs="宋体"/>
          <w:sz w:val="24"/>
          <w:szCs w:val="22"/>
          <w:highlight w:val="none"/>
        </w:rPr>
        <w:t xml:space="preserve"> </w:t>
      </w:r>
      <w:r>
        <w:rPr>
          <w:rFonts w:hint="eastAsia" w:ascii="宋体" w:hAnsi="宋体" w:eastAsia="宋体" w:cs="宋体"/>
          <w:sz w:val="24"/>
          <w:szCs w:val="22"/>
          <w:highlight w:val="none"/>
        </w:rPr>
        <w:t>信息容灾机房租赁（</w:t>
      </w:r>
      <w:r>
        <w:rPr>
          <w:rFonts w:ascii="宋体" w:hAnsi="宋体" w:eastAsia="宋体" w:cs="宋体"/>
          <w:sz w:val="24"/>
          <w:szCs w:val="22"/>
          <w:highlight w:val="none"/>
        </w:rPr>
        <w:t>2026年）</w:t>
      </w:r>
    </w:p>
    <w:p w14:paraId="1D94C6FF">
      <w:pPr>
        <w:pStyle w:val="7"/>
        <w:numPr>
          <w:ilvl w:val="0"/>
          <w:numId w:val="3"/>
        </w:numPr>
        <w:ind w:left="181" w:leftChars="86"/>
        <w:rPr>
          <w:rFonts w:ascii="宋体" w:hAnsi="宋体" w:eastAsia="宋体" w:cs="宋体"/>
          <w:highlight w:val="none"/>
        </w:rPr>
      </w:pPr>
      <w:r>
        <w:rPr>
          <w:rFonts w:hint="eastAsia" w:ascii="宋体" w:hAnsi="宋体" w:eastAsia="宋体" w:cs="宋体"/>
          <w:highlight w:val="none"/>
        </w:rPr>
        <w:t>项目背景</w:t>
      </w:r>
    </w:p>
    <w:p w14:paraId="6FA2E586">
      <w:pPr>
        <w:spacing w:line="360" w:lineRule="auto"/>
        <w:ind w:firstLine="480" w:firstLineChars="200"/>
        <w:rPr>
          <w:rFonts w:ascii="宋体" w:hAnsi="宋体" w:eastAsia="宋体" w:cs="宋体"/>
          <w:sz w:val="28"/>
          <w:szCs w:val="22"/>
          <w:highlight w:val="none"/>
        </w:rPr>
      </w:pPr>
      <w:r>
        <w:rPr>
          <w:rFonts w:hint="eastAsia" w:ascii="宋体" w:hAnsi="宋体" w:eastAsia="宋体" w:cs="宋体"/>
          <w:sz w:val="24"/>
          <w:highlight w:val="none"/>
        </w:rPr>
        <w:t>因院内机房空间不足、资源紧张，目前通过</w:t>
      </w:r>
      <w:r>
        <w:rPr>
          <w:rFonts w:ascii="宋体" w:hAnsi="宋体" w:eastAsia="宋体" w:cs="宋体"/>
          <w:sz w:val="24"/>
          <w:highlight w:val="none"/>
        </w:rPr>
        <w:t>租用中国移动广东分公司机房及硬件，完成HIS、LIS系统的异地容灾建设。现为进一步提升核心业务系统可靠性、缓解机房资源压力，拟继续租用运营商机房及硬件资源，建设核心业务系统容灾，并满足互联网医院等业务对计算与存储资源的需求。</w:t>
      </w:r>
    </w:p>
    <w:p w14:paraId="574C2B0E">
      <w:pPr>
        <w:pStyle w:val="7"/>
        <w:numPr>
          <w:ilvl w:val="0"/>
          <w:numId w:val="3"/>
        </w:numPr>
        <w:rPr>
          <w:rFonts w:ascii="宋体" w:hAnsi="宋体" w:eastAsia="宋体" w:cs="宋体"/>
          <w:highlight w:val="none"/>
        </w:rPr>
      </w:pPr>
      <w:r>
        <w:rPr>
          <w:rFonts w:hint="eastAsia" w:ascii="宋体" w:hAnsi="宋体" w:eastAsia="宋体" w:cs="宋体"/>
          <w:highlight w:val="none"/>
        </w:rPr>
        <w:t xml:space="preserve">服务清单 </w:t>
      </w:r>
    </w:p>
    <w:tbl>
      <w:tblPr>
        <w:tblStyle w:val="18"/>
        <w:tblW w:w="9351" w:type="dxa"/>
        <w:jc w:val="center"/>
        <w:tblLayout w:type="autofit"/>
        <w:tblCellMar>
          <w:top w:w="0" w:type="dxa"/>
          <w:left w:w="108" w:type="dxa"/>
          <w:bottom w:w="0" w:type="dxa"/>
          <w:right w:w="108" w:type="dxa"/>
        </w:tblCellMar>
      </w:tblPr>
      <w:tblGrid>
        <w:gridCol w:w="931"/>
        <w:gridCol w:w="2109"/>
        <w:gridCol w:w="3793"/>
        <w:gridCol w:w="1259"/>
        <w:gridCol w:w="1259"/>
      </w:tblGrid>
      <w:tr w14:paraId="3AD906ED">
        <w:tblPrEx>
          <w:tblCellMar>
            <w:top w:w="0" w:type="dxa"/>
            <w:left w:w="108" w:type="dxa"/>
            <w:bottom w:w="0" w:type="dxa"/>
            <w:right w:w="108" w:type="dxa"/>
          </w:tblCellMar>
        </w:tblPrEx>
        <w:trPr>
          <w:trHeight w:val="360" w:hRule="atLeast"/>
          <w:jc w:val="center"/>
        </w:trPr>
        <w:tc>
          <w:tcPr>
            <w:tcW w:w="931" w:type="dxa"/>
            <w:tcBorders>
              <w:top w:val="single" w:color="auto" w:sz="4" w:space="0"/>
              <w:left w:val="single" w:color="auto" w:sz="4" w:space="0"/>
              <w:bottom w:val="single" w:color="auto" w:sz="4" w:space="0"/>
              <w:right w:val="single" w:color="auto" w:sz="4" w:space="0"/>
            </w:tcBorders>
            <w:vAlign w:val="center"/>
          </w:tcPr>
          <w:p w14:paraId="201CAF26">
            <w:pPr>
              <w:widowControl/>
              <w:spacing w:after="160" w:line="360" w:lineRule="auto"/>
              <w:jc w:val="center"/>
              <w:rPr>
                <w:rFonts w:ascii="宋体" w:hAnsi="宋体" w:eastAsia="宋体" w:cs="宋体"/>
                <w:color w:val="000000"/>
                <w:kern w:val="0"/>
                <w:sz w:val="24"/>
                <w:highlight w:val="none"/>
              </w:rPr>
            </w:pPr>
            <w:r>
              <w:rPr>
                <w:rFonts w:hint="eastAsia" w:ascii="宋体" w:hAnsi="宋体" w:eastAsia="宋体" w:cs="宋体"/>
                <w:color w:val="000000"/>
                <w:kern w:val="0"/>
                <w:sz w:val="24"/>
                <w:highlight w:val="none"/>
              </w:rPr>
              <w:t>序号</w:t>
            </w:r>
          </w:p>
        </w:tc>
        <w:tc>
          <w:tcPr>
            <w:tcW w:w="2109" w:type="dxa"/>
            <w:tcBorders>
              <w:top w:val="single" w:color="auto" w:sz="4" w:space="0"/>
              <w:left w:val="single" w:color="auto" w:sz="4" w:space="0"/>
              <w:bottom w:val="single" w:color="auto" w:sz="4" w:space="0"/>
              <w:right w:val="single" w:color="auto" w:sz="4" w:space="0"/>
            </w:tcBorders>
            <w:vAlign w:val="center"/>
          </w:tcPr>
          <w:p w14:paraId="07781056">
            <w:pPr>
              <w:widowControl/>
              <w:spacing w:after="160" w:line="360" w:lineRule="auto"/>
              <w:jc w:val="center"/>
              <w:rPr>
                <w:rFonts w:ascii="宋体" w:hAnsi="宋体" w:eastAsia="宋体" w:cs="宋体"/>
                <w:color w:val="000000"/>
                <w:kern w:val="0"/>
                <w:sz w:val="24"/>
                <w:highlight w:val="none"/>
              </w:rPr>
            </w:pPr>
            <w:r>
              <w:rPr>
                <w:rFonts w:hint="eastAsia" w:ascii="宋体" w:hAnsi="宋体" w:eastAsia="宋体" w:cs="宋体"/>
                <w:color w:val="000000"/>
                <w:kern w:val="0"/>
                <w:sz w:val="24"/>
                <w:highlight w:val="none"/>
              </w:rPr>
              <w:t>分项</w:t>
            </w:r>
          </w:p>
        </w:tc>
        <w:tc>
          <w:tcPr>
            <w:tcW w:w="3793" w:type="dxa"/>
            <w:tcBorders>
              <w:top w:val="single" w:color="auto" w:sz="4" w:space="0"/>
              <w:left w:val="nil"/>
              <w:bottom w:val="single" w:color="auto" w:sz="4" w:space="0"/>
              <w:right w:val="single" w:color="auto" w:sz="4" w:space="0"/>
            </w:tcBorders>
            <w:vAlign w:val="center"/>
          </w:tcPr>
          <w:p w14:paraId="24176A51">
            <w:pPr>
              <w:widowControl/>
              <w:spacing w:after="160" w:line="360" w:lineRule="auto"/>
              <w:ind w:firstLine="240" w:firstLineChars="100"/>
              <w:jc w:val="center"/>
              <w:rPr>
                <w:rFonts w:ascii="宋体" w:hAnsi="宋体" w:eastAsia="宋体" w:cs="宋体"/>
                <w:color w:val="000000"/>
                <w:kern w:val="0"/>
                <w:sz w:val="24"/>
                <w:highlight w:val="none"/>
              </w:rPr>
            </w:pPr>
            <w:r>
              <w:rPr>
                <w:rFonts w:hint="eastAsia" w:ascii="宋体" w:hAnsi="宋体" w:eastAsia="宋体" w:cs="宋体"/>
                <w:color w:val="000000"/>
                <w:kern w:val="0"/>
                <w:sz w:val="24"/>
                <w:highlight w:val="none"/>
              </w:rPr>
              <w:t>配置描述</w:t>
            </w:r>
          </w:p>
        </w:tc>
        <w:tc>
          <w:tcPr>
            <w:tcW w:w="1259" w:type="dxa"/>
            <w:tcBorders>
              <w:top w:val="single" w:color="auto" w:sz="4" w:space="0"/>
              <w:left w:val="nil"/>
              <w:bottom w:val="single" w:color="auto" w:sz="4" w:space="0"/>
              <w:right w:val="single" w:color="auto" w:sz="4" w:space="0"/>
            </w:tcBorders>
            <w:vAlign w:val="center"/>
          </w:tcPr>
          <w:p w14:paraId="31566C4F">
            <w:pPr>
              <w:widowControl/>
              <w:spacing w:after="160" w:line="360" w:lineRule="auto"/>
              <w:jc w:val="center"/>
              <w:rPr>
                <w:rFonts w:ascii="宋体" w:hAnsi="宋体" w:eastAsia="宋体" w:cs="宋体"/>
                <w:color w:val="000000"/>
                <w:kern w:val="0"/>
                <w:sz w:val="24"/>
                <w:highlight w:val="none"/>
              </w:rPr>
            </w:pPr>
            <w:r>
              <w:rPr>
                <w:rFonts w:hint="eastAsia" w:ascii="宋体" w:hAnsi="宋体" w:eastAsia="宋体" w:cs="宋体"/>
                <w:color w:val="000000"/>
                <w:kern w:val="0"/>
                <w:sz w:val="24"/>
                <w:highlight w:val="none"/>
              </w:rPr>
              <w:t>数量</w:t>
            </w:r>
          </w:p>
        </w:tc>
        <w:tc>
          <w:tcPr>
            <w:tcW w:w="1259" w:type="dxa"/>
            <w:tcBorders>
              <w:top w:val="single" w:color="auto" w:sz="4" w:space="0"/>
              <w:left w:val="nil"/>
              <w:bottom w:val="single" w:color="auto" w:sz="4" w:space="0"/>
              <w:right w:val="single" w:color="auto" w:sz="4" w:space="0"/>
            </w:tcBorders>
            <w:vAlign w:val="center"/>
          </w:tcPr>
          <w:p w14:paraId="5B85E618">
            <w:pPr>
              <w:widowControl/>
              <w:spacing w:after="160" w:line="360" w:lineRule="auto"/>
              <w:jc w:val="center"/>
              <w:rPr>
                <w:rFonts w:ascii="宋体" w:hAnsi="宋体" w:eastAsia="宋体" w:cs="宋体"/>
                <w:color w:val="000000"/>
                <w:kern w:val="0"/>
                <w:sz w:val="24"/>
                <w:highlight w:val="none"/>
              </w:rPr>
            </w:pPr>
            <w:r>
              <w:rPr>
                <w:rFonts w:hint="eastAsia" w:ascii="宋体" w:hAnsi="宋体" w:eastAsia="宋体" w:cs="宋体"/>
                <w:color w:val="000000"/>
                <w:kern w:val="0"/>
                <w:sz w:val="24"/>
                <w:highlight w:val="none"/>
              </w:rPr>
              <w:t>租用期</w:t>
            </w:r>
          </w:p>
        </w:tc>
      </w:tr>
      <w:tr w14:paraId="57A7136A">
        <w:tblPrEx>
          <w:tblCellMar>
            <w:top w:w="0" w:type="dxa"/>
            <w:left w:w="108" w:type="dxa"/>
            <w:bottom w:w="0" w:type="dxa"/>
            <w:right w:w="108" w:type="dxa"/>
          </w:tblCellMar>
        </w:tblPrEx>
        <w:trPr>
          <w:trHeight w:val="360" w:hRule="atLeast"/>
          <w:jc w:val="center"/>
        </w:trPr>
        <w:tc>
          <w:tcPr>
            <w:tcW w:w="931" w:type="dxa"/>
            <w:tcBorders>
              <w:top w:val="single" w:color="auto" w:sz="4" w:space="0"/>
              <w:left w:val="single" w:color="auto" w:sz="4" w:space="0"/>
              <w:bottom w:val="single" w:color="auto" w:sz="4" w:space="0"/>
              <w:right w:val="single" w:color="auto" w:sz="4" w:space="0"/>
            </w:tcBorders>
            <w:vAlign w:val="center"/>
          </w:tcPr>
          <w:p w14:paraId="32EB94A1">
            <w:pPr>
              <w:widowControl/>
              <w:spacing w:after="160" w:line="360" w:lineRule="auto"/>
              <w:jc w:val="center"/>
              <w:rPr>
                <w:rFonts w:ascii="宋体" w:hAnsi="宋体" w:eastAsia="宋体" w:cs="宋体"/>
                <w:color w:val="000000"/>
                <w:kern w:val="0"/>
                <w:sz w:val="24"/>
                <w:highlight w:val="none"/>
              </w:rPr>
            </w:pPr>
            <w:r>
              <w:rPr>
                <w:rFonts w:hint="eastAsia" w:ascii="宋体" w:hAnsi="宋体" w:eastAsia="宋体" w:cs="宋体"/>
                <w:color w:val="000000"/>
                <w:kern w:val="0"/>
                <w:sz w:val="24"/>
                <w:highlight w:val="none"/>
              </w:rPr>
              <w:t>1</w:t>
            </w:r>
          </w:p>
        </w:tc>
        <w:tc>
          <w:tcPr>
            <w:tcW w:w="2109" w:type="dxa"/>
            <w:tcBorders>
              <w:top w:val="single" w:color="auto" w:sz="4" w:space="0"/>
              <w:left w:val="single" w:color="auto" w:sz="4" w:space="0"/>
              <w:bottom w:val="single" w:color="auto" w:sz="4" w:space="0"/>
              <w:right w:val="single" w:color="auto" w:sz="4" w:space="0"/>
            </w:tcBorders>
            <w:vAlign w:val="center"/>
          </w:tcPr>
          <w:p w14:paraId="12B1B8DC">
            <w:pPr>
              <w:widowControl/>
              <w:spacing w:after="160" w:line="360" w:lineRule="auto"/>
              <w:jc w:val="center"/>
              <w:rPr>
                <w:rFonts w:ascii="宋体" w:hAnsi="宋体" w:eastAsia="宋体" w:cs="宋体"/>
                <w:color w:val="000000"/>
                <w:kern w:val="0"/>
                <w:sz w:val="24"/>
                <w:highlight w:val="none"/>
              </w:rPr>
            </w:pPr>
            <w:r>
              <w:rPr>
                <w:rFonts w:hint="eastAsia" w:ascii="宋体" w:hAnsi="宋体" w:eastAsia="宋体" w:cs="宋体"/>
                <w:color w:val="000000"/>
                <w:kern w:val="0"/>
                <w:sz w:val="24"/>
                <w:highlight w:val="none"/>
              </w:rPr>
              <w:t>容灾系统</w:t>
            </w:r>
          </w:p>
        </w:tc>
        <w:tc>
          <w:tcPr>
            <w:tcW w:w="3793" w:type="dxa"/>
            <w:tcBorders>
              <w:top w:val="single" w:color="auto" w:sz="4" w:space="0"/>
              <w:left w:val="nil"/>
              <w:bottom w:val="single" w:color="auto" w:sz="4" w:space="0"/>
              <w:right w:val="single" w:color="auto" w:sz="4" w:space="0"/>
            </w:tcBorders>
            <w:vAlign w:val="center"/>
          </w:tcPr>
          <w:p w14:paraId="470D97A1">
            <w:pPr>
              <w:widowControl/>
              <w:spacing w:after="160" w:line="360" w:lineRule="auto"/>
              <w:jc w:val="center"/>
              <w:rPr>
                <w:rFonts w:ascii="宋体" w:hAnsi="宋体" w:eastAsia="宋体" w:cs="宋体"/>
                <w:color w:val="000000"/>
                <w:kern w:val="0"/>
                <w:sz w:val="24"/>
                <w:highlight w:val="none"/>
              </w:rPr>
            </w:pPr>
            <w:r>
              <w:rPr>
                <w:rFonts w:hint="eastAsia" w:ascii="宋体" w:hAnsi="宋体" w:eastAsia="宋体" w:cs="宋体"/>
                <w:color w:val="000000"/>
                <w:kern w:val="0"/>
                <w:sz w:val="24"/>
                <w:highlight w:val="none"/>
              </w:rPr>
              <w:t>详见4</w:t>
            </w:r>
            <w:r>
              <w:rPr>
                <w:rFonts w:ascii="宋体" w:hAnsi="宋体" w:eastAsia="宋体" w:cs="宋体"/>
                <w:color w:val="000000"/>
                <w:kern w:val="0"/>
                <w:sz w:val="24"/>
                <w:highlight w:val="none"/>
              </w:rPr>
              <w:t>.1</w:t>
            </w:r>
          </w:p>
        </w:tc>
        <w:tc>
          <w:tcPr>
            <w:tcW w:w="1259" w:type="dxa"/>
            <w:tcBorders>
              <w:top w:val="single" w:color="auto" w:sz="4" w:space="0"/>
              <w:left w:val="nil"/>
              <w:bottom w:val="single" w:color="auto" w:sz="4" w:space="0"/>
              <w:right w:val="single" w:color="auto" w:sz="4" w:space="0"/>
            </w:tcBorders>
            <w:vAlign w:val="center"/>
          </w:tcPr>
          <w:p w14:paraId="6F7ECECE">
            <w:pPr>
              <w:widowControl/>
              <w:spacing w:after="160" w:line="360" w:lineRule="auto"/>
              <w:jc w:val="center"/>
              <w:rPr>
                <w:rFonts w:ascii="宋体" w:hAnsi="宋体" w:eastAsia="宋体" w:cs="宋体"/>
                <w:color w:val="000000"/>
                <w:kern w:val="0"/>
                <w:sz w:val="24"/>
                <w:highlight w:val="none"/>
              </w:rPr>
            </w:pPr>
            <w:r>
              <w:rPr>
                <w:rFonts w:hint="eastAsia" w:ascii="宋体" w:hAnsi="宋体" w:eastAsia="宋体" w:cs="宋体"/>
                <w:color w:val="000000"/>
                <w:kern w:val="0"/>
                <w:sz w:val="24"/>
                <w:highlight w:val="none"/>
              </w:rPr>
              <w:t>1套</w:t>
            </w:r>
          </w:p>
        </w:tc>
        <w:tc>
          <w:tcPr>
            <w:tcW w:w="1259" w:type="dxa"/>
            <w:tcBorders>
              <w:top w:val="single" w:color="auto" w:sz="4" w:space="0"/>
              <w:left w:val="nil"/>
              <w:bottom w:val="single" w:color="auto" w:sz="4" w:space="0"/>
              <w:right w:val="single" w:color="auto" w:sz="4" w:space="0"/>
            </w:tcBorders>
            <w:vAlign w:val="center"/>
          </w:tcPr>
          <w:p w14:paraId="6ED0B470">
            <w:pPr>
              <w:widowControl/>
              <w:spacing w:after="160" w:line="360" w:lineRule="auto"/>
              <w:jc w:val="center"/>
              <w:rPr>
                <w:rFonts w:ascii="宋体" w:hAnsi="宋体" w:eastAsia="宋体" w:cs="宋体"/>
                <w:color w:val="000000"/>
                <w:kern w:val="0"/>
                <w:sz w:val="24"/>
                <w:highlight w:val="none"/>
              </w:rPr>
            </w:pPr>
            <w:r>
              <w:rPr>
                <w:rFonts w:hint="eastAsia" w:ascii="宋体" w:hAnsi="宋体" w:eastAsia="宋体" w:cs="宋体"/>
                <w:color w:val="000000"/>
                <w:kern w:val="0"/>
                <w:sz w:val="24"/>
                <w:highlight w:val="none"/>
              </w:rPr>
              <w:t>1年</w:t>
            </w:r>
          </w:p>
        </w:tc>
      </w:tr>
      <w:tr w14:paraId="62EAB8E7">
        <w:tblPrEx>
          <w:tblCellMar>
            <w:top w:w="0" w:type="dxa"/>
            <w:left w:w="108" w:type="dxa"/>
            <w:bottom w:w="0" w:type="dxa"/>
            <w:right w:w="108" w:type="dxa"/>
          </w:tblCellMar>
        </w:tblPrEx>
        <w:trPr>
          <w:trHeight w:val="360" w:hRule="atLeast"/>
          <w:jc w:val="center"/>
        </w:trPr>
        <w:tc>
          <w:tcPr>
            <w:tcW w:w="931" w:type="dxa"/>
            <w:tcBorders>
              <w:top w:val="nil"/>
              <w:left w:val="single" w:color="auto" w:sz="4" w:space="0"/>
              <w:bottom w:val="single" w:color="auto" w:sz="4" w:space="0"/>
              <w:right w:val="single" w:color="auto" w:sz="4" w:space="0"/>
            </w:tcBorders>
            <w:vAlign w:val="center"/>
          </w:tcPr>
          <w:p w14:paraId="3FA0A48C">
            <w:pPr>
              <w:widowControl/>
              <w:spacing w:after="160" w:line="360" w:lineRule="auto"/>
              <w:jc w:val="center"/>
              <w:rPr>
                <w:rFonts w:ascii="宋体" w:hAnsi="宋体" w:eastAsia="宋体" w:cs="宋体"/>
                <w:color w:val="000000"/>
                <w:kern w:val="0"/>
                <w:sz w:val="24"/>
                <w:highlight w:val="none"/>
              </w:rPr>
            </w:pPr>
            <w:r>
              <w:rPr>
                <w:rFonts w:hint="eastAsia" w:ascii="宋体" w:hAnsi="宋体" w:eastAsia="宋体" w:cs="宋体"/>
                <w:color w:val="000000"/>
                <w:kern w:val="0"/>
                <w:sz w:val="24"/>
                <w:highlight w:val="none"/>
              </w:rPr>
              <w:t>2</w:t>
            </w:r>
          </w:p>
        </w:tc>
        <w:tc>
          <w:tcPr>
            <w:tcW w:w="2109" w:type="dxa"/>
            <w:tcBorders>
              <w:top w:val="nil"/>
              <w:left w:val="single" w:color="auto" w:sz="4" w:space="0"/>
              <w:bottom w:val="single" w:color="auto" w:sz="4" w:space="0"/>
              <w:right w:val="single" w:color="auto" w:sz="4" w:space="0"/>
            </w:tcBorders>
            <w:vAlign w:val="center"/>
          </w:tcPr>
          <w:p w14:paraId="10D55CF0">
            <w:pPr>
              <w:widowControl/>
              <w:spacing w:after="160" w:line="360" w:lineRule="auto"/>
              <w:jc w:val="center"/>
              <w:rPr>
                <w:rFonts w:ascii="宋体" w:hAnsi="宋体" w:eastAsia="宋体" w:cs="宋体"/>
                <w:color w:val="000000"/>
                <w:kern w:val="0"/>
                <w:sz w:val="24"/>
                <w:highlight w:val="none"/>
              </w:rPr>
            </w:pPr>
            <w:r>
              <w:rPr>
                <w:rFonts w:hint="eastAsia" w:ascii="宋体" w:hAnsi="宋体" w:eastAsia="宋体" w:cs="宋体"/>
                <w:color w:val="000000"/>
                <w:kern w:val="0"/>
                <w:sz w:val="24"/>
                <w:highlight w:val="none"/>
              </w:rPr>
              <w:t>云主机资源</w:t>
            </w:r>
          </w:p>
        </w:tc>
        <w:tc>
          <w:tcPr>
            <w:tcW w:w="3793" w:type="dxa"/>
            <w:tcBorders>
              <w:top w:val="nil"/>
              <w:left w:val="nil"/>
              <w:bottom w:val="single" w:color="auto" w:sz="4" w:space="0"/>
              <w:right w:val="single" w:color="auto" w:sz="4" w:space="0"/>
            </w:tcBorders>
            <w:vAlign w:val="center"/>
          </w:tcPr>
          <w:p w14:paraId="645B2100">
            <w:pPr>
              <w:widowControl/>
              <w:spacing w:after="160" w:line="360" w:lineRule="auto"/>
              <w:jc w:val="center"/>
              <w:rPr>
                <w:rFonts w:ascii="宋体" w:hAnsi="宋体" w:eastAsia="宋体" w:cs="宋体"/>
                <w:color w:val="000000"/>
                <w:kern w:val="0"/>
                <w:sz w:val="24"/>
                <w:highlight w:val="none"/>
              </w:rPr>
            </w:pPr>
            <w:r>
              <w:rPr>
                <w:rFonts w:hint="eastAsia" w:ascii="宋体" w:hAnsi="宋体" w:eastAsia="宋体" w:cs="宋体"/>
                <w:color w:val="000000"/>
                <w:kern w:val="0"/>
                <w:sz w:val="24"/>
                <w:highlight w:val="none"/>
              </w:rPr>
              <w:t>详见4</w:t>
            </w:r>
            <w:r>
              <w:rPr>
                <w:rFonts w:ascii="宋体" w:hAnsi="宋体" w:eastAsia="宋体" w:cs="宋体"/>
                <w:color w:val="000000"/>
                <w:kern w:val="0"/>
                <w:sz w:val="24"/>
                <w:highlight w:val="none"/>
              </w:rPr>
              <w:t>.2</w:t>
            </w:r>
          </w:p>
        </w:tc>
        <w:tc>
          <w:tcPr>
            <w:tcW w:w="1259" w:type="dxa"/>
            <w:tcBorders>
              <w:top w:val="nil"/>
              <w:left w:val="nil"/>
              <w:bottom w:val="single" w:color="auto" w:sz="4" w:space="0"/>
              <w:right w:val="single" w:color="auto" w:sz="4" w:space="0"/>
            </w:tcBorders>
            <w:vAlign w:val="center"/>
          </w:tcPr>
          <w:p w14:paraId="170DF796">
            <w:pPr>
              <w:widowControl/>
              <w:spacing w:after="160" w:line="360" w:lineRule="auto"/>
              <w:jc w:val="center"/>
              <w:rPr>
                <w:rFonts w:ascii="宋体" w:hAnsi="宋体" w:eastAsia="宋体" w:cs="宋体"/>
                <w:color w:val="000000"/>
                <w:kern w:val="0"/>
                <w:sz w:val="24"/>
                <w:highlight w:val="none"/>
              </w:rPr>
            </w:pPr>
            <w:r>
              <w:rPr>
                <w:rFonts w:hint="eastAsia" w:ascii="宋体" w:hAnsi="宋体" w:eastAsia="宋体" w:cs="宋体"/>
                <w:color w:val="000000"/>
                <w:kern w:val="0"/>
                <w:sz w:val="24"/>
                <w:highlight w:val="none"/>
              </w:rPr>
              <w:t>1套</w:t>
            </w:r>
          </w:p>
        </w:tc>
        <w:tc>
          <w:tcPr>
            <w:tcW w:w="1259" w:type="dxa"/>
            <w:tcBorders>
              <w:top w:val="nil"/>
              <w:left w:val="nil"/>
              <w:bottom w:val="single" w:color="auto" w:sz="4" w:space="0"/>
              <w:right w:val="single" w:color="auto" w:sz="4" w:space="0"/>
            </w:tcBorders>
            <w:vAlign w:val="center"/>
          </w:tcPr>
          <w:p w14:paraId="0DDFEF44">
            <w:pPr>
              <w:widowControl/>
              <w:spacing w:after="160" w:line="360" w:lineRule="auto"/>
              <w:jc w:val="center"/>
              <w:rPr>
                <w:rFonts w:ascii="宋体" w:hAnsi="宋体" w:eastAsia="宋体" w:cs="宋体"/>
                <w:color w:val="000000"/>
                <w:kern w:val="0"/>
                <w:sz w:val="24"/>
                <w:highlight w:val="none"/>
              </w:rPr>
            </w:pPr>
            <w:r>
              <w:rPr>
                <w:rFonts w:hint="eastAsia" w:ascii="宋体" w:hAnsi="宋体" w:eastAsia="宋体" w:cs="宋体"/>
                <w:color w:val="000000"/>
                <w:kern w:val="0"/>
                <w:sz w:val="24"/>
                <w:highlight w:val="none"/>
              </w:rPr>
              <w:t>1年</w:t>
            </w:r>
          </w:p>
        </w:tc>
      </w:tr>
      <w:tr w14:paraId="6B578F4A">
        <w:tblPrEx>
          <w:tblCellMar>
            <w:top w:w="0" w:type="dxa"/>
            <w:left w:w="108" w:type="dxa"/>
            <w:bottom w:w="0" w:type="dxa"/>
            <w:right w:w="108" w:type="dxa"/>
          </w:tblCellMar>
        </w:tblPrEx>
        <w:trPr>
          <w:trHeight w:val="360" w:hRule="atLeast"/>
          <w:jc w:val="center"/>
        </w:trPr>
        <w:tc>
          <w:tcPr>
            <w:tcW w:w="931" w:type="dxa"/>
            <w:tcBorders>
              <w:top w:val="nil"/>
              <w:left w:val="single" w:color="auto" w:sz="4" w:space="0"/>
              <w:bottom w:val="single" w:color="auto" w:sz="4" w:space="0"/>
              <w:right w:val="single" w:color="auto" w:sz="4" w:space="0"/>
            </w:tcBorders>
            <w:vAlign w:val="center"/>
          </w:tcPr>
          <w:p w14:paraId="61C44E68">
            <w:pPr>
              <w:widowControl/>
              <w:spacing w:after="160" w:line="360" w:lineRule="auto"/>
              <w:jc w:val="center"/>
              <w:rPr>
                <w:rFonts w:ascii="宋体" w:hAnsi="宋体" w:eastAsia="宋体" w:cs="宋体"/>
                <w:color w:val="000000"/>
                <w:kern w:val="0"/>
                <w:sz w:val="24"/>
                <w:highlight w:val="none"/>
              </w:rPr>
            </w:pPr>
            <w:r>
              <w:rPr>
                <w:rFonts w:hint="eastAsia" w:ascii="宋体" w:hAnsi="宋体" w:eastAsia="宋体" w:cs="宋体"/>
                <w:color w:val="000000"/>
                <w:kern w:val="0"/>
                <w:sz w:val="24"/>
                <w:highlight w:val="none"/>
              </w:rPr>
              <w:t>3</w:t>
            </w:r>
          </w:p>
        </w:tc>
        <w:tc>
          <w:tcPr>
            <w:tcW w:w="2109" w:type="dxa"/>
            <w:tcBorders>
              <w:top w:val="nil"/>
              <w:left w:val="single" w:color="auto" w:sz="4" w:space="0"/>
              <w:bottom w:val="single" w:color="auto" w:sz="4" w:space="0"/>
              <w:right w:val="single" w:color="auto" w:sz="4" w:space="0"/>
            </w:tcBorders>
            <w:vAlign w:val="center"/>
          </w:tcPr>
          <w:p w14:paraId="4300D97A">
            <w:pPr>
              <w:widowControl/>
              <w:spacing w:after="160" w:line="360" w:lineRule="auto"/>
              <w:jc w:val="center"/>
              <w:rPr>
                <w:rFonts w:ascii="宋体" w:hAnsi="宋体" w:eastAsia="宋体" w:cs="宋体"/>
                <w:color w:val="000000"/>
                <w:kern w:val="0"/>
                <w:sz w:val="24"/>
                <w:highlight w:val="none"/>
              </w:rPr>
            </w:pPr>
            <w:r>
              <w:rPr>
                <w:rFonts w:hint="eastAsia" w:ascii="宋体" w:hAnsi="宋体" w:eastAsia="宋体" w:cs="宋体"/>
                <w:color w:val="000000"/>
                <w:kern w:val="0"/>
                <w:sz w:val="24"/>
                <w:highlight w:val="none"/>
              </w:rPr>
              <w:t>光纤线路</w:t>
            </w:r>
          </w:p>
        </w:tc>
        <w:tc>
          <w:tcPr>
            <w:tcW w:w="3793" w:type="dxa"/>
            <w:tcBorders>
              <w:top w:val="nil"/>
              <w:left w:val="nil"/>
              <w:bottom w:val="single" w:color="auto" w:sz="4" w:space="0"/>
              <w:right w:val="single" w:color="auto" w:sz="4" w:space="0"/>
            </w:tcBorders>
            <w:vAlign w:val="center"/>
          </w:tcPr>
          <w:p w14:paraId="12A3F42A">
            <w:pPr>
              <w:widowControl/>
              <w:spacing w:after="160" w:line="360" w:lineRule="auto"/>
              <w:jc w:val="center"/>
              <w:rPr>
                <w:rFonts w:ascii="宋体" w:hAnsi="宋体" w:eastAsia="宋体" w:cs="宋体"/>
                <w:color w:val="000000"/>
                <w:kern w:val="0"/>
                <w:sz w:val="24"/>
                <w:highlight w:val="none"/>
              </w:rPr>
            </w:pPr>
            <w:r>
              <w:rPr>
                <w:rFonts w:hint="eastAsia" w:ascii="宋体" w:hAnsi="宋体" w:eastAsia="宋体" w:cs="宋体"/>
                <w:color w:val="000000"/>
                <w:kern w:val="0"/>
                <w:sz w:val="24"/>
                <w:highlight w:val="none"/>
              </w:rPr>
              <w:t>详见4</w:t>
            </w:r>
            <w:r>
              <w:rPr>
                <w:rFonts w:ascii="宋体" w:hAnsi="宋体" w:eastAsia="宋体" w:cs="宋体"/>
                <w:color w:val="000000"/>
                <w:kern w:val="0"/>
                <w:sz w:val="24"/>
                <w:highlight w:val="none"/>
              </w:rPr>
              <w:t>.3</w:t>
            </w:r>
          </w:p>
        </w:tc>
        <w:tc>
          <w:tcPr>
            <w:tcW w:w="1259" w:type="dxa"/>
            <w:tcBorders>
              <w:top w:val="nil"/>
              <w:left w:val="nil"/>
              <w:bottom w:val="single" w:color="auto" w:sz="4" w:space="0"/>
              <w:right w:val="single" w:color="auto" w:sz="4" w:space="0"/>
            </w:tcBorders>
            <w:vAlign w:val="center"/>
          </w:tcPr>
          <w:p w14:paraId="36DAB6BE">
            <w:pPr>
              <w:widowControl/>
              <w:spacing w:after="160" w:line="360" w:lineRule="auto"/>
              <w:jc w:val="center"/>
              <w:rPr>
                <w:rFonts w:ascii="宋体" w:hAnsi="宋体" w:eastAsia="宋体" w:cs="宋体"/>
                <w:color w:val="000000"/>
                <w:kern w:val="0"/>
                <w:sz w:val="24"/>
                <w:highlight w:val="none"/>
              </w:rPr>
            </w:pPr>
            <w:r>
              <w:rPr>
                <w:rFonts w:hint="eastAsia" w:ascii="宋体" w:hAnsi="宋体" w:eastAsia="宋体" w:cs="宋体"/>
                <w:color w:val="000000"/>
                <w:kern w:val="0"/>
                <w:sz w:val="24"/>
                <w:highlight w:val="none"/>
              </w:rPr>
              <w:t>2条</w:t>
            </w:r>
          </w:p>
        </w:tc>
        <w:tc>
          <w:tcPr>
            <w:tcW w:w="1259" w:type="dxa"/>
            <w:tcBorders>
              <w:top w:val="nil"/>
              <w:left w:val="nil"/>
              <w:bottom w:val="single" w:color="auto" w:sz="4" w:space="0"/>
              <w:right w:val="single" w:color="auto" w:sz="4" w:space="0"/>
            </w:tcBorders>
            <w:vAlign w:val="center"/>
          </w:tcPr>
          <w:p w14:paraId="7FA1556F">
            <w:pPr>
              <w:widowControl/>
              <w:spacing w:after="160" w:line="360" w:lineRule="auto"/>
              <w:jc w:val="center"/>
              <w:rPr>
                <w:rFonts w:ascii="宋体" w:hAnsi="宋体" w:eastAsia="宋体" w:cs="宋体"/>
                <w:color w:val="000000"/>
                <w:kern w:val="0"/>
                <w:sz w:val="24"/>
                <w:highlight w:val="none"/>
              </w:rPr>
            </w:pPr>
            <w:r>
              <w:rPr>
                <w:rFonts w:hint="eastAsia" w:ascii="宋体" w:hAnsi="宋体" w:eastAsia="宋体" w:cs="宋体"/>
                <w:color w:val="000000"/>
                <w:kern w:val="0"/>
                <w:sz w:val="24"/>
                <w:highlight w:val="none"/>
              </w:rPr>
              <w:t>1年</w:t>
            </w:r>
          </w:p>
        </w:tc>
      </w:tr>
    </w:tbl>
    <w:p w14:paraId="1920EF6A">
      <w:pPr>
        <w:pStyle w:val="7"/>
        <w:numPr>
          <w:ilvl w:val="0"/>
          <w:numId w:val="3"/>
        </w:numPr>
        <w:rPr>
          <w:rFonts w:ascii="宋体" w:hAnsi="宋体" w:eastAsia="宋体" w:cs="宋体"/>
          <w:highlight w:val="none"/>
        </w:rPr>
      </w:pPr>
      <w:r>
        <w:rPr>
          <w:rFonts w:hint="eastAsia" w:ascii="宋体" w:hAnsi="宋体" w:eastAsia="宋体" w:cs="宋体"/>
          <w:highlight w:val="none"/>
        </w:rPr>
        <w:t>详细配置参数</w:t>
      </w:r>
    </w:p>
    <w:p w14:paraId="1F8D6DC8">
      <w:pPr>
        <w:pStyle w:val="8"/>
        <w:rPr>
          <w:rFonts w:ascii="宋体" w:hAnsi="宋体" w:eastAsia="宋体"/>
          <w:highlight w:val="none"/>
        </w:rPr>
      </w:pPr>
      <w:r>
        <w:rPr>
          <w:rFonts w:hint="eastAsia" w:ascii="宋体" w:hAnsi="宋体" w:eastAsia="宋体"/>
          <w:highlight w:val="none"/>
        </w:rPr>
        <w:t>4</w:t>
      </w:r>
      <w:r>
        <w:rPr>
          <w:rFonts w:ascii="宋体" w:hAnsi="宋体" w:eastAsia="宋体"/>
          <w:highlight w:val="none"/>
        </w:rPr>
        <w:t xml:space="preserve">.1 </w:t>
      </w:r>
      <w:r>
        <w:rPr>
          <w:rFonts w:hint="eastAsia" w:ascii="宋体" w:hAnsi="宋体" w:eastAsia="宋体"/>
          <w:highlight w:val="none"/>
        </w:rPr>
        <w:t>容灾系统</w:t>
      </w:r>
    </w:p>
    <w:p w14:paraId="0FB954F2">
      <w:pPr>
        <w:pStyle w:val="32"/>
        <w:spacing w:beforeLines="0" w:afterLines="0"/>
        <w:ind w:firstLine="480"/>
        <w:rPr>
          <w:rFonts w:ascii="宋体" w:hAnsi="宋体" w:eastAsia="宋体" w:cs="宋体"/>
          <w:sz w:val="24"/>
          <w:highlight w:val="none"/>
        </w:rPr>
      </w:pPr>
      <w:r>
        <w:rPr>
          <w:rFonts w:hint="eastAsia" w:ascii="宋体" w:hAnsi="宋体" w:eastAsia="宋体" w:cs="宋体"/>
          <w:sz w:val="24"/>
          <w:highlight w:val="none"/>
        </w:rPr>
        <w:t>提供满足当前新HIS、LIS系统运行所需软硬件容灾环境，当业务系统架构发生变化时，容灾环境需做同步调整。容灾系统的设备清单，包括但不限于如下列表：</w:t>
      </w:r>
    </w:p>
    <w:p w14:paraId="53FC7FBC">
      <w:pPr>
        <w:rPr>
          <w:rFonts w:ascii="宋体" w:hAnsi="宋体" w:eastAsia="宋体" w:cs="宋体"/>
          <w:highlight w:val="none"/>
        </w:rPr>
      </w:pPr>
      <w:r>
        <w:rPr>
          <w:rFonts w:hint="eastAsia" w:ascii="宋体" w:hAnsi="宋体" w:eastAsia="宋体" w:cs="宋体"/>
          <w:highlight w:val="none"/>
        </w:rPr>
        <w:br w:type="page"/>
      </w:r>
    </w:p>
    <w:tbl>
      <w:tblPr>
        <w:tblStyle w:val="18"/>
        <w:tblW w:w="9067" w:type="dxa"/>
        <w:tblInd w:w="0" w:type="dxa"/>
        <w:tblLayout w:type="autofit"/>
        <w:tblCellMar>
          <w:top w:w="0" w:type="dxa"/>
          <w:left w:w="108" w:type="dxa"/>
          <w:bottom w:w="0" w:type="dxa"/>
          <w:right w:w="108" w:type="dxa"/>
        </w:tblCellMar>
      </w:tblPr>
      <w:tblGrid>
        <w:gridCol w:w="846"/>
        <w:gridCol w:w="1417"/>
        <w:gridCol w:w="5103"/>
        <w:gridCol w:w="851"/>
        <w:gridCol w:w="850"/>
      </w:tblGrid>
      <w:tr w14:paraId="27BFE777">
        <w:tblPrEx>
          <w:tblCellMar>
            <w:top w:w="0" w:type="dxa"/>
            <w:left w:w="108" w:type="dxa"/>
            <w:bottom w:w="0" w:type="dxa"/>
            <w:right w:w="108" w:type="dxa"/>
          </w:tblCellMar>
        </w:tblPrEx>
        <w:trPr>
          <w:trHeight w:val="680" w:hRule="atLeast"/>
        </w:trPr>
        <w:tc>
          <w:tcPr>
            <w:tcW w:w="846" w:type="dxa"/>
            <w:tcBorders>
              <w:top w:val="single" w:color="auto" w:sz="4" w:space="0"/>
              <w:left w:val="single" w:color="auto" w:sz="4" w:space="0"/>
              <w:bottom w:val="single" w:color="auto" w:sz="4" w:space="0"/>
              <w:right w:val="single" w:color="auto" w:sz="4" w:space="0"/>
            </w:tcBorders>
            <w:vAlign w:val="center"/>
          </w:tcPr>
          <w:p w14:paraId="12D7C9CF">
            <w:pPr>
              <w:widowControl/>
              <w:spacing w:line="360" w:lineRule="auto"/>
              <w:jc w:val="center"/>
              <w:rPr>
                <w:rFonts w:ascii="宋体" w:hAnsi="宋体" w:eastAsia="宋体" w:cs="宋体"/>
                <w:b/>
                <w:color w:val="000000"/>
                <w:kern w:val="0"/>
                <w:szCs w:val="21"/>
                <w:highlight w:val="none"/>
              </w:rPr>
            </w:pPr>
            <w:r>
              <w:rPr>
                <w:rFonts w:hint="eastAsia" w:ascii="宋体" w:hAnsi="宋体" w:eastAsia="宋体" w:cs="宋体"/>
                <w:b/>
                <w:color w:val="000000"/>
                <w:kern w:val="0"/>
                <w:szCs w:val="21"/>
                <w:highlight w:val="none"/>
              </w:rPr>
              <w:t>序号</w:t>
            </w:r>
          </w:p>
        </w:tc>
        <w:tc>
          <w:tcPr>
            <w:tcW w:w="1417" w:type="dxa"/>
            <w:tcBorders>
              <w:top w:val="single" w:color="auto" w:sz="4" w:space="0"/>
              <w:left w:val="nil"/>
              <w:bottom w:val="single" w:color="auto" w:sz="4" w:space="0"/>
              <w:right w:val="single" w:color="auto" w:sz="4" w:space="0"/>
            </w:tcBorders>
            <w:vAlign w:val="center"/>
          </w:tcPr>
          <w:p w14:paraId="40C4A944">
            <w:pPr>
              <w:widowControl/>
              <w:spacing w:line="360" w:lineRule="auto"/>
              <w:jc w:val="center"/>
              <w:rPr>
                <w:rFonts w:ascii="宋体" w:hAnsi="宋体" w:eastAsia="宋体" w:cs="宋体"/>
                <w:b/>
                <w:color w:val="000000"/>
                <w:kern w:val="0"/>
                <w:szCs w:val="21"/>
                <w:highlight w:val="none"/>
              </w:rPr>
            </w:pPr>
            <w:r>
              <w:rPr>
                <w:rFonts w:hint="eastAsia" w:ascii="宋体" w:hAnsi="宋体" w:eastAsia="宋体" w:cs="宋体"/>
                <w:b/>
                <w:color w:val="000000"/>
                <w:kern w:val="0"/>
                <w:szCs w:val="21"/>
                <w:highlight w:val="none"/>
              </w:rPr>
              <w:t>归属</w:t>
            </w:r>
          </w:p>
        </w:tc>
        <w:tc>
          <w:tcPr>
            <w:tcW w:w="5103" w:type="dxa"/>
            <w:tcBorders>
              <w:top w:val="single" w:color="auto" w:sz="4" w:space="0"/>
              <w:left w:val="nil"/>
              <w:bottom w:val="single" w:color="auto" w:sz="4" w:space="0"/>
              <w:right w:val="single" w:color="auto" w:sz="4" w:space="0"/>
            </w:tcBorders>
            <w:vAlign w:val="center"/>
          </w:tcPr>
          <w:p w14:paraId="0CE6A893">
            <w:pPr>
              <w:widowControl/>
              <w:spacing w:line="360" w:lineRule="auto"/>
              <w:jc w:val="center"/>
              <w:rPr>
                <w:rFonts w:ascii="宋体" w:hAnsi="宋体" w:eastAsia="宋体" w:cs="宋体"/>
                <w:b/>
                <w:color w:val="000000"/>
                <w:kern w:val="0"/>
                <w:szCs w:val="21"/>
                <w:highlight w:val="none"/>
              </w:rPr>
            </w:pPr>
            <w:r>
              <w:rPr>
                <w:rFonts w:hint="eastAsia" w:ascii="宋体" w:hAnsi="宋体" w:eastAsia="宋体" w:cs="宋体"/>
                <w:b/>
                <w:color w:val="000000"/>
                <w:kern w:val="0"/>
                <w:szCs w:val="21"/>
                <w:highlight w:val="none"/>
              </w:rPr>
              <w:t>配置</w:t>
            </w:r>
          </w:p>
        </w:tc>
        <w:tc>
          <w:tcPr>
            <w:tcW w:w="851" w:type="dxa"/>
            <w:tcBorders>
              <w:top w:val="single" w:color="auto" w:sz="4" w:space="0"/>
              <w:left w:val="nil"/>
              <w:bottom w:val="single" w:color="auto" w:sz="4" w:space="0"/>
              <w:right w:val="single" w:color="auto" w:sz="4" w:space="0"/>
            </w:tcBorders>
            <w:vAlign w:val="center"/>
          </w:tcPr>
          <w:p w14:paraId="5838F524">
            <w:pPr>
              <w:widowControl/>
              <w:spacing w:line="360" w:lineRule="auto"/>
              <w:jc w:val="center"/>
              <w:rPr>
                <w:rFonts w:ascii="宋体" w:hAnsi="宋体" w:eastAsia="宋体" w:cs="宋体"/>
                <w:b/>
                <w:color w:val="000000"/>
                <w:kern w:val="0"/>
                <w:szCs w:val="21"/>
                <w:highlight w:val="none"/>
              </w:rPr>
            </w:pPr>
            <w:r>
              <w:rPr>
                <w:rFonts w:hint="eastAsia" w:ascii="宋体" w:hAnsi="宋体" w:eastAsia="宋体" w:cs="宋体"/>
                <w:b/>
                <w:color w:val="000000"/>
                <w:kern w:val="0"/>
                <w:szCs w:val="21"/>
                <w:highlight w:val="none"/>
              </w:rPr>
              <w:t>数量</w:t>
            </w:r>
          </w:p>
        </w:tc>
        <w:tc>
          <w:tcPr>
            <w:tcW w:w="850" w:type="dxa"/>
            <w:tcBorders>
              <w:top w:val="single" w:color="auto" w:sz="4" w:space="0"/>
              <w:left w:val="nil"/>
              <w:bottom w:val="single" w:color="auto" w:sz="4" w:space="0"/>
              <w:right w:val="single" w:color="auto" w:sz="4" w:space="0"/>
            </w:tcBorders>
            <w:vAlign w:val="center"/>
          </w:tcPr>
          <w:p w14:paraId="33D75A1D">
            <w:pPr>
              <w:widowControl/>
              <w:spacing w:line="360" w:lineRule="auto"/>
              <w:jc w:val="center"/>
              <w:rPr>
                <w:rFonts w:ascii="宋体" w:hAnsi="宋体" w:eastAsia="宋体" w:cs="宋体"/>
                <w:b/>
                <w:color w:val="000000"/>
                <w:kern w:val="0"/>
                <w:szCs w:val="21"/>
                <w:highlight w:val="none"/>
              </w:rPr>
            </w:pPr>
            <w:r>
              <w:rPr>
                <w:rFonts w:hint="eastAsia" w:ascii="宋体" w:hAnsi="宋体" w:eastAsia="宋体" w:cs="宋体"/>
                <w:b/>
                <w:color w:val="000000"/>
                <w:kern w:val="0"/>
                <w:szCs w:val="21"/>
                <w:highlight w:val="none"/>
              </w:rPr>
              <w:t>单位</w:t>
            </w:r>
          </w:p>
        </w:tc>
      </w:tr>
      <w:tr w14:paraId="3B1C050B">
        <w:tblPrEx>
          <w:tblCellMar>
            <w:top w:w="0" w:type="dxa"/>
            <w:left w:w="108" w:type="dxa"/>
            <w:bottom w:w="0" w:type="dxa"/>
            <w:right w:w="108" w:type="dxa"/>
          </w:tblCellMar>
        </w:tblPrEx>
        <w:trPr>
          <w:trHeight w:val="680" w:hRule="atLeast"/>
        </w:trPr>
        <w:tc>
          <w:tcPr>
            <w:tcW w:w="846" w:type="dxa"/>
            <w:tcBorders>
              <w:top w:val="nil"/>
              <w:left w:val="single" w:color="auto" w:sz="4" w:space="0"/>
              <w:bottom w:val="single" w:color="auto" w:sz="4" w:space="0"/>
              <w:right w:val="single" w:color="auto" w:sz="4" w:space="0"/>
            </w:tcBorders>
            <w:vAlign w:val="center"/>
          </w:tcPr>
          <w:p w14:paraId="2A270200">
            <w:pPr>
              <w:widowControl/>
              <w:spacing w:line="360" w:lineRule="auto"/>
              <w:jc w:val="center"/>
              <w:rPr>
                <w:rFonts w:ascii="宋体" w:hAnsi="宋体" w:eastAsia="宋体" w:cs="宋体"/>
                <w:color w:val="000000"/>
                <w:kern w:val="0"/>
                <w:szCs w:val="21"/>
                <w:highlight w:val="none"/>
              </w:rPr>
            </w:pPr>
            <w:r>
              <w:rPr>
                <w:rFonts w:hint="eastAsia" w:ascii="宋体" w:hAnsi="宋体" w:eastAsia="宋体" w:cs="宋体"/>
                <w:color w:val="000000"/>
                <w:kern w:val="0"/>
                <w:szCs w:val="21"/>
                <w:highlight w:val="none"/>
              </w:rPr>
              <w:t>1</w:t>
            </w:r>
          </w:p>
        </w:tc>
        <w:tc>
          <w:tcPr>
            <w:tcW w:w="1417" w:type="dxa"/>
            <w:tcBorders>
              <w:top w:val="nil"/>
              <w:left w:val="nil"/>
              <w:bottom w:val="single" w:color="auto" w:sz="4" w:space="0"/>
              <w:right w:val="single" w:color="auto" w:sz="4" w:space="0"/>
            </w:tcBorders>
            <w:vAlign w:val="center"/>
          </w:tcPr>
          <w:p w14:paraId="34D10216">
            <w:pPr>
              <w:widowControl/>
              <w:jc w:val="center"/>
              <w:rPr>
                <w:rFonts w:ascii="宋体" w:hAnsi="宋体" w:eastAsia="宋体" w:cs="宋体"/>
                <w:color w:val="000000"/>
                <w:kern w:val="0"/>
                <w:szCs w:val="21"/>
                <w:highlight w:val="none"/>
              </w:rPr>
            </w:pPr>
            <w:r>
              <w:rPr>
                <w:rFonts w:hint="eastAsia" w:ascii="宋体" w:hAnsi="宋体" w:eastAsia="宋体" w:cs="宋体"/>
                <w:color w:val="000000"/>
                <w:kern w:val="0"/>
                <w:szCs w:val="21"/>
                <w:highlight w:val="none"/>
              </w:rPr>
              <w:t>大内存计算节点集群</w:t>
            </w:r>
          </w:p>
        </w:tc>
        <w:tc>
          <w:tcPr>
            <w:tcW w:w="5103" w:type="dxa"/>
            <w:tcBorders>
              <w:top w:val="nil"/>
              <w:left w:val="nil"/>
              <w:bottom w:val="single" w:color="auto" w:sz="4" w:space="0"/>
              <w:right w:val="single" w:color="auto" w:sz="4" w:space="0"/>
            </w:tcBorders>
            <w:vAlign w:val="center"/>
          </w:tcPr>
          <w:p w14:paraId="6AF4A2FE">
            <w:pPr>
              <w:widowControl/>
              <w:rPr>
                <w:rFonts w:ascii="宋体" w:hAnsi="宋体" w:eastAsia="宋体" w:cs="宋体"/>
                <w:color w:val="000000"/>
                <w:kern w:val="0"/>
                <w:szCs w:val="21"/>
                <w:highlight w:val="none"/>
              </w:rPr>
            </w:pPr>
            <w:r>
              <w:rPr>
                <w:rFonts w:hint="eastAsia" w:ascii="宋体" w:hAnsi="宋体" w:eastAsia="宋体" w:cs="宋体"/>
                <w:color w:val="000000"/>
                <w:kern w:val="0"/>
                <w:szCs w:val="21"/>
                <w:highlight w:val="none"/>
              </w:rPr>
              <w:t>1</w:t>
            </w:r>
            <w:r>
              <w:rPr>
                <w:rFonts w:ascii="宋体" w:hAnsi="宋体" w:eastAsia="宋体" w:cs="宋体"/>
                <w:color w:val="000000"/>
                <w:kern w:val="0"/>
                <w:szCs w:val="21"/>
                <w:highlight w:val="none"/>
              </w:rPr>
              <w:t>.</w:t>
            </w:r>
            <w:r>
              <w:rPr>
                <w:rFonts w:hint="eastAsia" w:ascii="宋体" w:hAnsi="宋体" w:eastAsia="宋体" w:cs="宋体"/>
                <w:color w:val="000000"/>
                <w:kern w:val="0"/>
                <w:szCs w:val="21"/>
                <w:highlight w:val="none"/>
              </w:rPr>
              <w:t>硬件配置</w:t>
            </w:r>
          </w:p>
          <w:p w14:paraId="1EBC063B">
            <w:pPr>
              <w:widowControl/>
              <w:rPr>
                <w:rFonts w:ascii="宋体" w:hAnsi="宋体" w:eastAsia="宋体" w:cs="宋体"/>
                <w:color w:val="000000"/>
                <w:kern w:val="0"/>
                <w:szCs w:val="21"/>
                <w:highlight w:val="none"/>
              </w:rPr>
            </w:pPr>
            <w:r>
              <w:rPr>
                <w:rFonts w:hint="eastAsia" w:ascii="宋体" w:hAnsi="宋体" w:eastAsia="宋体" w:cs="宋体"/>
                <w:color w:val="000000"/>
                <w:kern w:val="0"/>
                <w:szCs w:val="21"/>
                <w:highlight w:val="none"/>
              </w:rPr>
              <w:t>CPU：每台提供不少于4</w:t>
            </w:r>
            <w:r>
              <w:rPr>
                <w:rFonts w:ascii="宋体" w:hAnsi="宋体" w:eastAsia="宋体" w:cs="宋体"/>
                <w:color w:val="000000"/>
                <w:kern w:val="0"/>
                <w:szCs w:val="21"/>
                <w:highlight w:val="none"/>
              </w:rPr>
              <w:t>8</w:t>
            </w:r>
            <w:r>
              <w:rPr>
                <w:rFonts w:hint="eastAsia" w:ascii="宋体" w:hAnsi="宋体" w:eastAsia="宋体" w:cs="宋体"/>
                <w:color w:val="000000"/>
                <w:kern w:val="0"/>
                <w:szCs w:val="21"/>
                <w:highlight w:val="none"/>
              </w:rPr>
              <w:t>个物理核，主频不低于</w:t>
            </w:r>
            <w:r>
              <w:rPr>
                <w:rFonts w:ascii="宋体" w:hAnsi="宋体" w:eastAsia="宋体" w:cs="宋体"/>
                <w:color w:val="000000"/>
                <w:kern w:val="0"/>
                <w:szCs w:val="21"/>
                <w:highlight w:val="none"/>
              </w:rPr>
              <w:t>2.2</w:t>
            </w:r>
            <w:r>
              <w:rPr>
                <w:rFonts w:hint="eastAsia" w:ascii="宋体" w:hAnsi="宋体" w:eastAsia="宋体" w:cs="宋体"/>
                <w:color w:val="000000"/>
                <w:kern w:val="0"/>
                <w:szCs w:val="21"/>
                <w:highlight w:val="none"/>
              </w:rPr>
              <w:t xml:space="preserve"> G</w:t>
            </w:r>
            <w:r>
              <w:rPr>
                <w:rFonts w:ascii="宋体" w:hAnsi="宋体" w:eastAsia="宋体" w:cs="Segoe UI"/>
                <w:color w:val="303133"/>
                <w:szCs w:val="21"/>
                <w:highlight w:val="none"/>
                <w:shd w:val="clear" w:color="auto" w:fill="FFFFFF"/>
              </w:rPr>
              <w:t>Hz</w:t>
            </w:r>
            <w:r>
              <w:rPr>
                <w:rFonts w:hint="eastAsia" w:ascii="宋体" w:hAnsi="宋体" w:eastAsia="宋体" w:cs="宋体"/>
                <w:color w:val="000000"/>
                <w:kern w:val="0"/>
                <w:szCs w:val="21"/>
                <w:highlight w:val="none"/>
              </w:rPr>
              <w:br w:type="textWrapping"/>
            </w:r>
            <w:r>
              <w:rPr>
                <w:rFonts w:hint="eastAsia" w:ascii="宋体" w:hAnsi="宋体" w:eastAsia="宋体" w:cs="宋体"/>
                <w:color w:val="000000"/>
                <w:kern w:val="0"/>
                <w:szCs w:val="21"/>
                <w:highlight w:val="none"/>
              </w:rPr>
              <w:t>内存：每台提供不少于1152GB内存</w:t>
            </w:r>
          </w:p>
          <w:p w14:paraId="0312ADB2">
            <w:pPr>
              <w:widowControl/>
              <w:rPr>
                <w:rFonts w:ascii="宋体" w:hAnsi="宋体" w:eastAsia="宋体" w:cs="宋体"/>
                <w:color w:val="000000"/>
                <w:kern w:val="0"/>
                <w:szCs w:val="21"/>
                <w:highlight w:val="none"/>
              </w:rPr>
            </w:pPr>
            <w:r>
              <w:rPr>
                <w:rFonts w:hint="eastAsia" w:ascii="宋体" w:hAnsi="宋体" w:eastAsia="宋体" w:cs="宋体"/>
                <w:color w:val="000000"/>
                <w:kern w:val="0"/>
                <w:szCs w:val="21"/>
                <w:highlight w:val="none"/>
              </w:rPr>
              <w:t>内存类型：</w:t>
            </w:r>
            <w:r>
              <w:rPr>
                <w:rFonts w:ascii="宋体" w:hAnsi="宋体" w:eastAsia="宋体" w:cs="宋体"/>
                <w:color w:val="000000"/>
                <w:kern w:val="0"/>
                <w:szCs w:val="21"/>
                <w:highlight w:val="none"/>
              </w:rPr>
              <w:t>DDR4 或更高版本；内存频率：≥ 2700MHz</w:t>
            </w:r>
            <w:r>
              <w:rPr>
                <w:rFonts w:hint="eastAsia" w:ascii="宋体" w:hAnsi="宋体" w:eastAsia="宋体" w:cs="宋体"/>
                <w:color w:val="000000"/>
                <w:kern w:val="0"/>
                <w:szCs w:val="21"/>
                <w:highlight w:val="none"/>
              </w:rPr>
              <w:br w:type="textWrapping"/>
            </w:r>
            <w:r>
              <w:rPr>
                <w:rFonts w:hint="eastAsia" w:ascii="宋体" w:hAnsi="宋体" w:eastAsia="宋体" w:cs="宋体"/>
                <w:color w:val="000000"/>
                <w:kern w:val="0"/>
                <w:szCs w:val="21"/>
                <w:highlight w:val="none"/>
              </w:rPr>
              <w:t>系统盘：每台提供不少于</w:t>
            </w:r>
            <w:r>
              <w:rPr>
                <w:rFonts w:ascii="宋体" w:hAnsi="宋体" w:eastAsia="宋体" w:cs="宋体"/>
                <w:color w:val="000000"/>
                <w:kern w:val="0"/>
                <w:szCs w:val="21"/>
                <w:highlight w:val="none"/>
              </w:rPr>
              <w:t>2块SSD，单块容量≥240GB，接口类型：SATA或更优</w:t>
            </w:r>
            <w:r>
              <w:rPr>
                <w:rFonts w:hint="eastAsia" w:ascii="宋体" w:hAnsi="宋体" w:eastAsia="宋体" w:cs="宋体"/>
                <w:color w:val="000000"/>
                <w:kern w:val="0"/>
                <w:szCs w:val="21"/>
                <w:highlight w:val="none"/>
              </w:rPr>
              <w:br w:type="textWrapping"/>
            </w:r>
            <w:r>
              <w:rPr>
                <w:rFonts w:hint="eastAsia" w:ascii="宋体" w:hAnsi="宋体" w:eastAsia="宋体" w:cs="宋体"/>
                <w:color w:val="000000"/>
                <w:kern w:val="0"/>
                <w:szCs w:val="21"/>
                <w:highlight w:val="none"/>
              </w:rPr>
              <w:t>存储盘：每台提供不少于</w:t>
            </w:r>
            <w:r>
              <w:rPr>
                <w:rFonts w:ascii="宋体" w:hAnsi="宋体" w:eastAsia="宋体" w:cs="宋体"/>
                <w:color w:val="000000"/>
                <w:kern w:val="0"/>
                <w:szCs w:val="21"/>
                <w:highlight w:val="none"/>
              </w:rPr>
              <w:t>4块SSD，单块容量≥1.92TB，接口类型：SATA或更优；不少于4块HDD，单块容量≥6TB，转速≥7200RPM，</w:t>
            </w:r>
            <w:bookmarkStart w:id="0" w:name="_GoBack"/>
            <w:bookmarkEnd w:id="0"/>
            <w:r>
              <w:rPr>
                <w:rFonts w:ascii="宋体" w:hAnsi="宋体" w:eastAsia="宋体" w:cs="宋体"/>
                <w:color w:val="000000"/>
                <w:kern w:val="0"/>
                <w:szCs w:val="21"/>
                <w:highlight w:val="none"/>
              </w:rPr>
              <w:t>尺寸：2.5英寸或3.5英寸</w:t>
            </w:r>
            <w:r>
              <w:rPr>
                <w:rFonts w:hint="eastAsia" w:ascii="宋体" w:hAnsi="宋体" w:eastAsia="宋体" w:cs="宋体"/>
                <w:color w:val="000000"/>
                <w:kern w:val="0"/>
                <w:szCs w:val="21"/>
                <w:highlight w:val="none"/>
              </w:rPr>
              <w:br w:type="textWrapping"/>
            </w:r>
            <w:r>
              <w:rPr>
                <w:rFonts w:hint="eastAsia" w:ascii="宋体" w:hAnsi="宋体" w:eastAsia="宋体" w:cs="宋体"/>
                <w:color w:val="000000"/>
                <w:kern w:val="0"/>
                <w:szCs w:val="21"/>
                <w:highlight w:val="none"/>
              </w:rPr>
              <w:t>网卡：每台提供不少于4个千兆电口和不少于4个万兆光口</w:t>
            </w:r>
          </w:p>
          <w:p w14:paraId="04401837">
            <w:pPr>
              <w:widowControl/>
              <w:spacing w:after="0"/>
              <w:rPr>
                <w:rFonts w:ascii="Calibri" w:hAnsi="Calibri" w:eastAsia="宋体" w:cs="Times New Roman"/>
                <w:highlight w:val="none"/>
              </w:rPr>
            </w:pPr>
            <w:r>
              <w:rPr>
                <w:rFonts w:hint="eastAsia" w:ascii="Calibri" w:hAnsi="Calibri" w:eastAsia="宋体" w:cs="Times New Roman"/>
                <w:highlight w:val="none"/>
                <w:lang w:val="en-US" w:eastAsia="zh-CN"/>
              </w:rPr>
              <w:t>2</w:t>
            </w:r>
            <w:r>
              <w:rPr>
                <w:rFonts w:hint="eastAsia" w:ascii="Calibri" w:hAnsi="Calibri" w:eastAsia="宋体" w:cs="Times New Roman"/>
                <w:highlight w:val="none"/>
              </w:rPr>
              <w:t>. 软件层面支持</w:t>
            </w:r>
            <w:r>
              <w:rPr>
                <w:rFonts w:ascii="Calibri" w:hAnsi="Calibri" w:eastAsia="宋体" w:cs="Times New Roman"/>
                <w:highlight w:val="none"/>
              </w:rPr>
              <w:t>CPU预留机制，能够为高优先级业务虚拟机提供动态资源保障，确保其在资源需求高峰期优先获取CPU资源，同时有效隔离低优先级任务的干扰。针对具有周期性峰谷特征的业务负载，系统支持按时间段配置CPU预留策略，在保障业务性能的同时最大化CPU利用率。此外，支持设置主机级别的全局CPU预留比例，为核心业务虚拟机提供底层资源兜底保障</w:t>
            </w:r>
            <w:r>
              <w:rPr>
                <w:rFonts w:hint="eastAsia" w:ascii="Calibri" w:hAnsi="Calibri" w:eastAsia="宋体" w:cs="Times New Roman"/>
                <w:highlight w:val="none"/>
              </w:rPr>
              <w:t>；</w:t>
            </w:r>
          </w:p>
          <w:p w14:paraId="1CD26B79">
            <w:pPr>
              <w:widowControl/>
              <w:spacing w:after="0"/>
              <w:rPr>
                <w:rFonts w:ascii="Calibri" w:hAnsi="Calibri" w:eastAsia="宋体" w:cs="Times New Roman"/>
                <w:highlight w:val="none"/>
              </w:rPr>
            </w:pPr>
          </w:p>
          <w:p w14:paraId="4F71B482">
            <w:pPr>
              <w:widowControl/>
              <w:spacing w:after="0"/>
              <w:rPr>
                <w:rFonts w:hint="eastAsia" w:ascii="Calibri" w:hAnsi="Calibri" w:eastAsia="宋体" w:cs="Times New Roman"/>
                <w:highlight w:val="none"/>
              </w:rPr>
            </w:pPr>
            <w:r>
              <w:rPr>
                <w:rFonts w:hint="eastAsia" w:ascii="Calibri" w:hAnsi="Calibri" w:eastAsia="宋体" w:cs="Times New Roman"/>
                <w:highlight w:val="none"/>
                <w:lang w:val="en-US" w:eastAsia="zh-CN"/>
              </w:rPr>
              <w:t>3</w:t>
            </w:r>
            <w:r>
              <w:rPr>
                <w:rFonts w:hint="eastAsia" w:ascii="Calibri" w:hAnsi="Calibri" w:eastAsia="宋体" w:cs="Times New Roman"/>
                <w:highlight w:val="none"/>
              </w:rPr>
              <w:t>. 软件层面支持存储条带化技术以显著提升存储性能。系统支持以虚拟磁盘为粒度自定义条带数，使用者仅需在界面中即可便捷完成配置，实现性能与资源的按需分配；</w:t>
            </w:r>
          </w:p>
          <w:p w14:paraId="2D5E48FA">
            <w:pPr>
              <w:widowControl/>
              <w:spacing w:after="0"/>
              <w:rPr>
                <w:rFonts w:hint="eastAsia" w:ascii="Calibri" w:hAnsi="Calibri" w:eastAsia="宋体" w:cs="Times New Roman"/>
                <w:highlight w:val="none"/>
              </w:rPr>
            </w:pPr>
          </w:p>
          <w:p w14:paraId="5826B7DE">
            <w:pPr>
              <w:widowControl/>
              <w:rPr>
                <w:rFonts w:ascii="宋体" w:hAnsi="宋体" w:eastAsia="宋体" w:cs="Times New Roman"/>
                <w:szCs w:val="21"/>
                <w:highlight w:val="none"/>
              </w:rPr>
            </w:pPr>
            <w:r>
              <w:rPr>
                <w:rFonts w:hint="eastAsia" w:ascii="宋体" w:hAnsi="宋体" w:eastAsia="宋体" w:cs="Times New Roman"/>
                <w:szCs w:val="21"/>
                <w:highlight w:val="none"/>
                <w:lang w:val="en-US" w:eastAsia="zh-CN"/>
              </w:rPr>
              <w:t>4</w:t>
            </w:r>
            <w:r>
              <w:rPr>
                <w:rFonts w:hint="eastAsia" w:ascii="宋体" w:hAnsi="宋体" w:eastAsia="宋体" w:cs="Times New Roman"/>
                <w:szCs w:val="21"/>
                <w:highlight w:val="none"/>
              </w:rPr>
              <w:t>. 软件层面支持内存</w:t>
            </w:r>
            <w:r>
              <w:rPr>
                <w:rFonts w:ascii="宋体" w:hAnsi="宋体" w:eastAsia="宋体" w:cs="Times New Roman"/>
                <w:szCs w:val="21"/>
                <w:highlight w:val="none"/>
              </w:rPr>
              <w:t>ECC自动纠错与故障隔离机制。当检测到物理主机内存出现可纠正错误（CE）或不可纠正错误（UE）时，系统能够自动隔离故障内存空间，并精准告警故障内存条槽位，从而有效降低内存硬件问题对业务稳定性的影响。</w:t>
            </w:r>
          </w:p>
        </w:tc>
        <w:tc>
          <w:tcPr>
            <w:tcW w:w="851" w:type="dxa"/>
            <w:tcBorders>
              <w:top w:val="nil"/>
              <w:left w:val="nil"/>
              <w:bottom w:val="single" w:color="auto" w:sz="4" w:space="0"/>
              <w:right w:val="single" w:color="auto" w:sz="4" w:space="0"/>
            </w:tcBorders>
            <w:vAlign w:val="center"/>
          </w:tcPr>
          <w:p w14:paraId="0A1D5C3C">
            <w:pPr>
              <w:widowControl/>
              <w:jc w:val="center"/>
              <w:rPr>
                <w:rFonts w:ascii="宋体" w:hAnsi="宋体" w:eastAsia="宋体" w:cs="宋体"/>
                <w:color w:val="000000"/>
                <w:kern w:val="0"/>
                <w:szCs w:val="21"/>
                <w:highlight w:val="none"/>
              </w:rPr>
            </w:pPr>
            <w:r>
              <w:rPr>
                <w:rFonts w:hint="eastAsia" w:ascii="宋体" w:hAnsi="宋体" w:eastAsia="宋体" w:cs="宋体"/>
                <w:color w:val="000000"/>
                <w:kern w:val="0"/>
                <w:szCs w:val="21"/>
                <w:highlight w:val="none"/>
              </w:rPr>
              <w:t>7</w:t>
            </w:r>
          </w:p>
        </w:tc>
        <w:tc>
          <w:tcPr>
            <w:tcW w:w="850" w:type="dxa"/>
            <w:tcBorders>
              <w:top w:val="nil"/>
              <w:left w:val="nil"/>
              <w:bottom w:val="single" w:color="auto" w:sz="4" w:space="0"/>
              <w:right w:val="single" w:color="auto" w:sz="4" w:space="0"/>
            </w:tcBorders>
            <w:vAlign w:val="center"/>
          </w:tcPr>
          <w:p w14:paraId="6E17FEF5">
            <w:pPr>
              <w:widowControl/>
              <w:spacing w:line="360" w:lineRule="auto"/>
              <w:jc w:val="center"/>
              <w:rPr>
                <w:rFonts w:ascii="宋体" w:hAnsi="宋体" w:eastAsia="宋体" w:cs="宋体"/>
                <w:color w:val="000000"/>
                <w:kern w:val="0"/>
                <w:szCs w:val="21"/>
                <w:highlight w:val="none"/>
              </w:rPr>
            </w:pPr>
            <w:r>
              <w:rPr>
                <w:rFonts w:hint="eastAsia" w:ascii="宋体" w:hAnsi="宋体" w:eastAsia="宋体" w:cs="宋体"/>
                <w:color w:val="000000"/>
                <w:kern w:val="0"/>
                <w:szCs w:val="21"/>
                <w:highlight w:val="none"/>
              </w:rPr>
              <w:t>台</w:t>
            </w:r>
          </w:p>
        </w:tc>
      </w:tr>
      <w:tr w14:paraId="592E3211">
        <w:tblPrEx>
          <w:tblCellMar>
            <w:top w:w="0" w:type="dxa"/>
            <w:left w:w="108" w:type="dxa"/>
            <w:bottom w:w="0" w:type="dxa"/>
            <w:right w:w="108" w:type="dxa"/>
          </w:tblCellMar>
        </w:tblPrEx>
        <w:trPr>
          <w:trHeight w:val="680" w:hRule="atLeast"/>
        </w:trPr>
        <w:tc>
          <w:tcPr>
            <w:tcW w:w="846" w:type="dxa"/>
            <w:tcBorders>
              <w:top w:val="nil"/>
              <w:left w:val="single" w:color="auto" w:sz="4" w:space="0"/>
              <w:bottom w:val="single" w:color="auto" w:sz="4" w:space="0"/>
              <w:right w:val="single" w:color="auto" w:sz="4" w:space="0"/>
            </w:tcBorders>
            <w:shd w:val="clear" w:color="auto" w:fill="auto"/>
            <w:vAlign w:val="center"/>
          </w:tcPr>
          <w:p w14:paraId="5B2FE72A">
            <w:pPr>
              <w:widowControl/>
              <w:jc w:val="center"/>
              <w:rPr>
                <w:rFonts w:ascii="宋体" w:hAnsi="宋体" w:eastAsia="宋体" w:cs="宋体"/>
                <w:color w:val="000000"/>
                <w:kern w:val="0"/>
                <w:szCs w:val="21"/>
                <w:highlight w:val="none"/>
              </w:rPr>
            </w:pPr>
            <w:r>
              <w:rPr>
                <w:rFonts w:hint="eastAsia" w:ascii="宋体" w:hAnsi="宋体" w:eastAsia="宋体" w:cs="宋体"/>
                <w:color w:val="000000"/>
                <w:kern w:val="0"/>
                <w:szCs w:val="21"/>
                <w:highlight w:val="none"/>
              </w:rPr>
              <w:t>2</w:t>
            </w:r>
          </w:p>
        </w:tc>
        <w:tc>
          <w:tcPr>
            <w:tcW w:w="1417" w:type="dxa"/>
            <w:tcBorders>
              <w:top w:val="nil"/>
              <w:left w:val="nil"/>
              <w:bottom w:val="single" w:color="auto" w:sz="4" w:space="0"/>
              <w:right w:val="single" w:color="auto" w:sz="4" w:space="0"/>
            </w:tcBorders>
            <w:shd w:val="clear" w:color="auto" w:fill="auto"/>
            <w:vAlign w:val="center"/>
          </w:tcPr>
          <w:p w14:paraId="5506364E">
            <w:pPr>
              <w:widowControl/>
              <w:jc w:val="center"/>
              <w:rPr>
                <w:rFonts w:ascii="宋体" w:hAnsi="宋体" w:eastAsia="宋体" w:cs="宋体"/>
                <w:color w:val="000000"/>
                <w:kern w:val="0"/>
                <w:szCs w:val="21"/>
                <w:highlight w:val="none"/>
              </w:rPr>
            </w:pPr>
            <w:r>
              <w:rPr>
                <w:rFonts w:hint="eastAsia" w:ascii="宋体" w:hAnsi="宋体" w:eastAsia="宋体" w:cs="宋体"/>
                <w:color w:val="000000"/>
                <w:kern w:val="0"/>
                <w:szCs w:val="21"/>
                <w:highlight w:val="none"/>
              </w:rPr>
              <w:t>大容量存储集群</w:t>
            </w:r>
          </w:p>
        </w:tc>
        <w:tc>
          <w:tcPr>
            <w:tcW w:w="5103" w:type="dxa"/>
            <w:tcBorders>
              <w:top w:val="nil"/>
              <w:left w:val="nil"/>
              <w:bottom w:val="single" w:color="auto" w:sz="4" w:space="0"/>
              <w:right w:val="single" w:color="auto" w:sz="4" w:space="0"/>
            </w:tcBorders>
            <w:shd w:val="clear" w:color="auto" w:fill="auto"/>
            <w:vAlign w:val="center"/>
          </w:tcPr>
          <w:p w14:paraId="06C8E6CB">
            <w:pPr>
              <w:widowControl/>
              <w:jc w:val="left"/>
              <w:rPr>
                <w:rFonts w:ascii="宋体" w:hAnsi="宋体" w:eastAsia="宋体" w:cs="宋体"/>
                <w:color w:val="000000"/>
                <w:kern w:val="0"/>
                <w:szCs w:val="21"/>
                <w:highlight w:val="none"/>
              </w:rPr>
            </w:pPr>
            <w:r>
              <w:rPr>
                <w:rFonts w:hint="eastAsia" w:ascii="宋体" w:hAnsi="宋体" w:eastAsia="宋体" w:cs="宋体"/>
                <w:color w:val="000000"/>
                <w:kern w:val="0"/>
                <w:szCs w:val="21"/>
                <w:highlight w:val="none"/>
              </w:rPr>
              <w:t>1</w:t>
            </w:r>
            <w:r>
              <w:rPr>
                <w:rFonts w:ascii="宋体" w:hAnsi="宋体" w:eastAsia="宋体" w:cs="宋体"/>
                <w:color w:val="000000"/>
                <w:kern w:val="0"/>
                <w:szCs w:val="21"/>
                <w:highlight w:val="none"/>
              </w:rPr>
              <w:t>.</w:t>
            </w:r>
            <w:r>
              <w:rPr>
                <w:rFonts w:hint="eastAsia" w:ascii="宋体" w:hAnsi="宋体" w:eastAsia="宋体" w:cs="宋体"/>
                <w:color w:val="000000"/>
                <w:kern w:val="0"/>
                <w:szCs w:val="21"/>
                <w:highlight w:val="none"/>
              </w:rPr>
              <w:t>硬件配置</w:t>
            </w:r>
          </w:p>
          <w:p w14:paraId="12778BC8">
            <w:pPr>
              <w:widowControl/>
              <w:jc w:val="left"/>
              <w:rPr>
                <w:rFonts w:ascii="宋体" w:hAnsi="宋体" w:eastAsia="宋体" w:cs="宋体"/>
                <w:color w:val="000000"/>
                <w:kern w:val="0"/>
                <w:szCs w:val="21"/>
                <w:highlight w:val="none"/>
              </w:rPr>
            </w:pPr>
            <w:r>
              <w:rPr>
                <w:rFonts w:hint="eastAsia" w:ascii="宋体" w:hAnsi="宋体" w:eastAsia="宋体" w:cs="宋体"/>
                <w:color w:val="000000"/>
                <w:kern w:val="0"/>
                <w:szCs w:val="21"/>
                <w:highlight w:val="none"/>
              </w:rPr>
              <w:t>CPU:每台提供不少于</w:t>
            </w:r>
            <w:r>
              <w:rPr>
                <w:rFonts w:ascii="宋体" w:hAnsi="宋体" w:eastAsia="宋体" w:cs="宋体"/>
                <w:color w:val="000000"/>
                <w:kern w:val="0"/>
                <w:szCs w:val="21"/>
                <w:highlight w:val="none"/>
              </w:rPr>
              <w:t>20</w:t>
            </w:r>
            <w:r>
              <w:rPr>
                <w:rFonts w:hint="eastAsia" w:ascii="宋体" w:hAnsi="宋体" w:eastAsia="宋体" w:cs="宋体"/>
                <w:color w:val="000000"/>
                <w:kern w:val="0"/>
                <w:szCs w:val="21"/>
                <w:highlight w:val="none"/>
              </w:rPr>
              <w:t>个物理核，主频不低于2.</w:t>
            </w:r>
            <w:r>
              <w:rPr>
                <w:rFonts w:ascii="宋体" w:hAnsi="宋体" w:eastAsia="宋体" w:cs="宋体"/>
                <w:color w:val="000000"/>
                <w:kern w:val="0"/>
                <w:szCs w:val="21"/>
                <w:highlight w:val="none"/>
              </w:rPr>
              <w:t>4</w:t>
            </w:r>
            <w:r>
              <w:rPr>
                <w:rFonts w:hint="eastAsia" w:ascii="宋体" w:hAnsi="宋体" w:eastAsia="宋体" w:cs="宋体"/>
                <w:color w:val="000000"/>
                <w:kern w:val="0"/>
                <w:szCs w:val="21"/>
                <w:highlight w:val="none"/>
              </w:rPr>
              <w:t>G</w:t>
            </w:r>
            <w:r>
              <w:rPr>
                <w:rFonts w:ascii="宋体" w:hAnsi="宋体" w:eastAsia="宋体" w:cs="Segoe UI"/>
                <w:color w:val="303133"/>
                <w:szCs w:val="21"/>
                <w:highlight w:val="none"/>
                <w:shd w:val="clear" w:color="auto" w:fill="FFFFFF"/>
              </w:rPr>
              <w:t>Hz</w:t>
            </w:r>
            <w:r>
              <w:rPr>
                <w:rFonts w:hint="eastAsia" w:ascii="宋体" w:hAnsi="宋体" w:eastAsia="宋体" w:cs="宋体"/>
                <w:color w:val="000000"/>
                <w:kern w:val="0"/>
                <w:szCs w:val="21"/>
                <w:highlight w:val="none"/>
              </w:rPr>
              <w:br w:type="textWrapping"/>
            </w:r>
            <w:r>
              <w:rPr>
                <w:rFonts w:hint="eastAsia" w:ascii="宋体" w:hAnsi="宋体" w:eastAsia="宋体" w:cs="宋体"/>
                <w:color w:val="000000"/>
                <w:kern w:val="0"/>
                <w:szCs w:val="21"/>
                <w:highlight w:val="none"/>
              </w:rPr>
              <w:t>内存：每台提供不少于</w:t>
            </w:r>
            <w:r>
              <w:rPr>
                <w:rFonts w:ascii="宋体" w:hAnsi="宋体" w:eastAsia="宋体" w:cs="宋体"/>
                <w:color w:val="000000"/>
                <w:kern w:val="0"/>
                <w:szCs w:val="21"/>
                <w:highlight w:val="none"/>
              </w:rPr>
              <w:t>256</w:t>
            </w:r>
            <w:r>
              <w:rPr>
                <w:rFonts w:hint="eastAsia" w:ascii="宋体" w:hAnsi="宋体" w:eastAsia="宋体" w:cs="宋体"/>
                <w:color w:val="000000"/>
                <w:kern w:val="0"/>
                <w:szCs w:val="21"/>
                <w:highlight w:val="none"/>
              </w:rPr>
              <w:t>GB内存</w:t>
            </w:r>
          </w:p>
          <w:p w14:paraId="74C90ACF">
            <w:pPr>
              <w:widowControl/>
              <w:jc w:val="left"/>
              <w:rPr>
                <w:rFonts w:ascii="宋体" w:hAnsi="宋体" w:eastAsia="宋体" w:cs="宋体"/>
                <w:color w:val="000000"/>
                <w:kern w:val="0"/>
                <w:szCs w:val="21"/>
                <w:highlight w:val="none"/>
              </w:rPr>
            </w:pPr>
            <w:r>
              <w:rPr>
                <w:rFonts w:hint="eastAsia" w:ascii="宋体" w:hAnsi="宋体" w:eastAsia="宋体" w:cs="宋体"/>
                <w:color w:val="000000"/>
                <w:kern w:val="0"/>
                <w:szCs w:val="21"/>
                <w:highlight w:val="none"/>
              </w:rPr>
              <w:t>内存类型：</w:t>
            </w:r>
            <w:r>
              <w:rPr>
                <w:rFonts w:ascii="宋体" w:hAnsi="宋体" w:eastAsia="宋体" w:cs="宋体"/>
                <w:color w:val="000000"/>
                <w:kern w:val="0"/>
                <w:szCs w:val="21"/>
                <w:highlight w:val="none"/>
              </w:rPr>
              <w:t>DDR4或更高版本，频率≥2700MHz</w:t>
            </w:r>
            <w:r>
              <w:rPr>
                <w:rFonts w:hint="eastAsia" w:ascii="宋体" w:hAnsi="宋体" w:eastAsia="宋体" w:cs="宋体"/>
                <w:color w:val="000000"/>
                <w:kern w:val="0"/>
                <w:szCs w:val="21"/>
                <w:highlight w:val="none"/>
              </w:rPr>
              <w:br w:type="textWrapping"/>
            </w:r>
            <w:r>
              <w:rPr>
                <w:rFonts w:hint="eastAsia" w:ascii="宋体" w:hAnsi="宋体" w:eastAsia="宋体" w:cs="宋体"/>
                <w:color w:val="000000"/>
                <w:kern w:val="0"/>
                <w:szCs w:val="21"/>
                <w:highlight w:val="none"/>
              </w:rPr>
              <w:t>系统盘： 每台提供不少于</w:t>
            </w:r>
            <w:r>
              <w:rPr>
                <w:rFonts w:ascii="宋体" w:hAnsi="宋体" w:eastAsia="宋体" w:cs="宋体"/>
                <w:color w:val="000000"/>
                <w:kern w:val="0"/>
                <w:szCs w:val="21"/>
                <w:highlight w:val="none"/>
              </w:rPr>
              <w:t>2块SSD，单块容量≥240GB，接口类型：SATA或更优</w:t>
            </w:r>
            <w:r>
              <w:rPr>
                <w:rFonts w:hint="eastAsia" w:ascii="宋体" w:hAnsi="宋体" w:eastAsia="宋体" w:cs="宋体"/>
                <w:color w:val="000000"/>
                <w:kern w:val="0"/>
                <w:szCs w:val="21"/>
                <w:highlight w:val="none"/>
              </w:rPr>
              <w:br w:type="textWrapping"/>
            </w:r>
            <w:r>
              <w:rPr>
                <w:rFonts w:hint="eastAsia" w:ascii="宋体" w:hAnsi="宋体" w:eastAsia="宋体" w:cs="宋体"/>
                <w:color w:val="000000"/>
                <w:kern w:val="0"/>
                <w:szCs w:val="21"/>
                <w:highlight w:val="none"/>
              </w:rPr>
              <w:t>存储：每台提供不少于</w:t>
            </w:r>
            <w:r>
              <w:rPr>
                <w:rFonts w:ascii="宋体" w:hAnsi="宋体" w:eastAsia="宋体" w:cs="宋体"/>
                <w:color w:val="000000"/>
                <w:kern w:val="0"/>
                <w:szCs w:val="21"/>
                <w:highlight w:val="none"/>
              </w:rPr>
              <w:t>2块SSD，单块容量≥1.92TB，接口类型：SATA或更优；每台提供不少于18块HDD，单块容量≥12TB，转速≥7200RPM，尺寸：2.5英寸或3.5英寸</w:t>
            </w:r>
          </w:p>
          <w:p w14:paraId="6204D9BB">
            <w:pPr>
              <w:widowControl/>
              <w:jc w:val="left"/>
              <w:rPr>
                <w:rFonts w:ascii="宋体" w:hAnsi="宋体" w:eastAsia="宋体" w:cs="宋体"/>
                <w:color w:val="000000"/>
                <w:kern w:val="0"/>
                <w:szCs w:val="21"/>
                <w:highlight w:val="none"/>
              </w:rPr>
            </w:pPr>
            <w:r>
              <w:rPr>
                <w:rFonts w:hint="eastAsia" w:ascii="宋体" w:hAnsi="宋体" w:eastAsia="宋体" w:cs="宋体"/>
                <w:color w:val="000000"/>
                <w:kern w:val="0"/>
                <w:szCs w:val="21"/>
                <w:highlight w:val="none"/>
              </w:rPr>
              <w:t>网卡：每台提供不少于2个千兆电口和不少于4个万兆光口</w:t>
            </w:r>
          </w:p>
          <w:p w14:paraId="622D0B33">
            <w:pPr>
              <w:tabs>
                <w:tab w:val="left" w:pos="420"/>
              </w:tabs>
              <w:rPr>
                <w:rFonts w:ascii="宋体" w:hAnsi="宋体" w:eastAsia="宋体" w:cs="Times New Roman"/>
                <w:szCs w:val="21"/>
                <w:highlight w:val="none"/>
              </w:rPr>
            </w:pPr>
            <w:r>
              <w:rPr>
                <w:rFonts w:hint="eastAsia" w:ascii="宋体" w:hAnsi="宋体" w:eastAsia="宋体" w:cs="Times New Roman"/>
                <w:szCs w:val="21"/>
                <w:highlight w:val="none"/>
                <w:lang w:val="en-US" w:eastAsia="zh-CN"/>
              </w:rPr>
              <w:t>2</w:t>
            </w:r>
            <w:r>
              <w:rPr>
                <w:rFonts w:ascii="宋体" w:hAnsi="宋体" w:eastAsia="宋体" w:cs="Times New Roman"/>
                <w:szCs w:val="21"/>
                <w:highlight w:val="none"/>
              </w:rPr>
              <w:t>.</w:t>
            </w:r>
            <w:r>
              <w:rPr>
                <w:rFonts w:hint="eastAsia" w:ascii="宋体" w:hAnsi="宋体" w:eastAsia="宋体" w:cs="Times New Roman"/>
                <w:szCs w:val="21"/>
                <w:highlight w:val="none"/>
              </w:rPr>
              <w:t>支持在业务零中断的前提下，向集群中添加存储节点或向现有节点扩充硬盘。针对文件和对象存储，取消了缓存盘与数据盘的固定配比限制，支持单独扩容数据盘，无需强制配置</w:t>
            </w:r>
            <w:r>
              <w:rPr>
                <w:rFonts w:ascii="宋体" w:hAnsi="宋体" w:eastAsia="宋体" w:cs="Times New Roman"/>
                <w:szCs w:val="21"/>
                <w:highlight w:val="none"/>
              </w:rPr>
              <w:t>SSD缓存，大幅降低扩容成本</w:t>
            </w:r>
            <w:r>
              <w:rPr>
                <w:rFonts w:hint="eastAsia" w:ascii="宋体" w:hAnsi="宋体" w:eastAsia="宋体" w:cs="Times New Roman"/>
                <w:szCs w:val="21"/>
                <w:highlight w:val="none"/>
              </w:rPr>
              <w:t>；</w:t>
            </w:r>
          </w:p>
          <w:p w14:paraId="6AC5E617">
            <w:pPr>
              <w:tabs>
                <w:tab w:val="left" w:pos="420"/>
              </w:tabs>
              <w:rPr>
                <w:rFonts w:ascii="宋体" w:hAnsi="宋体" w:eastAsia="宋体" w:cs="Times New Roman"/>
                <w:szCs w:val="21"/>
                <w:highlight w:val="none"/>
              </w:rPr>
            </w:pPr>
            <w:r>
              <w:rPr>
                <w:rFonts w:hint="eastAsia" w:ascii="宋体" w:hAnsi="宋体" w:eastAsia="宋体" w:cs="Times New Roman"/>
                <w:szCs w:val="21"/>
                <w:highlight w:val="none"/>
                <w:lang w:val="en-US" w:eastAsia="zh-CN"/>
              </w:rPr>
              <w:t>3</w:t>
            </w:r>
            <w:r>
              <w:rPr>
                <w:rFonts w:ascii="宋体" w:hAnsi="宋体" w:eastAsia="宋体" w:cs="Times New Roman"/>
                <w:szCs w:val="21"/>
                <w:highlight w:val="none"/>
              </w:rPr>
              <w:t>.</w:t>
            </w:r>
            <w:r>
              <w:rPr>
                <w:rFonts w:hint="eastAsia" w:ascii="宋体" w:hAnsi="宋体" w:eastAsia="宋体" w:cs="Times New Roman"/>
                <w:szCs w:val="21"/>
                <w:highlight w:val="none"/>
              </w:rPr>
              <w:t>支持以</w:t>
            </w:r>
            <w:r>
              <w:rPr>
                <w:rFonts w:ascii="宋体" w:hAnsi="宋体" w:eastAsia="宋体" w:cs="Times New Roman"/>
                <w:szCs w:val="21"/>
                <w:highlight w:val="none"/>
              </w:rPr>
              <w:t>LUN为粒度，灵活配置副本数、分层QoS、条带数等存储策略。</w:t>
            </w:r>
            <w:r>
              <w:rPr>
                <w:rFonts w:hint="eastAsia" w:ascii="宋体" w:hAnsi="宋体" w:eastAsia="宋体" w:cs="Times New Roman"/>
                <w:szCs w:val="21"/>
                <w:highlight w:val="none"/>
              </w:rPr>
              <w:t>使用者</w:t>
            </w:r>
            <w:r>
              <w:rPr>
                <w:rFonts w:ascii="宋体" w:hAnsi="宋体" w:eastAsia="宋体" w:cs="Times New Roman"/>
                <w:szCs w:val="21"/>
                <w:highlight w:val="none"/>
              </w:rPr>
              <w:t>可根据业务需求，在性能、成本与可靠性之间找到最佳平衡点，实现资源的按需分配</w:t>
            </w:r>
            <w:r>
              <w:rPr>
                <w:rFonts w:hint="eastAsia" w:ascii="宋体" w:hAnsi="宋体" w:eastAsia="宋体" w:cs="Times New Roman"/>
                <w:szCs w:val="21"/>
                <w:highlight w:val="none"/>
              </w:rPr>
              <w:t>；</w:t>
            </w:r>
          </w:p>
          <w:p w14:paraId="606894EA">
            <w:pPr>
              <w:widowControl/>
              <w:jc w:val="left"/>
              <w:rPr>
                <w:rFonts w:ascii="宋体" w:hAnsi="宋体" w:eastAsia="宋体" w:cs="Times New Roman"/>
                <w:szCs w:val="21"/>
                <w:highlight w:val="none"/>
              </w:rPr>
            </w:pPr>
            <w:r>
              <w:rPr>
                <w:rFonts w:hint="eastAsia" w:ascii="宋体" w:hAnsi="宋体" w:eastAsia="宋体" w:cs="Times New Roman"/>
                <w:szCs w:val="21"/>
                <w:highlight w:val="none"/>
                <w:lang w:val="en-US" w:eastAsia="zh-CN"/>
              </w:rPr>
              <w:t>4</w:t>
            </w:r>
            <w:r>
              <w:rPr>
                <w:rFonts w:ascii="宋体" w:hAnsi="宋体" w:eastAsia="宋体" w:cs="Times New Roman"/>
                <w:szCs w:val="21"/>
                <w:highlight w:val="none"/>
              </w:rPr>
              <w:t>.</w:t>
            </w:r>
            <w:r>
              <w:rPr>
                <w:rFonts w:hint="eastAsia" w:ascii="宋体" w:hAnsi="宋体" w:eastAsia="宋体" w:cs="Times New Roman"/>
                <w:szCs w:val="21"/>
                <w:highlight w:val="none"/>
              </w:rPr>
              <w:t>原生提供</w:t>
            </w:r>
            <w:r>
              <w:rPr>
                <w:rFonts w:ascii="宋体" w:hAnsi="宋体" w:eastAsia="宋体" w:cs="Times New Roman"/>
                <w:szCs w:val="21"/>
                <w:highlight w:val="none"/>
              </w:rPr>
              <w:t>iSCSI、NFS、CIFS、FTP、S3等标准存储接口，无需在应用层安装额外插件或代理。最大程度减少对业务系统的改造成本，能够无缝适配各类应用系统对存储接口的多样化需求</w:t>
            </w:r>
          </w:p>
        </w:tc>
        <w:tc>
          <w:tcPr>
            <w:tcW w:w="851" w:type="dxa"/>
            <w:tcBorders>
              <w:top w:val="nil"/>
              <w:left w:val="nil"/>
              <w:bottom w:val="single" w:color="auto" w:sz="4" w:space="0"/>
              <w:right w:val="single" w:color="auto" w:sz="4" w:space="0"/>
            </w:tcBorders>
            <w:shd w:val="clear" w:color="auto" w:fill="auto"/>
            <w:vAlign w:val="center"/>
          </w:tcPr>
          <w:p w14:paraId="768C2D2E">
            <w:pPr>
              <w:widowControl/>
              <w:jc w:val="center"/>
              <w:rPr>
                <w:rFonts w:ascii="宋体" w:hAnsi="宋体" w:eastAsia="宋体" w:cs="宋体"/>
                <w:color w:val="000000"/>
                <w:kern w:val="0"/>
                <w:szCs w:val="21"/>
                <w:highlight w:val="none"/>
              </w:rPr>
            </w:pPr>
            <w:r>
              <w:rPr>
                <w:rFonts w:hint="eastAsia" w:ascii="宋体" w:hAnsi="宋体" w:eastAsia="宋体" w:cs="宋体"/>
                <w:color w:val="000000"/>
                <w:kern w:val="0"/>
                <w:szCs w:val="21"/>
                <w:highlight w:val="none"/>
              </w:rPr>
              <w:t>3</w:t>
            </w:r>
          </w:p>
        </w:tc>
        <w:tc>
          <w:tcPr>
            <w:tcW w:w="850" w:type="dxa"/>
            <w:tcBorders>
              <w:top w:val="nil"/>
              <w:left w:val="nil"/>
              <w:bottom w:val="single" w:color="auto" w:sz="4" w:space="0"/>
              <w:right w:val="single" w:color="auto" w:sz="4" w:space="0"/>
            </w:tcBorders>
            <w:shd w:val="clear" w:color="auto" w:fill="auto"/>
            <w:vAlign w:val="center"/>
          </w:tcPr>
          <w:p w14:paraId="4C5C9555">
            <w:pPr>
              <w:widowControl/>
              <w:spacing w:line="360" w:lineRule="auto"/>
              <w:jc w:val="center"/>
              <w:rPr>
                <w:rFonts w:ascii="宋体" w:hAnsi="宋体" w:eastAsia="宋体" w:cs="宋体"/>
                <w:color w:val="000000"/>
                <w:kern w:val="0"/>
                <w:szCs w:val="21"/>
                <w:highlight w:val="none"/>
              </w:rPr>
            </w:pPr>
            <w:r>
              <w:rPr>
                <w:rFonts w:hint="eastAsia" w:ascii="宋体" w:hAnsi="宋体" w:eastAsia="宋体" w:cs="宋体"/>
                <w:color w:val="000000"/>
                <w:kern w:val="0"/>
                <w:szCs w:val="21"/>
                <w:highlight w:val="none"/>
              </w:rPr>
              <w:t>台</w:t>
            </w:r>
          </w:p>
        </w:tc>
      </w:tr>
      <w:tr w14:paraId="54940773">
        <w:tblPrEx>
          <w:tblCellMar>
            <w:top w:w="0" w:type="dxa"/>
            <w:left w:w="108" w:type="dxa"/>
            <w:bottom w:w="0" w:type="dxa"/>
            <w:right w:w="108" w:type="dxa"/>
          </w:tblCellMar>
        </w:tblPrEx>
        <w:trPr>
          <w:trHeight w:val="680" w:hRule="atLeast"/>
        </w:trPr>
        <w:tc>
          <w:tcPr>
            <w:tcW w:w="846" w:type="dxa"/>
            <w:tcBorders>
              <w:top w:val="nil"/>
              <w:left w:val="single" w:color="auto" w:sz="4" w:space="0"/>
              <w:bottom w:val="single" w:color="auto" w:sz="4" w:space="0"/>
              <w:right w:val="single" w:color="auto" w:sz="4" w:space="0"/>
            </w:tcBorders>
            <w:vAlign w:val="center"/>
          </w:tcPr>
          <w:p w14:paraId="6C45AF31">
            <w:pPr>
              <w:widowControl/>
              <w:spacing w:line="360" w:lineRule="auto"/>
              <w:jc w:val="center"/>
              <w:rPr>
                <w:rFonts w:ascii="宋体" w:hAnsi="宋体" w:eastAsia="宋体" w:cs="宋体"/>
                <w:color w:val="000000"/>
                <w:kern w:val="0"/>
                <w:szCs w:val="21"/>
                <w:highlight w:val="none"/>
              </w:rPr>
            </w:pPr>
            <w:r>
              <w:rPr>
                <w:rFonts w:hint="eastAsia" w:ascii="宋体" w:hAnsi="宋体" w:eastAsia="宋体" w:cs="宋体"/>
                <w:color w:val="000000"/>
                <w:kern w:val="0"/>
                <w:szCs w:val="21"/>
                <w:highlight w:val="none"/>
              </w:rPr>
              <w:t>3</w:t>
            </w:r>
          </w:p>
        </w:tc>
        <w:tc>
          <w:tcPr>
            <w:tcW w:w="1417" w:type="dxa"/>
            <w:tcBorders>
              <w:top w:val="nil"/>
              <w:left w:val="nil"/>
              <w:bottom w:val="single" w:color="auto" w:sz="4" w:space="0"/>
              <w:right w:val="single" w:color="auto" w:sz="4" w:space="0"/>
            </w:tcBorders>
            <w:vAlign w:val="center"/>
          </w:tcPr>
          <w:p w14:paraId="0A0E4991">
            <w:pPr>
              <w:widowControl/>
              <w:jc w:val="center"/>
              <w:rPr>
                <w:rFonts w:ascii="宋体" w:hAnsi="宋体" w:eastAsia="宋体" w:cs="宋体"/>
                <w:color w:val="000000"/>
                <w:kern w:val="0"/>
                <w:szCs w:val="21"/>
                <w:highlight w:val="none"/>
              </w:rPr>
            </w:pPr>
            <w:r>
              <w:rPr>
                <w:rFonts w:hint="eastAsia" w:ascii="宋体" w:hAnsi="宋体" w:eastAsia="宋体" w:cs="宋体"/>
                <w:color w:val="000000"/>
                <w:kern w:val="0"/>
                <w:szCs w:val="21"/>
                <w:highlight w:val="none"/>
              </w:rPr>
              <w:t>小内存计算节点集群</w:t>
            </w:r>
          </w:p>
        </w:tc>
        <w:tc>
          <w:tcPr>
            <w:tcW w:w="5103" w:type="dxa"/>
            <w:tcBorders>
              <w:top w:val="nil"/>
              <w:left w:val="nil"/>
              <w:bottom w:val="single" w:color="auto" w:sz="4" w:space="0"/>
              <w:right w:val="single" w:color="auto" w:sz="4" w:space="0"/>
            </w:tcBorders>
            <w:vAlign w:val="center"/>
          </w:tcPr>
          <w:p w14:paraId="4E41EF95">
            <w:pPr>
              <w:widowControl/>
              <w:rPr>
                <w:rFonts w:ascii="宋体" w:hAnsi="宋体" w:eastAsia="宋体" w:cs="宋体"/>
                <w:color w:val="000000"/>
                <w:kern w:val="0"/>
                <w:szCs w:val="21"/>
                <w:highlight w:val="none"/>
              </w:rPr>
            </w:pPr>
            <w:r>
              <w:rPr>
                <w:rFonts w:hint="eastAsia" w:ascii="宋体" w:hAnsi="宋体" w:eastAsia="宋体" w:cs="宋体"/>
                <w:color w:val="000000"/>
                <w:kern w:val="0"/>
                <w:szCs w:val="21"/>
                <w:highlight w:val="none"/>
              </w:rPr>
              <w:t>1</w:t>
            </w:r>
            <w:r>
              <w:rPr>
                <w:rFonts w:ascii="宋体" w:hAnsi="宋体" w:eastAsia="宋体" w:cs="宋体"/>
                <w:color w:val="000000"/>
                <w:kern w:val="0"/>
                <w:szCs w:val="21"/>
                <w:highlight w:val="none"/>
              </w:rPr>
              <w:t>.</w:t>
            </w:r>
            <w:r>
              <w:rPr>
                <w:rFonts w:hint="eastAsia" w:ascii="宋体" w:hAnsi="宋体" w:eastAsia="宋体" w:cs="宋体"/>
                <w:color w:val="000000"/>
                <w:kern w:val="0"/>
                <w:szCs w:val="21"/>
                <w:highlight w:val="none"/>
              </w:rPr>
              <w:t>硬件配置</w:t>
            </w:r>
          </w:p>
          <w:p w14:paraId="241AB77D">
            <w:pPr>
              <w:widowControl/>
              <w:rPr>
                <w:rFonts w:ascii="宋体" w:hAnsi="宋体" w:eastAsia="宋体" w:cs="宋体"/>
                <w:color w:val="000000"/>
                <w:kern w:val="0"/>
                <w:szCs w:val="21"/>
                <w:highlight w:val="none"/>
              </w:rPr>
            </w:pPr>
            <w:r>
              <w:rPr>
                <w:rFonts w:hint="eastAsia" w:ascii="宋体" w:hAnsi="宋体" w:eastAsia="宋体" w:cs="宋体"/>
                <w:color w:val="000000"/>
                <w:kern w:val="0"/>
                <w:szCs w:val="21"/>
                <w:highlight w:val="none"/>
              </w:rPr>
              <w:t>CPU: 每台提供不少于4</w:t>
            </w:r>
            <w:r>
              <w:rPr>
                <w:rFonts w:ascii="宋体" w:hAnsi="宋体" w:eastAsia="宋体" w:cs="宋体"/>
                <w:color w:val="000000"/>
                <w:kern w:val="0"/>
                <w:szCs w:val="21"/>
                <w:highlight w:val="none"/>
              </w:rPr>
              <w:t>8</w:t>
            </w:r>
            <w:r>
              <w:rPr>
                <w:rFonts w:hint="eastAsia" w:ascii="宋体" w:hAnsi="宋体" w:eastAsia="宋体" w:cs="宋体"/>
                <w:color w:val="000000"/>
                <w:kern w:val="0"/>
                <w:szCs w:val="21"/>
                <w:highlight w:val="none"/>
              </w:rPr>
              <w:t>个物理核，主频不低于</w:t>
            </w:r>
            <w:r>
              <w:rPr>
                <w:rFonts w:ascii="宋体" w:hAnsi="宋体" w:eastAsia="宋体" w:cs="宋体"/>
                <w:color w:val="000000"/>
                <w:kern w:val="0"/>
                <w:szCs w:val="21"/>
                <w:highlight w:val="none"/>
              </w:rPr>
              <w:t>2.2</w:t>
            </w:r>
            <w:r>
              <w:rPr>
                <w:rFonts w:hint="eastAsia" w:ascii="宋体" w:hAnsi="宋体" w:eastAsia="宋体" w:cs="宋体"/>
                <w:color w:val="000000"/>
                <w:kern w:val="0"/>
                <w:szCs w:val="21"/>
                <w:highlight w:val="none"/>
              </w:rPr>
              <w:t xml:space="preserve"> G</w:t>
            </w:r>
            <w:r>
              <w:rPr>
                <w:rFonts w:ascii="宋体" w:hAnsi="宋体" w:eastAsia="宋体" w:cs="Segoe UI"/>
                <w:color w:val="303133"/>
                <w:szCs w:val="21"/>
                <w:highlight w:val="none"/>
                <w:shd w:val="clear" w:color="auto" w:fill="FFFFFF"/>
              </w:rPr>
              <w:t>Hz</w:t>
            </w:r>
            <w:r>
              <w:rPr>
                <w:rFonts w:hint="eastAsia" w:ascii="宋体" w:hAnsi="宋体" w:eastAsia="宋体" w:cs="宋体"/>
                <w:color w:val="000000"/>
                <w:kern w:val="0"/>
                <w:szCs w:val="21"/>
                <w:highlight w:val="none"/>
              </w:rPr>
              <w:br w:type="textWrapping"/>
            </w:r>
            <w:r>
              <w:rPr>
                <w:rFonts w:hint="eastAsia" w:ascii="宋体" w:hAnsi="宋体" w:eastAsia="宋体" w:cs="宋体"/>
                <w:color w:val="000000"/>
                <w:kern w:val="0"/>
                <w:szCs w:val="21"/>
                <w:highlight w:val="none"/>
              </w:rPr>
              <w:t>内存：每台提供不少于768GB内存</w:t>
            </w:r>
          </w:p>
          <w:p w14:paraId="038DF6C9">
            <w:pPr>
              <w:widowControl/>
              <w:rPr>
                <w:rFonts w:ascii="宋体" w:hAnsi="宋体" w:eastAsia="宋体" w:cs="宋体"/>
                <w:color w:val="000000"/>
                <w:kern w:val="0"/>
                <w:szCs w:val="21"/>
                <w:highlight w:val="none"/>
              </w:rPr>
            </w:pPr>
            <w:r>
              <w:rPr>
                <w:rFonts w:hint="eastAsia" w:ascii="宋体" w:hAnsi="宋体" w:eastAsia="宋体" w:cs="宋体"/>
                <w:color w:val="000000"/>
                <w:kern w:val="0"/>
                <w:szCs w:val="21"/>
                <w:highlight w:val="none"/>
              </w:rPr>
              <w:t>内存类型：</w:t>
            </w:r>
            <w:r>
              <w:rPr>
                <w:rFonts w:ascii="宋体" w:hAnsi="宋体" w:eastAsia="宋体" w:cs="宋体"/>
                <w:color w:val="000000"/>
                <w:kern w:val="0"/>
                <w:szCs w:val="21"/>
                <w:highlight w:val="none"/>
              </w:rPr>
              <w:t>DDR4或更高版本，频率≥3200MHz</w:t>
            </w:r>
            <w:r>
              <w:rPr>
                <w:rFonts w:hint="eastAsia" w:ascii="宋体" w:hAnsi="宋体" w:eastAsia="宋体" w:cs="宋体"/>
                <w:color w:val="000000"/>
                <w:kern w:val="0"/>
                <w:szCs w:val="21"/>
                <w:highlight w:val="none"/>
              </w:rPr>
              <w:br w:type="textWrapping"/>
            </w:r>
            <w:r>
              <w:rPr>
                <w:rFonts w:hint="eastAsia" w:ascii="宋体" w:hAnsi="宋体" w:eastAsia="宋体" w:cs="宋体"/>
                <w:color w:val="000000"/>
                <w:kern w:val="0"/>
                <w:szCs w:val="21"/>
                <w:highlight w:val="none"/>
              </w:rPr>
              <w:t>系统盘： 每台提供不少于</w:t>
            </w:r>
            <w:r>
              <w:rPr>
                <w:rFonts w:ascii="宋体" w:hAnsi="宋体" w:eastAsia="宋体" w:cs="宋体"/>
                <w:color w:val="000000"/>
                <w:kern w:val="0"/>
                <w:szCs w:val="21"/>
                <w:highlight w:val="none"/>
              </w:rPr>
              <w:t>2块SSD，单块容量≥240GB，接口类型：SATA或更优</w:t>
            </w:r>
            <w:r>
              <w:rPr>
                <w:rFonts w:hint="eastAsia" w:ascii="宋体" w:hAnsi="宋体" w:eastAsia="宋体" w:cs="宋体"/>
                <w:color w:val="000000"/>
                <w:kern w:val="0"/>
                <w:szCs w:val="21"/>
                <w:highlight w:val="none"/>
              </w:rPr>
              <w:br w:type="textWrapping"/>
            </w:r>
            <w:r>
              <w:rPr>
                <w:rFonts w:hint="eastAsia" w:ascii="宋体" w:hAnsi="宋体" w:eastAsia="宋体" w:cs="宋体"/>
                <w:color w:val="000000"/>
                <w:kern w:val="0"/>
                <w:szCs w:val="21"/>
                <w:highlight w:val="none"/>
              </w:rPr>
              <w:t>存储：每台提供不少于</w:t>
            </w:r>
            <w:r>
              <w:rPr>
                <w:rFonts w:ascii="宋体" w:hAnsi="宋体" w:eastAsia="宋体" w:cs="宋体"/>
                <w:color w:val="000000"/>
                <w:kern w:val="0"/>
                <w:szCs w:val="21"/>
                <w:highlight w:val="none"/>
              </w:rPr>
              <w:t>2块SSD，单块容量≥1.92TB，接口类型：SATA或更优；每台提供不少于4块HDD，单块容量≥6TB，转速≥7200RPM，尺寸：2.5英寸或3.5英寸</w:t>
            </w:r>
            <w:r>
              <w:rPr>
                <w:rFonts w:hint="eastAsia" w:ascii="宋体" w:hAnsi="宋体" w:eastAsia="宋体" w:cs="宋体"/>
                <w:color w:val="000000"/>
                <w:kern w:val="0"/>
                <w:szCs w:val="21"/>
                <w:highlight w:val="none"/>
              </w:rPr>
              <w:br w:type="textWrapping"/>
            </w:r>
            <w:r>
              <w:rPr>
                <w:rFonts w:hint="eastAsia" w:ascii="宋体" w:hAnsi="宋体" w:eastAsia="宋体" w:cs="宋体"/>
                <w:color w:val="000000"/>
                <w:kern w:val="0"/>
                <w:szCs w:val="21"/>
                <w:highlight w:val="none"/>
              </w:rPr>
              <w:t>网卡：每台提供不少于4个千兆电口和4个万兆光口</w:t>
            </w:r>
          </w:p>
          <w:p w14:paraId="6E41F543">
            <w:pPr>
              <w:tabs>
                <w:tab w:val="left" w:pos="8640"/>
              </w:tabs>
              <w:spacing w:after="120"/>
              <w:rPr>
                <w:rFonts w:ascii="Calibri" w:hAnsi="Calibri" w:eastAsia="宋体" w:cs="Times New Roman"/>
                <w:szCs w:val="21"/>
                <w:highlight w:val="none"/>
              </w:rPr>
            </w:pPr>
            <w:r>
              <w:rPr>
                <w:rFonts w:hint="eastAsia" w:ascii="Calibri" w:hAnsi="Calibri" w:eastAsia="宋体" w:cs="Times New Roman"/>
                <w:szCs w:val="21"/>
                <w:highlight w:val="none"/>
                <w:lang w:val="en-US" w:eastAsia="zh-CN"/>
              </w:rPr>
              <w:t>2</w:t>
            </w:r>
            <w:r>
              <w:rPr>
                <w:rFonts w:hint="eastAsia" w:ascii="Calibri" w:hAnsi="Calibri" w:eastAsia="宋体" w:cs="Times New Roman"/>
                <w:szCs w:val="21"/>
                <w:highlight w:val="none"/>
              </w:rPr>
              <w:t>. 软件层面支持</w:t>
            </w:r>
            <w:r>
              <w:rPr>
                <w:rFonts w:ascii="Calibri" w:hAnsi="Calibri" w:eastAsia="宋体" w:cs="Times New Roman"/>
                <w:szCs w:val="21"/>
                <w:highlight w:val="none"/>
              </w:rPr>
              <w:t>CPU预留机制，能够为高优先级业务虚拟机提供动态资源保障，确保其在资源需求高峰期优先获取CPU资源，同时有效隔离低优先级任务的干扰。针对具有周期性峰谷特征的业务负载，系统支持按时间段配置CPU预留策略，在保障业务性能的同时最大化CPU利用率。此外，支持设置主机级别的全局CPU预留比例，为核心业务虚拟机提供底层资源兜底保障；</w:t>
            </w:r>
          </w:p>
          <w:p w14:paraId="608218B9">
            <w:pPr>
              <w:tabs>
                <w:tab w:val="left" w:pos="8640"/>
              </w:tabs>
              <w:spacing w:after="120"/>
              <w:rPr>
                <w:rFonts w:ascii="Calibri" w:hAnsi="Calibri" w:eastAsia="宋体" w:cs="Times New Roman"/>
                <w:szCs w:val="21"/>
                <w:highlight w:val="none"/>
              </w:rPr>
            </w:pPr>
            <w:r>
              <w:rPr>
                <w:rFonts w:hint="eastAsia" w:ascii="Calibri" w:hAnsi="Calibri" w:eastAsia="宋体" w:cs="Times New Roman"/>
                <w:szCs w:val="21"/>
                <w:highlight w:val="none"/>
                <w:lang w:val="en-US" w:eastAsia="zh-CN"/>
              </w:rPr>
              <w:t>3</w:t>
            </w:r>
            <w:r>
              <w:rPr>
                <w:rFonts w:hint="eastAsia" w:ascii="Calibri" w:hAnsi="Calibri" w:eastAsia="宋体" w:cs="Times New Roman"/>
                <w:szCs w:val="21"/>
                <w:highlight w:val="none"/>
              </w:rPr>
              <w:t xml:space="preserve">. </w:t>
            </w:r>
            <w:r>
              <w:rPr>
                <w:rFonts w:hint="eastAsia" w:ascii="Calibri" w:hAnsi="Calibri" w:eastAsia="宋体" w:cs="Times New Roman"/>
                <w:highlight w:val="none"/>
              </w:rPr>
              <w:t>软件层面支持存储条带化技术以显著提升存储性能。系统支持以虚拟磁盘为粒度自定义条带数，使用者仅需在界面中即可便捷完成配置，实现性能与资源的按需分配；</w:t>
            </w:r>
          </w:p>
          <w:p w14:paraId="07053613">
            <w:pPr>
              <w:widowControl/>
              <w:rPr>
                <w:rFonts w:ascii="宋体" w:hAnsi="宋体" w:eastAsia="宋体" w:cs="Times New Roman"/>
                <w:sz w:val="24"/>
                <w:highlight w:val="none"/>
              </w:rPr>
            </w:pPr>
            <w:r>
              <w:rPr>
                <w:rFonts w:hint="eastAsia" w:ascii="宋体" w:hAnsi="宋体" w:eastAsia="宋体" w:cs="Times New Roman"/>
                <w:szCs w:val="21"/>
                <w:highlight w:val="none"/>
                <w:lang w:val="en-US" w:eastAsia="zh-CN"/>
              </w:rPr>
              <w:t>4</w:t>
            </w:r>
            <w:r>
              <w:rPr>
                <w:rFonts w:ascii="宋体" w:hAnsi="宋体" w:eastAsia="宋体" w:cs="Times New Roman"/>
                <w:szCs w:val="21"/>
                <w:highlight w:val="none"/>
              </w:rPr>
              <w:t>.</w:t>
            </w:r>
            <w:r>
              <w:rPr>
                <w:rFonts w:hint="eastAsia" w:ascii="宋体" w:hAnsi="宋体" w:eastAsia="宋体" w:cs="Times New Roman"/>
                <w:szCs w:val="21"/>
                <w:highlight w:val="none"/>
              </w:rPr>
              <w:t xml:space="preserve"> 软件层面支持内存</w:t>
            </w:r>
            <w:r>
              <w:rPr>
                <w:rFonts w:ascii="宋体" w:hAnsi="宋体" w:eastAsia="宋体" w:cs="Times New Roman"/>
                <w:szCs w:val="21"/>
                <w:highlight w:val="none"/>
              </w:rPr>
              <w:t>ECC自动纠错与故障隔离机制。当检测到物理主机内存出现可纠正错误（CE）或不可纠正错误（UE）时，系统能够自动隔离故障内存空间，并精准告警故障内存条槽位，从而有效降低内存硬件问题对业务稳定性的影响。</w:t>
            </w:r>
          </w:p>
        </w:tc>
        <w:tc>
          <w:tcPr>
            <w:tcW w:w="851" w:type="dxa"/>
            <w:tcBorders>
              <w:top w:val="nil"/>
              <w:left w:val="nil"/>
              <w:bottom w:val="single" w:color="auto" w:sz="4" w:space="0"/>
              <w:right w:val="single" w:color="auto" w:sz="4" w:space="0"/>
            </w:tcBorders>
            <w:vAlign w:val="center"/>
          </w:tcPr>
          <w:p w14:paraId="0621A0C9">
            <w:pPr>
              <w:widowControl/>
              <w:jc w:val="center"/>
              <w:rPr>
                <w:rFonts w:ascii="宋体" w:hAnsi="宋体" w:eastAsia="宋体" w:cs="宋体"/>
                <w:color w:val="000000"/>
                <w:kern w:val="0"/>
                <w:szCs w:val="21"/>
                <w:highlight w:val="none"/>
              </w:rPr>
            </w:pPr>
            <w:r>
              <w:rPr>
                <w:rFonts w:hint="eastAsia" w:ascii="宋体" w:hAnsi="宋体" w:eastAsia="宋体" w:cs="宋体"/>
                <w:color w:val="000000"/>
                <w:kern w:val="0"/>
                <w:szCs w:val="21"/>
                <w:highlight w:val="none"/>
              </w:rPr>
              <w:t>3</w:t>
            </w:r>
          </w:p>
        </w:tc>
        <w:tc>
          <w:tcPr>
            <w:tcW w:w="850" w:type="dxa"/>
            <w:tcBorders>
              <w:top w:val="nil"/>
              <w:left w:val="nil"/>
              <w:bottom w:val="single" w:color="auto" w:sz="4" w:space="0"/>
              <w:right w:val="single" w:color="auto" w:sz="4" w:space="0"/>
            </w:tcBorders>
            <w:vAlign w:val="center"/>
          </w:tcPr>
          <w:p w14:paraId="234BB898">
            <w:pPr>
              <w:widowControl/>
              <w:spacing w:line="360" w:lineRule="auto"/>
              <w:jc w:val="center"/>
              <w:rPr>
                <w:rFonts w:ascii="宋体" w:hAnsi="宋体" w:eastAsia="宋体" w:cs="宋体"/>
                <w:color w:val="000000"/>
                <w:kern w:val="0"/>
                <w:szCs w:val="21"/>
                <w:highlight w:val="none"/>
              </w:rPr>
            </w:pPr>
            <w:r>
              <w:rPr>
                <w:rFonts w:hint="eastAsia" w:ascii="宋体" w:hAnsi="宋体" w:eastAsia="宋体" w:cs="宋体"/>
                <w:color w:val="000000"/>
                <w:kern w:val="0"/>
                <w:szCs w:val="21"/>
                <w:highlight w:val="none"/>
              </w:rPr>
              <w:t>台</w:t>
            </w:r>
          </w:p>
        </w:tc>
      </w:tr>
      <w:tr w14:paraId="528717E9">
        <w:tblPrEx>
          <w:tblCellMar>
            <w:top w:w="0" w:type="dxa"/>
            <w:left w:w="108" w:type="dxa"/>
            <w:bottom w:w="0" w:type="dxa"/>
            <w:right w:w="108" w:type="dxa"/>
          </w:tblCellMar>
        </w:tblPrEx>
        <w:trPr>
          <w:trHeight w:val="951" w:hRule="atLeast"/>
        </w:trPr>
        <w:tc>
          <w:tcPr>
            <w:tcW w:w="846" w:type="dxa"/>
            <w:tcBorders>
              <w:top w:val="nil"/>
              <w:left w:val="single" w:color="auto" w:sz="4" w:space="0"/>
              <w:bottom w:val="single" w:color="auto" w:sz="4" w:space="0"/>
              <w:right w:val="single" w:color="auto" w:sz="4" w:space="0"/>
            </w:tcBorders>
            <w:vAlign w:val="center"/>
          </w:tcPr>
          <w:p w14:paraId="419A44B7">
            <w:pPr>
              <w:widowControl/>
              <w:spacing w:line="360" w:lineRule="auto"/>
              <w:jc w:val="center"/>
              <w:rPr>
                <w:rFonts w:ascii="宋体" w:hAnsi="宋体" w:eastAsia="宋体" w:cs="宋体"/>
                <w:color w:val="000000"/>
                <w:kern w:val="0"/>
                <w:szCs w:val="21"/>
                <w:highlight w:val="none"/>
              </w:rPr>
            </w:pPr>
            <w:r>
              <w:rPr>
                <w:rFonts w:hint="eastAsia" w:ascii="宋体" w:hAnsi="宋体" w:eastAsia="宋体" w:cs="宋体"/>
                <w:color w:val="000000"/>
                <w:kern w:val="0"/>
                <w:szCs w:val="21"/>
                <w:highlight w:val="none"/>
              </w:rPr>
              <w:t>4</w:t>
            </w:r>
          </w:p>
        </w:tc>
        <w:tc>
          <w:tcPr>
            <w:tcW w:w="1417" w:type="dxa"/>
            <w:tcBorders>
              <w:top w:val="nil"/>
              <w:left w:val="nil"/>
              <w:bottom w:val="single" w:color="auto" w:sz="4" w:space="0"/>
              <w:right w:val="single" w:color="auto" w:sz="4" w:space="0"/>
            </w:tcBorders>
            <w:vAlign w:val="center"/>
          </w:tcPr>
          <w:p w14:paraId="273BBD67">
            <w:pPr>
              <w:widowControl/>
              <w:jc w:val="center"/>
              <w:rPr>
                <w:rFonts w:ascii="宋体" w:hAnsi="宋体" w:eastAsia="宋体" w:cs="宋体"/>
                <w:color w:val="000000"/>
                <w:kern w:val="0"/>
                <w:szCs w:val="21"/>
                <w:highlight w:val="none"/>
              </w:rPr>
            </w:pPr>
            <w:r>
              <w:rPr>
                <w:rFonts w:hint="eastAsia" w:ascii="宋体" w:hAnsi="宋体" w:eastAsia="宋体" w:cs="宋体"/>
                <w:color w:val="000000"/>
                <w:kern w:val="0"/>
                <w:szCs w:val="21"/>
                <w:highlight w:val="none"/>
              </w:rPr>
              <w:t>业务</w:t>
            </w:r>
            <w:r>
              <w:rPr>
                <w:rFonts w:ascii="宋体" w:hAnsi="宋体" w:eastAsia="宋体" w:cs="宋体"/>
                <w:color w:val="000000"/>
                <w:kern w:val="0"/>
                <w:szCs w:val="21"/>
                <w:highlight w:val="none"/>
              </w:rPr>
              <w:t>/存储/隧道网交换机</w:t>
            </w:r>
          </w:p>
        </w:tc>
        <w:tc>
          <w:tcPr>
            <w:tcW w:w="5103" w:type="dxa"/>
            <w:tcBorders>
              <w:top w:val="nil"/>
              <w:left w:val="nil"/>
              <w:bottom w:val="single" w:color="auto" w:sz="4" w:space="0"/>
              <w:right w:val="single" w:color="auto" w:sz="4" w:space="0"/>
            </w:tcBorders>
            <w:vAlign w:val="center"/>
          </w:tcPr>
          <w:p w14:paraId="01DB018A">
            <w:pPr>
              <w:pStyle w:val="2"/>
              <w:ind w:left="0" w:leftChars="0" w:firstLine="0" w:firstLineChars="0"/>
              <w:rPr>
                <w:rFonts w:ascii="宋体" w:hAnsi="宋体" w:eastAsia="宋体"/>
                <w:highlight w:val="none"/>
              </w:rPr>
            </w:pPr>
            <w:r>
              <w:rPr>
                <w:rFonts w:ascii="宋体" w:hAnsi="宋体" w:eastAsia="宋体"/>
                <w:highlight w:val="none"/>
              </w:rPr>
              <w:t>1、性能：交换容量≥4.8Tbps，包转发率≥2000Mpps</w:t>
            </w:r>
          </w:p>
          <w:p w14:paraId="2B11A919">
            <w:pPr>
              <w:pStyle w:val="2"/>
              <w:ind w:left="0" w:leftChars="0" w:firstLine="0" w:firstLineChars="0"/>
              <w:rPr>
                <w:rFonts w:ascii="宋体" w:hAnsi="宋体" w:eastAsia="宋体"/>
                <w:highlight w:val="none"/>
              </w:rPr>
            </w:pPr>
            <w:r>
              <w:rPr>
                <w:rFonts w:ascii="宋体" w:hAnsi="宋体" w:eastAsia="宋体"/>
                <w:highlight w:val="none"/>
              </w:rPr>
              <w:t>2、接口：≥48个10GE SFP+万兆光接口，≥6个40GE QSFP28接口（所有光口均含配套多模光模块及跳线）</w:t>
            </w:r>
          </w:p>
          <w:p w14:paraId="4D83A20C">
            <w:pPr>
              <w:pStyle w:val="2"/>
              <w:ind w:left="0" w:leftChars="0" w:firstLine="0" w:firstLineChars="0"/>
              <w:rPr>
                <w:rFonts w:ascii="宋体" w:hAnsi="宋体" w:eastAsia="宋体"/>
                <w:highlight w:val="none"/>
              </w:rPr>
            </w:pPr>
            <w:r>
              <w:rPr>
                <w:rFonts w:ascii="宋体" w:hAnsi="宋体" w:eastAsia="宋体"/>
                <w:highlight w:val="none"/>
              </w:rPr>
              <w:t>3、功能：支持跨设备链路聚合（MLAG/vPC）、VXLAN、QoS策略、ACL访问控制、NetFlow/sFlow流量分析</w:t>
            </w:r>
          </w:p>
          <w:p w14:paraId="5F90FF7E">
            <w:pPr>
              <w:pStyle w:val="2"/>
              <w:widowControl/>
              <w:ind w:left="0" w:leftChars="0" w:firstLine="0" w:firstLineChars="0"/>
              <w:rPr>
                <w:rFonts w:ascii="宋体" w:hAnsi="宋体" w:eastAsia="宋体" w:cs="宋体"/>
                <w:color w:val="000000"/>
                <w:kern w:val="0"/>
                <w:szCs w:val="21"/>
                <w:highlight w:val="none"/>
              </w:rPr>
            </w:pPr>
            <w:r>
              <w:rPr>
                <w:rFonts w:ascii="宋体" w:hAnsi="宋体" w:eastAsia="宋体"/>
                <w:highlight w:val="none"/>
              </w:rPr>
              <w:t>4、可靠性：主控/电源/风扇冗余，支持热插拔，无单点故障</w:t>
            </w:r>
          </w:p>
        </w:tc>
        <w:tc>
          <w:tcPr>
            <w:tcW w:w="851" w:type="dxa"/>
            <w:tcBorders>
              <w:top w:val="nil"/>
              <w:left w:val="nil"/>
              <w:bottom w:val="single" w:color="auto" w:sz="4" w:space="0"/>
              <w:right w:val="single" w:color="auto" w:sz="4" w:space="0"/>
            </w:tcBorders>
            <w:vAlign w:val="center"/>
          </w:tcPr>
          <w:p w14:paraId="145CC748">
            <w:pPr>
              <w:widowControl/>
              <w:jc w:val="center"/>
              <w:rPr>
                <w:rFonts w:ascii="宋体" w:hAnsi="宋体" w:eastAsia="宋体" w:cs="宋体"/>
                <w:color w:val="000000"/>
                <w:kern w:val="0"/>
                <w:szCs w:val="21"/>
                <w:highlight w:val="none"/>
              </w:rPr>
            </w:pPr>
            <w:r>
              <w:rPr>
                <w:rFonts w:hint="eastAsia" w:ascii="宋体" w:hAnsi="宋体" w:eastAsia="宋体" w:cs="宋体"/>
                <w:color w:val="000000"/>
                <w:kern w:val="0"/>
                <w:szCs w:val="21"/>
                <w:highlight w:val="none"/>
              </w:rPr>
              <w:t>4</w:t>
            </w:r>
          </w:p>
        </w:tc>
        <w:tc>
          <w:tcPr>
            <w:tcW w:w="850" w:type="dxa"/>
            <w:tcBorders>
              <w:top w:val="nil"/>
              <w:left w:val="nil"/>
              <w:bottom w:val="single" w:color="auto" w:sz="4" w:space="0"/>
              <w:right w:val="single" w:color="auto" w:sz="4" w:space="0"/>
            </w:tcBorders>
            <w:vAlign w:val="center"/>
          </w:tcPr>
          <w:p w14:paraId="760A4F0B">
            <w:pPr>
              <w:widowControl/>
              <w:spacing w:line="360" w:lineRule="auto"/>
              <w:jc w:val="center"/>
              <w:rPr>
                <w:rFonts w:ascii="宋体" w:hAnsi="宋体" w:eastAsia="宋体" w:cs="宋体"/>
                <w:color w:val="000000"/>
                <w:kern w:val="0"/>
                <w:szCs w:val="21"/>
                <w:highlight w:val="none"/>
              </w:rPr>
            </w:pPr>
            <w:r>
              <w:rPr>
                <w:rFonts w:hint="eastAsia" w:ascii="宋体" w:hAnsi="宋体" w:eastAsia="宋体" w:cs="宋体"/>
                <w:color w:val="000000"/>
                <w:kern w:val="0"/>
                <w:szCs w:val="21"/>
                <w:highlight w:val="none"/>
              </w:rPr>
              <w:t>台</w:t>
            </w:r>
          </w:p>
        </w:tc>
      </w:tr>
      <w:tr w14:paraId="003E7A7E">
        <w:tblPrEx>
          <w:tblCellMar>
            <w:top w:w="0" w:type="dxa"/>
            <w:left w:w="108" w:type="dxa"/>
            <w:bottom w:w="0" w:type="dxa"/>
            <w:right w:w="108" w:type="dxa"/>
          </w:tblCellMar>
        </w:tblPrEx>
        <w:trPr>
          <w:trHeight w:val="680" w:hRule="atLeast"/>
        </w:trPr>
        <w:tc>
          <w:tcPr>
            <w:tcW w:w="846" w:type="dxa"/>
            <w:tcBorders>
              <w:top w:val="nil"/>
              <w:left w:val="single" w:color="auto" w:sz="4" w:space="0"/>
              <w:bottom w:val="single" w:color="auto" w:sz="4" w:space="0"/>
              <w:right w:val="single" w:color="auto" w:sz="4" w:space="0"/>
            </w:tcBorders>
            <w:vAlign w:val="center"/>
          </w:tcPr>
          <w:p w14:paraId="5A2C64A2">
            <w:pPr>
              <w:widowControl/>
              <w:spacing w:line="360" w:lineRule="auto"/>
              <w:jc w:val="center"/>
              <w:rPr>
                <w:rFonts w:ascii="宋体" w:hAnsi="宋体" w:eastAsia="宋体" w:cs="宋体"/>
                <w:color w:val="000000"/>
                <w:kern w:val="0"/>
                <w:szCs w:val="21"/>
                <w:highlight w:val="none"/>
              </w:rPr>
            </w:pPr>
            <w:r>
              <w:rPr>
                <w:rFonts w:hint="eastAsia" w:ascii="宋体" w:hAnsi="宋体" w:eastAsia="宋体" w:cs="宋体"/>
                <w:color w:val="000000"/>
                <w:kern w:val="0"/>
                <w:szCs w:val="21"/>
                <w:highlight w:val="none"/>
              </w:rPr>
              <w:t>5</w:t>
            </w:r>
          </w:p>
        </w:tc>
        <w:tc>
          <w:tcPr>
            <w:tcW w:w="1417" w:type="dxa"/>
            <w:tcBorders>
              <w:top w:val="nil"/>
              <w:left w:val="nil"/>
              <w:bottom w:val="single" w:color="auto" w:sz="4" w:space="0"/>
              <w:right w:val="single" w:color="auto" w:sz="4" w:space="0"/>
            </w:tcBorders>
            <w:vAlign w:val="center"/>
          </w:tcPr>
          <w:p w14:paraId="51A26ECE">
            <w:pPr>
              <w:widowControl/>
              <w:jc w:val="center"/>
              <w:rPr>
                <w:rFonts w:ascii="宋体" w:hAnsi="宋体" w:eastAsia="宋体" w:cs="宋体"/>
                <w:color w:val="000000"/>
                <w:kern w:val="0"/>
                <w:szCs w:val="21"/>
                <w:highlight w:val="none"/>
              </w:rPr>
            </w:pPr>
            <w:r>
              <w:rPr>
                <w:rFonts w:hint="eastAsia" w:ascii="宋体" w:hAnsi="宋体" w:eastAsia="宋体" w:cs="宋体"/>
                <w:color w:val="000000"/>
                <w:kern w:val="0"/>
                <w:szCs w:val="21"/>
                <w:highlight w:val="none"/>
              </w:rPr>
              <w:t>IPMI交换机</w:t>
            </w:r>
          </w:p>
        </w:tc>
        <w:tc>
          <w:tcPr>
            <w:tcW w:w="5103" w:type="dxa"/>
            <w:tcBorders>
              <w:top w:val="nil"/>
              <w:left w:val="nil"/>
              <w:bottom w:val="single" w:color="auto" w:sz="4" w:space="0"/>
              <w:right w:val="single" w:color="auto" w:sz="4" w:space="0"/>
            </w:tcBorders>
            <w:vAlign w:val="center"/>
          </w:tcPr>
          <w:p w14:paraId="0132C0D7">
            <w:pPr>
              <w:pStyle w:val="2"/>
              <w:ind w:left="0" w:leftChars="0" w:firstLine="0" w:firstLineChars="0"/>
              <w:rPr>
                <w:rFonts w:ascii="宋体" w:hAnsi="宋体" w:eastAsia="宋体"/>
                <w:highlight w:val="none"/>
              </w:rPr>
            </w:pPr>
            <w:r>
              <w:rPr>
                <w:rFonts w:ascii="宋体" w:hAnsi="宋体" w:eastAsia="宋体"/>
                <w:highlight w:val="none"/>
              </w:rPr>
              <w:t>1、性能：交换容量≥756Gbps，包转发率≥252Mpps</w:t>
            </w:r>
          </w:p>
          <w:p w14:paraId="7E01632D">
            <w:pPr>
              <w:pStyle w:val="2"/>
              <w:widowControl/>
              <w:ind w:left="0" w:leftChars="0" w:firstLine="0" w:firstLineChars="0"/>
              <w:rPr>
                <w:rFonts w:ascii="宋体" w:hAnsi="宋体" w:eastAsia="宋体" w:cs="宋体"/>
                <w:color w:val="000000"/>
                <w:kern w:val="0"/>
                <w:szCs w:val="21"/>
                <w:highlight w:val="none"/>
              </w:rPr>
            </w:pPr>
            <w:r>
              <w:rPr>
                <w:rFonts w:ascii="宋体" w:hAnsi="宋体" w:eastAsia="宋体"/>
                <w:highlight w:val="none"/>
              </w:rPr>
              <w:t>2、接口：≥48个千兆电接口，≥4个万兆光接口（含模块及跳线）</w:t>
            </w:r>
          </w:p>
        </w:tc>
        <w:tc>
          <w:tcPr>
            <w:tcW w:w="851" w:type="dxa"/>
            <w:tcBorders>
              <w:top w:val="nil"/>
              <w:left w:val="nil"/>
              <w:bottom w:val="single" w:color="auto" w:sz="4" w:space="0"/>
              <w:right w:val="single" w:color="auto" w:sz="4" w:space="0"/>
            </w:tcBorders>
            <w:vAlign w:val="center"/>
          </w:tcPr>
          <w:p w14:paraId="000B419E">
            <w:pPr>
              <w:widowControl/>
              <w:jc w:val="center"/>
              <w:rPr>
                <w:rFonts w:ascii="宋体" w:hAnsi="宋体" w:eastAsia="宋体" w:cs="宋体"/>
                <w:color w:val="000000"/>
                <w:kern w:val="0"/>
                <w:szCs w:val="21"/>
                <w:highlight w:val="none"/>
              </w:rPr>
            </w:pPr>
            <w:r>
              <w:rPr>
                <w:rFonts w:hint="eastAsia" w:ascii="宋体" w:hAnsi="宋体" w:eastAsia="宋体" w:cs="宋体"/>
                <w:color w:val="000000"/>
                <w:kern w:val="0"/>
                <w:szCs w:val="21"/>
                <w:highlight w:val="none"/>
              </w:rPr>
              <w:t>1</w:t>
            </w:r>
          </w:p>
        </w:tc>
        <w:tc>
          <w:tcPr>
            <w:tcW w:w="850" w:type="dxa"/>
            <w:tcBorders>
              <w:top w:val="nil"/>
              <w:left w:val="nil"/>
              <w:bottom w:val="single" w:color="auto" w:sz="4" w:space="0"/>
              <w:right w:val="single" w:color="auto" w:sz="4" w:space="0"/>
            </w:tcBorders>
            <w:vAlign w:val="center"/>
          </w:tcPr>
          <w:p w14:paraId="52A4C214">
            <w:pPr>
              <w:widowControl/>
              <w:spacing w:line="360" w:lineRule="auto"/>
              <w:jc w:val="center"/>
              <w:rPr>
                <w:rFonts w:ascii="宋体" w:hAnsi="宋体" w:eastAsia="宋体" w:cs="宋体"/>
                <w:color w:val="000000"/>
                <w:kern w:val="0"/>
                <w:szCs w:val="21"/>
                <w:highlight w:val="none"/>
              </w:rPr>
            </w:pPr>
            <w:r>
              <w:rPr>
                <w:rFonts w:hint="eastAsia" w:ascii="宋体" w:hAnsi="宋体" w:eastAsia="宋体" w:cs="宋体"/>
                <w:color w:val="000000"/>
                <w:kern w:val="0"/>
                <w:szCs w:val="21"/>
                <w:highlight w:val="none"/>
              </w:rPr>
              <w:t>台</w:t>
            </w:r>
          </w:p>
        </w:tc>
      </w:tr>
      <w:tr w14:paraId="6F94ECEA">
        <w:tblPrEx>
          <w:tblCellMar>
            <w:top w:w="0" w:type="dxa"/>
            <w:left w:w="108" w:type="dxa"/>
            <w:bottom w:w="0" w:type="dxa"/>
            <w:right w:w="108" w:type="dxa"/>
          </w:tblCellMar>
        </w:tblPrEx>
        <w:trPr>
          <w:trHeight w:val="680" w:hRule="atLeast"/>
        </w:trPr>
        <w:tc>
          <w:tcPr>
            <w:tcW w:w="846" w:type="dxa"/>
            <w:tcBorders>
              <w:top w:val="nil"/>
              <w:left w:val="single" w:color="auto" w:sz="4" w:space="0"/>
              <w:bottom w:val="single" w:color="auto" w:sz="4" w:space="0"/>
              <w:right w:val="single" w:color="auto" w:sz="4" w:space="0"/>
            </w:tcBorders>
            <w:vAlign w:val="center"/>
          </w:tcPr>
          <w:p w14:paraId="2C25C054">
            <w:pPr>
              <w:widowControl/>
              <w:spacing w:line="360" w:lineRule="auto"/>
              <w:jc w:val="center"/>
              <w:rPr>
                <w:rFonts w:ascii="宋体" w:hAnsi="宋体" w:eastAsia="宋体" w:cs="宋体"/>
                <w:color w:val="000000"/>
                <w:kern w:val="0"/>
                <w:szCs w:val="21"/>
                <w:highlight w:val="none"/>
              </w:rPr>
            </w:pPr>
            <w:r>
              <w:rPr>
                <w:rFonts w:hint="eastAsia" w:ascii="宋体" w:hAnsi="宋体" w:eastAsia="宋体" w:cs="宋体"/>
                <w:color w:val="000000"/>
                <w:kern w:val="0"/>
                <w:szCs w:val="21"/>
                <w:highlight w:val="none"/>
              </w:rPr>
              <w:t>6</w:t>
            </w:r>
          </w:p>
        </w:tc>
        <w:tc>
          <w:tcPr>
            <w:tcW w:w="1417" w:type="dxa"/>
            <w:tcBorders>
              <w:top w:val="nil"/>
              <w:left w:val="nil"/>
              <w:bottom w:val="single" w:color="auto" w:sz="4" w:space="0"/>
              <w:right w:val="single" w:color="auto" w:sz="4" w:space="0"/>
            </w:tcBorders>
            <w:vAlign w:val="center"/>
          </w:tcPr>
          <w:p w14:paraId="77D50E5A">
            <w:pPr>
              <w:widowControl/>
              <w:jc w:val="center"/>
              <w:rPr>
                <w:rFonts w:ascii="宋体" w:hAnsi="宋体" w:eastAsia="宋体" w:cs="宋体"/>
                <w:color w:val="000000"/>
                <w:kern w:val="0"/>
                <w:szCs w:val="21"/>
                <w:highlight w:val="none"/>
              </w:rPr>
            </w:pPr>
            <w:r>
              <w:rPr>
                <w:rFonts w:hint="eastAsia" w:ascii="宋体" w:hAnsi="宋体" w:eastAsia="宋体" w:cs="宋体"/>
                <w:color w:val="000000"/>
                <w:kern w:val="0"/>
                <w:szCs w:val="21"/>
                <w:highlight w:val="none"/>
              </w:rPr>
              <w:t>云平台管理节点</w:t>
            </w:r>
          </w:p>
        </w:tc>
        <w:tc>
          <w:tcPr>
            <w:tcW w:w="5103" w:type="dxa"/>
            <w:tcBorders>
              <w:top w:val="nil"/>
              <w:left w:val="nil"/>
              <w:bottom w:val="single" w:color="auto" w:sz="4" w:space="0"/>
              <w:right w:val="single" w:color="auto" w:sz="4" w:space="0"/>
            </w:tcBorders>
            <w:vAlign w:val="center"/>
          </w:tcPr>
          <w:p w14:paraId="2D545D15">
            <w:pPr>
              <w:pStyle w:val="5"/>
              <w:ind w:firstLine="0" w:firstLineChars="0"/>
              <w:rPr>
                <w:rFonts w:eastAsia="宋体" w:cs="宋体"/>
                <w:color w:val="000000"/>
                <w:kern w:val="0"/>
                <w:sz w:val="21"/>
                <w:szCs w:val="21"/>
                <w:highlight w:val="none"/>
              </w:rPr>
            </w:pPr>
            <w:r>
              <w:rPr>
                <w:rFonts w:eastAsia="宋体" w:cs="宋体"/>
                <w:color w:val="000000"/>
                <w:kern w:val="0"/>
                <w:sz w:val="21"/>
                <w:szCs w:val="21"/>
                <w:highlight w:val="none"/>
              </w:rPr>
              <w:t>1</w:t>
            </w:r>
            <w:r>
              <w:rPr>
                <w:rFonts w:hint="eastAsia" w:eastAsia="宋体" w:cs="宋体"/>
                <w:color w:val="000000"/>
                <w:kern w:val="0"/>
                <w:sz w:val="21"/>
                <w:szCs w:val="21"/>
                <w:highlight w:val="none"/>
              </w:rPr>
              <w:t>、</w:t>
            </w:r>
            <w:r>
              <w:rPr>
                <w:rFonts w:eastAsia="宋体" w:cs="宋体"/>
                <w:color w:val="000000"/>
                <w:kern w:val="0"/>
                <w:sz w:val="21"/>
                <w:szCs w:val="21"/>
                <w:highlight w:val="none"/>
              </w:rPr>
              <w:t>CPU:每台提供不少于24</w:t>
            </w:r>
            <w:r>
              <w:rPr>
                <w:rFonts w:hint="eastAsia" w:eastAsia="宋体" w:cs="宋体"/>
                <w:color w:val="000000"/>
                <w:kern w:val="0"/>
                <w:sz w:val="21"/>
                <w:szCs w:val="21"/>
                <w:highlight w:val="none"/>
              </w:rPr>
              <w:t>个物理核，主频不低于</w:t>
            </w:r>
            <w:r>
              <w:rPr>
                <w:rFonts w:eastAsia="宋体" w:cs="宋体"/>
                <w:color w:val="000000"/>
                <w:kern w:val="0"/>
                <w:sz w:val="21"/>
                <w:szCs w:val="21"/>
                <w:highlight w:val="none"/>
              </w:rPr>
              <w:t>2.4GHz</w:t>
            </w:r>
            <w:r>
              <w:rPr>
                <w:rFonts w:eastAsia="宋体" w:cs="宋体"/>
                <w:color w:val="000000"/>
                <w:kern w:val="0"/>
                <w:sz w:val="21"/>
                <w:szCs w:val="21"/>
                <w:highlight w:val="none"/>
              </w:rPr>
              <w:br w:type="textWrapping"/>
            </w:r>
            <w:r>
              <w:rPr>
                <w:rFonts w:eastAsia="宋体" w:cs="宋体"/>
                <w:color w:val="000000"/>
                <w:kern w:val="0"/>
                <w:sz w:val="21"/>
                <w:szCs w:val="21"/>
                <w:highlight w:val="none"/>
              </w:rPr>
              <w:t>2、</w:t>
            </w:r>
            <w:r>
              <w:rPr>
                <w:rFonts w:hint="eastAsia" w:eastAsia="宋体" w:cs="宋体"/>
                <w:color w:val="000000"/>
                <w:kern w:val="0"/>
                <w:sz w:val="21"/>
                <w:szCs w:val="21"/>
                <w:highlight w:val="none"/>
              </w:rPr>
              <w:t>内存：每台提供不少于</w:t>
            </w:r>
            <w:r>
              <w:rPr>
                <w:rFonts w:eastAsia="宋体" w:cs="宋体"/>
                <w:color w:val="000000"/>
                <w:kern w:val="0"/>
                <w:sz w:val="21"/>
                <w:szCs w:val="21"/>
                <w:highlight w:val="none"/>
              </w:rPr>
              <w:t>128GB</w:t>
            </w:r>
            <w:r>
              <w:rPr>
                <w:rFonts w:hint="eastAsia" w:eastAsia="宋体" w:cs="宋体"/>
                <w:color w:val="000000"/>
                <w:kern w:val="0"/>
                <w:sz w:val="21"/>
                <w:szCs w:val="21"/>
                <w:highlight w:val="none"/>
              </w:rPr>
              <w:t>内存</w:t>
            </w:r>
            <w:r>
              <w:rPr>
                <w:rFonts w:eastAsia="宋体" w:cs="宋体"/>
                <w:color w:val="000000"/>
                <w:kern w:val="0"/>
                <w:sz w:val="21"/>
                <w:szCs w:val="21"/>
                <w:highlight w:val="none"/>
              </w:rPr>
              <w:br w:type="textWrapping"/>
            </w:r>
            <w:r>
              <w:rPr>
                <w:rFonts w:eastAsia="宋体" w:cs="宋体"/>
                <w:color w:val="000000"/>
                <w:kern w:val="0"/>
                <w:sz w:val="21"/>
                <w:szCs w:val="21"/>
                <w:highlight w:val="none"/>
              </w:rPr>
              <w:t>3</w:t>
            </w:r>
            <w:r>
              <w:rPr>
                <w:rFonts w:hint="eastAsia" w:eastAsia="宋体" w:cs="宋体"/>
                <w:color w:val="000000"/>
                <w:kern w:val="0"/>
                <w:sz w:val="21"/>
                <w:szCs w:val="21"/>
                <w:highlight w:val="none"/>
              </w:rPr>
              <w:t>、系统盘： 每台提供不少于</w:t>
            </w:r>
            <w:r>
              <w:rPr>
                <w:rFonts w:eastAsia="宋体" w:cs="宋体"/>
                <w:color w:val="000000"/>
                <w:kern w:val="0"/>
                <w:sz w:val="21"/>
                <w:szCs w:val="21"/>
                <w:highlight w:val="none"/>
              </w:rPr>
              <w:t>2块SSD，单块容量≥240GB，接口类型：SATA或更优</w:t>
            </w:r>
            <w:r>
              <w:rPr>
                <w:rFonts w:eastAsia="宋体" w:cs="宋体"/>
                <w:color w:val="000000"/>
                <w:kern w:val="0"/>
                <w:sz w:val="21"/>
                <w:szCs w:val="21"/>
                <w:highlight w:val="none"/>
              </w:rPr>
              <w:br w:type="textWrapping"/>
            </w:r>
            <w:r>
              <w:rPr>
                <w:rFonts w:eastAsia="宋体" w:cs="宋体"/>
                <w:color w:val="000000"/>
                <w:kern w:val="0"/>
                <w:sz w:val="21"/>
                <w:szCs w:val="21"/>
                <w:highlight w:val="none"/>
              </w:rPr>
              <w:t>4、</w:t>
            </w:r>
            <w:r>
              <w:rPr>
                <w:rFonts w:hint="eastAsia" w:eastAsia="宋体" w:cs="宋体"/>
                <w:color w:val="000000"/>
                <w:kern w:val="0"/>
                <w:sz w:val="21"/>
                <w:szCs w:val="21"/>
                <w:highlight w:val="none"/>
              </w:rPr>
              <w:t>存储： 每台提供不少于</w:t>
            </w:r>
            <w:r>
              <w:rPr>
                <w:rFonts w:eastAsia="宋体" w:cs="宋体"/>
                <w:color w:val="000000"/>
                <w:kern w:val="0"/>
                <w:sz w:val="21"/>
                <w:szCs w:val="21"/>
                <w:highlight w:val="none"/>
              </w:rPr>
              <w:t>2块SSD，单块容量≥960GB，接口类型：SATA或更优；每台提供不少于2块HDD，单块容量≥4TB，转速≥5400RPM，尺寸：2.5英寸或3.5英寸</w:t>
            </w:r>
            <w:r>
              <w:rPr>
                <w:rFonts w:eastAsia="宋体" w:cs="宋体"/>
                <w:color w:val="000000"/>
                <w:kern w:val="0"/>
                <w:sz w:val="21"/>
                <w:szCs w:val="21"/>
                <w:highlight w:val="none"/>
              </w:rPr>
              <w:br w:type="textWrapping"/>
            </w:r>
            <w:r>
              <w:rPr>
                <w:rFonts w:eastAsia="宋体" w:cs="宋体"/>
                <w:color w:val="000000"/>
                <w:kern w:val="0"/>
                <w:sz w:val="21"/>
                <w:szCs w:val="21"/>
                <w:highlight w:val="none"/>
              </w:rPr>
              <w:t>5</w:t>
            </w:r>
            <w:r>
              <w:rPr>
                <w:rFonts w:hint="eastAsia" w:eastAsia="宋体" w:cs="宋体"/>
                <w:color w:val="000000"/>
                <w:kern w:val="0"/>
                <w:sz w:val="21"/>
                <w:szCs w:val="21"/>
                <w:highlight w:val="none"/>
              </w:rPr>
              <w:t>、网卡：≥</w:t>
            </w:r>
            <w:r>
              <w:rPr>
                <w:rFonts w:eastAsia="宋体" w:cs="宋体"/>
                <w:color w:val="000000"/>
                <w:kern w:val="0"/>
                <w:sz w:val="21"/>
                <w:szCs w:val="21"/>
                <w:highlight w:val="none"/>
              </w:rPr>
              <w:t>4个千兆电接口；≥4个万兆光接口</w:t>
            </w:r>
          </w:p>
          <w:p w14:paraId="58A675B0">
            <w:pPr>
              <w:pStyle w:val="5"/>
              <w:widowControl/>
              <w:ind w:firstLine="0" w:firstLineChars="0"/>
              <w:rPr>
                <w:rFonts w:eastAsia="宋体" w:cs="宋体"/>
                <w:color w:val="000000"/>
                <w:kern w:val="0"/>
                <w:szCs w:val="21"/>
                <w:highlight w:val="none"/>
              </w:rPr>
            </w:pPr>
            <w:r>
              <w:rPr>
                <w:rFonts w:hint="eastAsia" w:eastAsia="宋体" w:cs="宋体"/>
                <w:color w:val="000000"/>
                <w:kern w:val="0"/>
                <w:sz w:val="21"/>
                <w:szCs w:val="21"/>
                <w:highlight w:val="none"/>
              </w:rPr>
              <w:t>6、承担虚拟化平台管理、调度、监控等控制面功能</w:t>
            </w:r>
          </w:p>
        </w:tc>
        <w:tc>
          <w:tcPr>
            <w:tcW w:w="851" w:type="dxa"/>
            <w:tcBorders>
              <w:top w:val="nil"/>
              <w:left w:val="nil"/>
              <w:bottom w:val="single" w:color="auto" w:sz="4" w:space="0"/>
              <w:right w:val="single" w:color="auto" w:sz="4" w:space="0"/>
            </w:tcBorders>
            <w:vAlign w:val="center"/>
          </w:tcPr>
          <w:p w14:paraId="60872E88">
            <w:pPr>
              <w:widowControl/>
              <w:jc w:val="center"/>
              <w:rPr>
                <w:rFonts w:ascii="宋体" w:hAnsi="宋体" w:eastAsia="宋体" w:cs="宋体"/>
                <w:color w:val="000000"/>
                <w:kern w:val="0"/>
                <w:szCs w:val="21"/>
                <w:highlight w:val="none"/>
              </w:rPr>
            </w:pPr>
            <w:r>
              <w:rPr>
                <w:rFonts w:hint="eastAsia" w:ascii="宋体" w:hAnsi="宋体" w:eastAsia="宋体" w:cs="宋体"/>
                <w:color w:val="000000"/>
                <w:kern w:val="0"/>
                <w:szCs w:val="21"/>
                <w:highlight w:val="none"/>
              </w:rPr>
              <w:t>3</w:t>
            </w:r>
          </w:p>
        </w:tc>
        <w:tc>
          <w:tcPr>
            <w:tcW w:w="850" w:type="dxa"/>
            <w:tcBorders>
              <w:top w:val="nil"/>
              <w:left w:val="nil"/>
              <w:bottom w:val="single" w:color="auto" w:sz="4" w:space="0"/>
              <w:right w:val="single" w:color="auto" w:sz="4" w:space="0"/>
            </w:tcBorders>
            <w:vAlign w:val="center"/>
          </w:tcPr>
          <w:p w14:paraId="6C77A476">
            <w:pPr>
              <w:widowControl/>
              <w:spacing w:line="360" w:lineRule="auto"/>
              <w:jc w:val="center"/>
              <w:rPr>
                <w:rFonts w:ascii="宋体" w:hAnsi="宋体" w:eastAsia="宋体" w:cs="宋体"/>
                <w:color w:val="000000"/>
                <w:kern w:val="0"/>
                <w:szCs w:val="21"/>
                <w:highlight w:val="none"/>
              </w:rPr>
            </w:pPr>
            <w:r>
              <w:rPr>
                <w:rFonts w:hint="eastAsia" w:ascii="宋体" w:hAnsi="宋体" w:eastAsia="宋体" w:cs="宋体"/>
                <w:color w:val="000000"/>
                <w:kern w:val="0"/>
                <w:szCs w:val="21"/>
                <w:highlight w:val="none"/>
              </w:rPr>
              <w:t>台</w:t>
            </w:r>
          </w:p>
        </w:tc>
      </w:tr>
      <w:tr w14:paraId="469952C9">
        <w:tblPrEx>
          <w:tblCellMar>
            <w:top w:w="0" w:type="dxa"/>
            <w:left w:w="108" w:type="dxa"/>
            <w:bottom w:w="0" w:type="dxa"/>
            <w:right w:w="108" w:type="dxa"/>
          </w:tblCellMar>
        </w:tblPrEx>
        <w:trPr>
          <w:trHeight w:val="680" w:hRule="atLeast"/>
        </w:trPr>
        <w:tc>
          <w:tcPr>
            <w:tcW w:w="846" w:type="dxa"/>
            <w:tcBorders>
              <w:top w:val="single" w:color="auto" w:sz="4" w:space="0"/>
              <w:left w:val="single" w:color="auto" w:sz="4" w:space="0"/>
              <w:bottom w:val="single" w:color="auto" w:sz="4" w:space="0"/>
              <w:right w:val="single" w:color="auto" w:sz="4" w:space="0"/>
            </w:tcBorders>
            <w:vAlign w:val="center"/>
          </w:tcPr>
          <w:p w14:paraId="10BB218C">
            <w:pPr>
              <w:widowControl/>
              <w:spacing w:line="360" w:lineRule="auto"/>
              <w:jc w:val="center"/>
              <w:rPr>
                <w:rFonts w:ascii="宋体" w:hAnsi="宋体" w:eastAsia="宋体" w:cs="宋体"/>
                <w:color w:val="000000"/>
                <w:kern w:val="0"/>
                <w:szCs w:val="21"/>
                <w:highlight w:val="none"/>
              </w:rPr>
            </w:pPr>
            <w:r>
              <w:rPr>
                <w:rFonts w:hint="eastAsia" w:ascii="宋体" w:hAnsi="宋体" w:eastAsia="宋体" w:cs="宋体"/>
                <w:color w:val="000000"/>
                <w:kern w:val="0"/>
                <w:szCs w:val="21"/>
                <w:highlight w:val="none"/>
              </w:rPr>
              <w:t>7</w:t>
            </w:r>
          </w:p>
        </w:tc>
        <w:tc>
          <w:tcPr>
            <w:tcW w:w="1417" w:type="dxa"/>
            <w:tcBorders>
              <w:top w:val="single" w:color="auto" w:sz="4" w:space="0"/>
              <w:left w:val="nil"/>
              <w:bottom w:val="single" w:color="auto" w:sz="4" w:space="0"/>
              <w:right w:val="single" w:color="auto" w:sz="4" w:space="0"/>
            </w:tcBorders>
            <w:vAlign w:val="center"/>
          </w:tcPr>
          <w:p w14:paraId="47473F2E">
            <w:pPr>
              <w:widowControl/>
              <w:jc w:val="center"/>
              <w:rPr>
                <w:rFonts w:ascii="宋体" w:hAnsi="宋体" w:eastAsia="宋体" w:cs="宋体"/>
                <w:color w:val="000000"/>
                <w:kern w:val="0"/>
                <w:szCs w:val="21"/>
                <w:highlight w:val="none"/>
              </w:rPr>
            </w:pPr>
            <w:r>
              <w:rPr>
                <w:rFonts w:hint="eastAsia" w:ascii="宋体" w:hAnsi="宋体" w:eastAsia="宋体" w:cs="宋体"/>
                <w:color w:val="000000"/>
                <w:kern w:val="0"/>
                <w:szCs w:val="21"/>
                <w:highlight w:val="none"/>
              </w:rPr>
              <w:t>云平台安全组件-潜伏探针</w:t>
            </w:r>
          </w:p>
        </w:tc>
        <w:tc>
          <w:tcPr>
            <w:tcW w:w="5103" w:type="dxa"/>
            <w:tcBorders>
              <w:top w:val="single" w:color="auto" w:sz="4" w:space="0"/>
              <w:left w:val="nil"/>
              <w:bottom w:val="single" w:color="auto" w:sz="4" w:space="0"/>
              <w:right w:val="single" w:color="auto" w:sz="4" w:space="0"/>
            </w:tcBorders>
            <w:vAlign w:val="center"/>
          </w:tcPr>
          <w:p w14:paraId="2EBD1018">
            <w:pPr>
              <w:widowControl/>
              <w:rPr>
                <w:rFonts w:ascii="宋体" w:hAnsi="宋体" w:eastAsia="宋体" w:cs="宋体"/>
                <w:color w:val="000000"/>
                <w:kern w:val="0"/>
                <w:sz w:val="21"/>
                <w:szCs w:val="21"/>
                <w:highlight w:val="none"/>
              </w:rPr>
            </w:pPr>
            <w:r>
              <w:rPr>
                <w:rFonts w:ascii="宋体" w:hAnsi="宋体" w:eastAsia="宋体" w:cs="宋体"/>
                <w:color w:val="000000"/>
                <w:kern w:val="0"/>
                <w:sz w:val="21"/>
                <w:szCs w:val="21"/>
                <w:highlight w:val="none"/>
              </w:rPr>
              <w:t>1、硬件规格：≥1U机架式，内存≥8GB，硬盘≥64GB SSD</w:t>
            </w:r>
          </w:p>
          <w:p w14:paraId="300D2FEC">
            <w:pPr>
              <w:widowControl/>
              <w:rPr>
                <w:rFonts w:ascii="宋体" w:hAnsi="宋体" w:eastAsia="宋体" w:cs="宋体"/>
                <w:color w:val="000000"/>
                <w:kern w:val="0"/>
                <w:szCs w:val="21"/>
                <w:highlight w:val="none"/>
              </w:rPr>
            </w:pPr>
            <w:r>
              <w:rPr>
                <w:rFonts w:ascii="宋体" w:hAnsi="宋体" w:eastAsia="宋体" w:cs="宋体"/>
                <w:color w:val="000000"/>
                <w:kern w:val="0"/>
                <w:sz w:val="21"/>
                <w:szCs w:val="21"/>
                <w:highlight w:val="none"/>
              </w:rPr>
              <w:t>2、接口：≥6个千兆电接口，≥2个千兆光接口</w:t>
            </w:r>
          </w:p>
          <w:p w14:paraId="04FDD6E1">
            <w:pPr>
              <w:widowControl/>
              <w:rPr>
                <w:rFonts w:ascii="宋体" w:hAnsi="宋体" w:eastAsia="宋体" w:cs="宋体"/>
                <w:color w:val="000000"/>
                <w:kern w:val="0"/>
                <w:szCs w:val="21"/>
                <w:highlight w:val="none"/>
              </w:rPr>
            </w:pPr>
            <w:r>
              <w:rPr>
                <w:rFonts w:hint="eastAsia" w:ascii="宋体" w:hAnsi="宋体" w:eastAsia="宋体" w:cs="宋体"/>
                <w:color w:val="000000"/>
                <w:kern w:val="0"/>
                <w:szCs w:val="21"/>
                <w:highlight w:val="none"/>
              </w:rPr>
              <w:t>3、功能要求：提供主机入侵检测、异常进程监控、勒索病毒行为防护、安全基线核查，兼容主流虚拟化平台，符合等保</w:t>
            </w:r>
            <w:r>
              <w:rPr>
                <w:rFonts w:ascii="宋体" w:hAnsi="宋体" w:eastAsia="宋体" w:cs="宋体"/>
                <w:color w:val="000000"/>
                <w:kern w:val="0"/>
                <w:szCs w:val="21"/>
                <w:highlight w:val="none"/>
              </w:rPr>
              <w:t>2.0三级主机安全要求</w:t>
            </w:r>
          </w:p>
        </w:tc>
        <w:tc>
          <w:tcPr>
            <w:tcW w:w="851" w:type="dxa"/>
            <w:tcBorders>
              <w:top w:val="single" w:color="auto" w:sz="4" w:space="0"/>
              <w:left w:val="nil"/>
              <w:bottom w:val="single" w:color="auto" w:sz="4" w:space="0"/>
              <w:right w:val="single" w:color="auto" w:sz="4" w:space="0"/>
            </w:tcBorders>
            <w:vAlign w:val="center"/>
          </w:tcPr>
          <w:p w14:paraId="047894A3">
            <w:pPr>
              <w:widowControl/>
              <w:jc w:val="center"/>
              <w:rPr>
                <w:rFonts w:ascii="宋体" w:hAnsi="宋体" w:eastAsia="宋体" w:cs="宋体"/>
                <w:color w:val="000000"/>
                <w:kern w:val="0"/>
                <w:szCs w:val="21"/>
                <w:highlight w:val="none"/>
              </w:rPr>
            </w:pPr>
            <w:r>
              <w:rPr>
                <w:rFonts w:hint="eastAsia" w:ascii="宋体" w:hAnsi="宋体" w:eastAsia="宋体" w:cs="宋体"/>
                <w:color w:val="000000"/>
                <w:kern w:val="0"/>
                <w:szCs w:val="21"/>
                <w:highlight w:val="none"/>
              </w:rPr>
              <w:t>1</w:t>
            </w:r>
          </w:p>
        </w:tc>
        <w:tc>
          <w:tcPr>
            <w:tcW w:w="850" w:type="dxa"/>
            <w:tcBorders>
              <w:top w:val="single" w:color="auto" w:sz="4" w:space="0"/>
              <w:left w:val="nil"/>
              <w:bottom w:val="single" w:color="auto" w:sz="4" w:space="0"/>
              <w:right w:val="single" w:color="auto" w:sz="4" w:space="0"/>
            </w:tcBorders>
            <w:vAlign w:val="center"/>
          </w:tcPr>
          <w:p w14:paraId="033DF07C">
            <w:pPr>
              <w:widowControl/>
              <w:spacing w:line="360" w:lineRule="auto"/>
              <w:jc w:val="center"/>
              <w:rPr>
                <w:rFonts w:ascii="宋体" w:hAnsi="宋体" w:eastAsia="宋体" w:cs="宋体"/>
                <w:color w:val="000000"/>
                <w:kern w:val="0"/>
                <w:szCs w:val="21"/>
                <w:highlight w:val="none"/>
              </w:rPr>
            </w:pPr>
            <w:r>
              <w:rPr>
                <w:rFonts w:hint="eastAsia" w:ascii="宋体" w:hAnsi="宋体" w:eastAsia="宋体" w:cs="宋体"/>
                <w:color w:val="000000"/>
                <w:kern w:val="0"/>
                <w:szCs w:val="21"/>
                <w:highlight w:val="none"/>
              </w:rPr>
              <w:t>台</w:t>
            </w:r>
          </w:p>
        </w:tc>
      </w:tr>
      <w:tr w14:paraId="33B81092">
        <w:tblPrEx>
          <w:tblCellMar>
            <w:top w:w="0" w:type="dxa"/>
            <w:left w:w="108" w:type="dxa"/>
            <w:bottom w:w="0" w:type="dxa"/>
            <w:right w:w="108" w:type="dxa"/>
          </w:tblCellMar>
        </w:tblPrEx>
        <w:trPr>
          <w:trHeight w:val="680" w:hRule="atLeast"/>
        </w:trPr>
        <w:tc>
          <w:tcPr>
            <w:tcW w:w="846" w:type="dxa"/>
            <w:tcBorders>
              <w:top w:val="single" w:color="auto" w:sz="4" w:space="0"/>
              <w:left w:val="single" w:color="auto" w:sz="4" w:space="0"/>
              <w:bottom w:val="single" w:color="auto" w:sz="4" w:space="0"/>
              <w:right w:val="single" w:color="auto" w:sz="4" w:space="0"/>
            </w:tcBorders>
            <w:vAlign w:val="center"/>
          </w:tcPr>
          <w:p w14:paraId="1D113D68">
            <w:pPr>
              <w:widowControl/>
              <w:spacing w:line="360" w:lineRule="auto"/>
              <w:jc w:val="center"/>
              <w:rPr>
                <w:rFonts w:ascii="宋体" w:hAnsi="宋体" w:eastAsia="宋体" w:cs="宋体"/>
                <w:color w:val="000000"/>
                <w:kern w:val="0"/>
                <w:szCs w:val="21"/>
                <w:highlight w:val="none"/>
              </w:rPr>
            </w:pPr>
            <w:r>
              <w:rPr>
                <w:rFonts w:hint="eastAsia" w:ascii="宋体" w:hAnsi="宋体" w:eastAsia="宋体" w:cs="宋体"/>
                <w:color w:val="000000"/>
                <w:kern w:val="0"/>
                <w:szCs w:val="21"/>
                <w:highlight w:val="none"/>
              </w:rPr>
              <w:t>8</w:t>
            </w:r>
          </w:p>
        </w:tc>
        <w:tc>
          <w:tcPr>
            <w:tcW w:w="1417" w:type="dxa"/>
            <w:tcBorders>
              <w:top w:val="single" w:color="auto" w:sz="4" w:space="0"/>
              <w:left w:val="nil"/>
              <w:bottom w:val="single" w:color="auto" w:sz="4" w:space="0"/>
              <w:right w:val="single" w:color="auto" w:sz="4" w:space="0"/>
            </w:tcBorders>
            <w:vAlign w:val="center"/>
          </w:tcPr>
          <w:p w14:paraId="3CC39549">
            <w:pPr>
              <w:widowControl/>
              <w:jc w:val="center"/>
              <w:rPr>
                <w:rFonts w:ascii="宋体" w:hAnsi="宋体" w:eastAsia="宋体" w:cs="宋体"/>
                <w:color w:val="000000"/>
                <w:kern w:val="0"/>
                <w:szCs w:val="21"/>
                <w:highlight w:val="none"/>
              </w:rPr>
            </w:pPr>
            <w:r>
              <w:rPr>
                <w:rFonts w:hint="eastAsia" w:ascii="宋体" w:hAnsi="宋体" w:eastAsia="宋体" w:cs="宋体"/>
                <w:color w:val="000000"/>
                <w:kern w:val="0"/>
                <w:szCs w:val="21"/>
                <w:highlight w:val="none"/>
              </w:rPr>
              <w:t>存储扩容配件</w:t>
            </w:r>
          </w:p>
        </w:tc>
        <w:tc>
          <w:tcPr>
            <w:tcW w:w="5103" w:type="dxa"/>
            <w:tcBorders>
              <w:top w:val="single" w:color="auto" w:sz="4" w:space="0"/>
              <w:left w:val="nil"/>
              <w:bottom w:val="single" w:color="auto" w:sz="4" w:space="0"/>
              <w:right w:val="single" w:color="auto" w:sz="4" w:space="0"/>
            </w:tcBorders>
            <w:vAlign w:val="center"/>
          </w:tcPr>
          <w:p w14:paraId="79376CD2">
            <w:pPr>
              <w:spacing w:line="360" w:lineRule="auto"/>
              <w:rPr>
                <w:rFonts w:ascii="宋体" w:hAnsi="宋体" w:eastAsia="宋体" w:cs="宋体"/>
                <w:szCs w:val="21"/>
                <w:highlight w:val="none"/>
              </w:rPr>
            </w:pPr>
            <w:r>
              <w:rPr>
                <w:rFonts w:ascii="宋体" w:hAnsi="宋体" w:eastAsia="宋体" w:cs="宋体"/>
                <w:color w:val="000000"/>
                <w:kern w:val="0"/>
                <w:szCs w:val="21"/>
                <w:highlight w:val="none"/>
              </w:rPr>
              <w:t>院方容灾系统现有扩容配件为40块6T</w:t>
            </w:r>
            <w:r>
              <w:rPr>
                <w:rFonts w:hint="eastAsia" w:ascii="宋体" w:hAnsi="宋体" w:eastAsia="宋体" w:cs="宋体"/>
                <w:color w:val="000000"/>
                <w:kern w:val="0"/>
                <w:szCs w:val="21"/>
                <w:highlight w:val="none"/>
              </w:rPr>
              <w:t xml:space="preserve"> </w:t>
            </w:r>
            <w:r>
              <w:rPr>
                <w:rFonts w:ascii="宋体" w:hAnsi="宋体" w:eastAsia="宋体" w:cs="宋体"/>
                <w:color w:val="000000"/>
                <w:kern w:val="0"/>
                <w:szCs w:val="21"/>
                <w:highlight w:val="none"/>
              </w:rPr>
              <w:t>HDD及6块1.92T SSD，该部分资产归属院方所有</w:t>
            </w:r>
            <w:r>
              <w:rPr>
                <w:rFonts w:hint="eastAsia" w:ascii="宋体" w:hAnsi="宋体" w:eastAsia="宋体" w:cs="宋体"/>
                <w:color w:val="000000"/>
                <w:kern w:val="0"/>
                <w:szCs w:val="21"/>
                <w:highlight w:val="none"/>
              </w:rPr>
              <w:t>，将继续在本项目中沿用</w:t>
            </w:r>
            <w:r>
              <w:rPr>
                <w:rFonts w:ascii="宋体" w:hAnsi="宋体" w:eastAsia="宋体" w:cs="宋体"/>
                <w:color w:val="000000"/>
                <w:kern w:val="0"/>
                <w:szCs w:val="21"/>
                <w:highlight w:val="none"/>
              </w:rPr>
              <w:t>，不纳入本项目的</w:t>
            </w:r>
            <w:r>
              <w:rPr>
                <w:rFonts w:hint="eastAsia" w:ascii="宋体" w:hAnsi="宋体" w:eastAsia="宋体" w:cs="宋体"/>
                <w:color w:val="000000"/>
                <w:kern w:val="0"/>
                <w:szCs w:val="21"/>
                <w:highlight w:val="none"/>
              </w:rPr>
              <w:t>租赁</w:t>
            </w:r>
            <w:r>
              <w:rPr>
                <w:rFonts w:ascii="宋体" w:hAnsi="宋体" w:eastAsia="宋体" w:cs="宋体"/>
                <w:color w:val="000000"/>
                <w:kern w:val="0"/>
                <w:szCs w:val="21"/>
                <w:highlight w:val="none"/>
              </w:rPr>
              <w:t>范围。</w:t>
            </w:r>
            <w:r>
              <w:rPr>
                <w:rFonts w:hint="eastAsia" w:ascii="宋体" w:hAnsi="宋体" w:eastAsia="宋体" w:cs="宋体"/>
                <w:szCs w:val="21"/>
                <w:highlight w:val="none"/>
              </w:rPr>
              <w:t>本项目新增租赁的存储扩容配件，本期项目供应商须提供不少于</w:t>
            </w:r>
            <w:r>
              <w:rPr>
                <w:rFonts w:ascii="宋体" w:hAnsi="宋体" w:eastAsia="宋体" w:cs="宋体"/>
                <w:szCs w:val="21"/>
                <w:highlight w:val="none"/>
              </w:rPr>
              <w:t>6块NVMe SSD，单块容量≥7.68TB，接口类型：U.2/M.2/E1.S/E3.S或更优；提供不少于12块HDD，单块容量≥12TB，转速≥</w:t>
            </w:r>
            <w:r>
              <w:rPr>
                <w:rFonts w:hint="eastAsia" w:ascii="宋体" w:hAnsi="宋体" w:eastAsia="宋体" w:cs="宋体"/>
                <w:szCs w:val="21"/>
                <w:highlight w:val="none"/>
                <w:lang w:val="en-US" w:eastAsia="zh-CN"/>
              </w:rPr>
              <w:t>72</w:t>
            </w:r>
            <w:r>
              <w:rPr>
                <w:rFonts w:ascii="宋体" w:hAnsi="宋体" w:eastAsia="宋体" w:cs="宋体"/>
                <w:szCs w:val="21"/>
                <w:highlight w:val="none"/>
              </w:rPr>
              <w:t>00RPM，尺寸：2.5英寸或3.5英寸；</w:t>
            </w:r>
            <w:r>
              <w:rPr>
                <w:rFonts w:hint="eastAsia" w:ascii="宋体" w:hAnsi="宋体" w:eastAsia="宋体" w:cs="宋体"/>
                <w:szCs w:val="21"/>
                <w:highlight w:val="none"/>
                <w:lang w:val="en-US" w:eastAsia="zh-CN"/>
              </w:rPr>
              <w:t>提供不少于384GB内存，</w:t>
            </w:r>
            <w:r>
              <w:rPr>
                <w:rFonts w:hint="eastAsia" w:ascii="宋体" w:hAnsi="宋体" w:eastAsia="宋体" w:cs="宋体"/>
                <w:color w:val="000000"/>
                <w:kern w:val="0"/>
                <w:szCs w:val="21"/>
                <w:highlight w:val="none"/>
              </w:rPr>
              <w:t>内存类型：</w:t>
            </w:r>
            <w:r>
              <w:rPr>
                <w:rFonts w:ascii="宋体" w:hAnsi="宋体" w:eastAsia="宋体" w:cs="宋体"/>
                <w:color w:val="000000"/>
                <w:kern w:val="0"/>
                <w:szCs w:val="21"/>
                <w:highlight w:val="none"/>
              </w:rPr>
              <w:t>DDR4或更高版本</w:t>
            </w:r>
            <w:r>
              <w:rPr>
                <w:rFonts w:hint="eastAsia" w:ascii="宋体" w:hAnsi="宋体" w:eastAsia="宋体" w:cs="宋体"/>
                <w:color w:val="000000"/>
                <w:kern w:val="0"/>
                <w:szCs w:val="21"/>
                <w:highlight w:val="none"/>
                <w:lang w:eastAsia="zh-CN"/>
              </w:rPr>
              <w:t>，</w:t>
            </w:r>
            <w:r>
              <w:rPr>
                <w:rFonts w:ascii="宋体" w:hAnsi="宋体" w:eastAsia="宋体" w:cs="宋体"/>
                <w:color w:val="000000"/>
                <w:kern w:val="0"/>
                <w:szCs w:val="21"/>
                <w:highlight w:val="none"/>
              </w:rPr>
              <w:t>内存频率≥</w:t>
            </w:r>
            <w:r>
              <w:rPr>
                <w:rFonts w:hint="eastAsia" w:ascii="宋体" w:hAnsi="宋体" w:eastAsia="宋体" w:cs="宋体"/>
                <w:color w:val="000000"/>
                <w:kern w:val="0"/>
                <w:szCs w:val="21"/>
                <w:highlight w:val="none"/>
                <w:lang w:val="en-US" w:eastAsia="zh-CN"/>
              </w:rPr>
              <w:t>16</w:t>
            </w:r>
            <w:r>
              <w:rPr>
                <w:rFonts w:ascii="宋体" w:hAnsi="宋体" w:eastAsia="宋体" w:cs="宋体"/>
                <w:color w:val="000000"/>
                <w:kern w:val="0"/>
                <w:szCs w:val="21"/>
                <w:highlight w:val="none"/>
              </w:rPr>
              <w:t>00MHz</w:t>
            </w:r>
            <w:r>
              <w:rPr>
                <w:rFonts w:ascii="宋体" w:hAnsi="宋体" w:eastAsia="宋体" w:cs="宋体"/>
                <w:szCs w:val="21"/>
                <w:highlight w:val="none"/>
              </w:rPr>
              <w:t>。</w:t>
            </w:r>
          </w:p>
          <w:p w14:paraId="44DC5F44">
            <w:pPr>
              <w:spacing w:line="360" w:lineRule="auto"/>
              <w:rPr>
                <w:rFonts w:ascii="宋体" w:hAnsi="宋体" w:eastAsia="宋体" w:cs="宋体"/>
                <w:color w:val="000000"/>
                <w:kern w:val="0"/>
                <w:szCs w:val="21"/>
                <w:highlight w:val="none"/>
              </w:rPr>
            </w:pPr>
            <w:r>
              <w:rPr>
                <w:rFonts w:hint="eastAsia" w:ascii="宋体" w:hAnsi="宋体" w:eastAsia="宋体" w:cs="宋体"/>
                <w:szCs w:val="21"/>
                <w:highlight w:val="none"/>
                <w:lang w:val="en-US" w:eastAsia="zh-CN"/>
              </w:rPr>
              <w:t>本期须</w:t>
            </w:r>
            <w:r>
              <w:rPr>
                <w:rFonts w:ascii="宋体" w:hAnsi="宋体" w:eastAsia="宋体" w:cs="宋体"/>
                <w:szCs w:val="21"/>
                <w:highlight w:val="none"/>
              </w:rPr>
              <w:t>提供不少于</w:t>
            </w:r>
            <w:r>
              <w:rPr>
                <w:rFonts w:hint="eastAsia" w:ascii="宋体" w:hAnsi="宋体" w:eastAsia="宋体" w:cs="宋体"/>
                <w:szCs w:val="21"/>
                <w:highlight w:val="none"/>
                <w:lang w:val="en-US" w:eastAsia="zh-CN"/>
              </w:rPr>
              <w:t>800</w:t>
            </w:r>
            <w:r>
              <w:rPr>
                <w:rFonts w:ascii="宋体" w:hAnsi="宋体" w:eastAsia="宋体" w:cs="宋体"/>
                <w:szCs w:val="21"/>
                <w:highlight w:val="none"/>
              </w:rPr>
              <w:t>T</w:t>
            </w:r>
            <w:r>
              <w:rPr>
                <w:rFonts w:hint="eastAsia" w:ascii="宋体" w:hAnsi="宋体" w:eastAsia="宋体" w:cs="宋体"/>
                <w:szCs w:val="21"/>
                <w:highlight w:val="none"/>
                <w:lang w:val="en-US" w:eastAsia="zh-CN"/>
              </w:rPr>
              <w:t>B</w:t>
            </w:r>
            <w:r>
              <w:rPr>
                <w:rFonts w:ascii="宋体" w:hAnsi="宋体" w:eastAsia="宋体" w:cs="宋体"/>
                <w:szCs w:val="21"/>
                <w:highlight w:val="none"/>
              </w:rPr>
              <w:t>裸存储授权。</w:t>
            </w:r>
            <w:r>
              <w:rPr>
                <w:rFonts w:hint="eastAsia" w:ascii="宋体" w:hAnsi="宋体" w:eastAsia="宋体" w:cs="宋体"/>
                <w:szCs w:val="21"/>
                <w:highlight w:val="none"/>
                <w:lang w:val="en-US" w:eastAsia="zh-CN"/>
              </w:rPr>
              <w:t>上述</w:t>
            </w:r>
            <w:r>
              <w:rPr>
                <w:rFonts w:hint="eastAsia" w:ascii="宋体" w:hAnsi="宋体" w:eastAsia="宋体" w:cs="宋体"/>
                <w:szCs w:val="21"/>
                <w:highlight w:val="none"/>
              </w:rPr>
              <w:t>新增配件部署后，容灾系统大容量存储集群</w:t>
            </w:r>
            <w:r>
              <w:rPr>
                <w:rFonts w:hint="eastAsia" w:ascii="宋体" w:hAnsi="宋体" w:eastAsia="宋体" w:cs="宋体"/>
                <w:szCs w:val="21"/>
                <w:highlight w:val="none"/>
                <w:lang w:val="en-US" w:eastAsia="zh-CN"/>
              </w:rPr>
              <w:t>的</w:t>
            </w:r>
            <w:r>
              <w:rPr>
                <w:rFonts w:hint="eastAsia" w:ascii="宋体" w:hAnsi="宋体" w:eastAsia="宋体" w:cs="宋体"/>
                <w:szCs w:val="21"/>
                <w:highlight w:val="none"/>
              </w:rPr>
              <w:t>整体</w:t>
            </w:r>
            <w:r>
              <w:rPr>
                <w:rFonts w:hint="eastAsia" w:ascii="宋体" w:hAnsi="宋体" w:eastAsia="宋体" w:cs="宋体"/>
                <w:szCs w:val="21"/>
                <w:highlight w:val="none"/>
                <w:lang w:val="en-US" w:eastAsia="zh-CN"/>
              </w:rPr>
              <w:t>裸</w:t>
            </w:r>
            <w:r>
              <w:rPr>
                <w:rFonts w:hint="eastAsia" w:ascii="宋体" w:hAnsi="宋体" w:eastAsia="宋体" w:cs="宋体"/>
                <w:szCs w:val="21"/>
                <w:highlight w:val="none"/>
              </w:rPr>
              <w:t>容量</w:t>
            </w:r>
            <w:r>
              <w:rPr>
                <w:rFonts w:hint="eastAsia" w:ascii="宋体" w:hAnsi="宋体" w:eastAsia="宋体" w:cs="宋体"/>
                <w:szCs w:val="21"/>
                <w:highlight w:val="none"/>
                <w:lang w:val="en-US" w:eastAsia="zh-CN"/>
              </w:rPr>
              <w:t>须</w:t>
            </w:r>
            <w:r>
              <w:rPr>
                <w:rFonts w:hint="eastAsia" w:ascii="宋体" w:hAnsi="宋体" w:eastAsia="宋体" w:cs="宋体"/>
                <w:szCs w:val="21"/>
                <w:highlight w:val="none"/>
              </w:rPr>
              <w:t>≥</w:t>
            </w:r>
            <w:r>
              <w:rPr>
                <w:rFonts w:hint="eastAsia" w:ascii="宋体" w:hAnsi="宋体" w:eastAsia="宋体" w:cs="宋体"/>
                <w:szCs w:val="21"/>
                <w:highlight w:val="none"/>
                <w:lang w:val="en-US" w:eastAsia="zh-CN"/>
              </w:rPr>
              <w:t>8</w:t>
            </w:r>
            <w:r>
              <w:rPr>
                <w:rFonts w:hint="eastAsia" w:ascii="宋体" w:hAnsi="宋体" w:eastAsia="宋体" w:cs="宋体"/>
                <w:szCs w:val="21"/>
                <w:highlight w:val="none"/>
              </w:rPr>
              <w:t>00TB。</w:t>
            </w:r>
          </w:p>
        </w:tc>
        <w:tc>
          <w:tcPr>
            <w:tcW w:w="851" w:type="dxa"/>
            <w:tcBorders>
              <w:top w:val="single" w:color="auto" w:sz="4" w:space="0"/>
              <w:left w:val="nil"/>
              <w:bottom w:val="single" w:color="auto" w:sz="4" w:space="0"/>
              <w:right w:val="single" w:color="auto" w:sz="4" w:space="0"/>
            </w:tcBorders>
            <w:vAlign w:val="center"/>
          </w:tcPr>
          <w:p w14:paraId="1ABB55BB">
            <w:pPr>
              <w:widowControl/>
              <w:jc w:val="center"/>
              <w:rPr>
                <w:rFonts w:ascii="宋体" w:hAnsi="宋体" w:eastAsia="宋体" w:cs="宋体"/>
                <w:color w:val="000000"/>
                <w:kern w:val="0"/>
                <w:szCs w:val="21"/>
                <w:highlight w:val="none"/>
              </w:rPr>
            </w:pPr>
            <w:r>
              <w:rPr>
                <w:rFonts w:ascii="宋体" w:hAnsi="宋体" w:eastAsia="宋体" w:cs="宋体"/>
                <w:color w:val="000000"/>
                <w:kern w:val="0"/>
                <w:szCs w:val="21"/>
                <w:highlight w:val="none"/>
              </w:rPr>
              <w:t>1</w:t>
            </w:r>
          </w:p>
        </w:tc>
        <w:tc>
          <w:tcPr>
            <w:tcW w:w="850" w:type="dxa"/>
            <w:tcBorders>
              <w:top w:val="single" w:color="auto" w:sz="4" w:space="0"/>
              <w:left w:val="nil"/>
              <w:bottom w:val="single" w:color="auto" w:sz="4" w:space="0"/>
              <w:right w:val="single" w:color="auto" w:sz="4" w:space="0"/>
            </w:tcBorders>
            <w:vAlign w:val="center"/>
          </w:tcPr>
          <w:p w14:paraId="772DCFE3">
            <w:pPr>
              <w:widowControl/>
              <w:spacing w:line="360" w:lineRule="auto"/>
              <w:jc w:val="center"/>
              <w:rPr>
                <w:rFonts w:ascii="宋体" w:hAnsi="宋体" w:eastAsia="宋体" w:cs="宋体"/>
                <w:color w:val="000000"/>
                <w:kern w:val="0"/>
                <w:szCs w:val="21"/>
                <w:highlight w:val="none"/>
              </w:rPr>
            </w:pPr>
            <w:r>
              <w:rPr>
                <w:rFonts w:hint="eastAsia" w:ascii="宋体" w:hAnsi="宋体" w:eastAsia="宋体" w:cs="宋体"/>
                <w:color w:val="000000"/>
                <w:kern w:val="0"/>
                <w:szCs w:val="21"/>
                <w:highlight w:val="none"/>
              </w:rPr>
              <w:t>项</w:t>
            </w:r>
          </w:p>
        </w:tc>
      </w:tr>
      <w:tr w14:paraId="52D0919B">
        <w:tblPrEx>
          <w:tblCellMar>
            <w:top w:w="0" w:type="dxa"/>
            <w:left w:w="108" w:type="dxa"/>
            <w:bottom w:w="0" w:type="dxa"/>
            <w:right w:w="108" w:type="dxa"/>
          </w:tblCellMar>
        </w:tblPrEx>
        <w:trPr>
          <w:trHeight w:val="680" w:hRule="atLeast"/>
        </w:trPr>
        <w:tc>
          <w:tcPr>
            <w:tcW w:w="846" w:type="dxa"/>
            <w:tcBorders>
              <w:top w:val="single" w:color="auto" w:sz="4" w:space="0"/>
              <w:left w:val="single" w:color="auto" w:sz="4" w:space="0"/>
              <w:bottom w:val="single" w:color="auto" w:sz="4" w:space="0"/>
              <w:right w:val="single" w:color="auto" w:sz="4" w:space="0"/>
            </w:tcBorders>
            <w:vAlign w:val="center"/>
          </w:tcPr>
          <w:p w14:paraId="2B8509EF">
            <w:pPr>
              <w:widowControl/>
              <w:spacing w:line="360" w:lineRule="auto"/>
              <w:jc w:val="center"/>
              <w:rPr>
                <w:rFonts w:ascii="宋体" w:hAnsi="宋体" w:eastAsia="宋体" w:cs="宋体"/>
                <w:color w:val="000000"/>
                <w:kern w:val="0"/>
                <w:szCs w:val="21"/>
                <w:highlight w:val="none"/>
              </w:rPr>
            </w:pPr>
            <w:r>
              <w:rPr>
                <w:rFonts w:hint="eastAsia" w:ascii="宋体" w:hAnsi="宋体" w:eastAsia="宋体" w:cs="宋体"/>
                <w:color w:val="000000"/>
                <w:kern w:val="0"/>
                <w:szCs w:val="21"/>
                <w:highlight w:val="none"/>
              </w:rPr>
              <w:t>9</w:t>
            </w:r>
          </w:p>
        </w:tc>
        <w:tc>
          <w:tcPr>
            <w:tcW w:w="1417" w:type="dxa"/>
            <w:tcBorders>
              <w:top w:val="single" w:color="auto" w:sz="4" w:space="0"/>
              <w:left w:val="nil"/>
              <w:bottom w:val="single" w:color="auto" w:sz="4" w:space="0"/>
              <w:right w:val="single" w:color="auto" w:sz="4" w:space="0"/>
            </w:tcBorders>
            <w:vAlign w:val="center"/>
          </w:tcPr>
          <w:p w14:paraId="29DACEFF">
            <w:pPr>
              <w:widowControl/>
              <w:jc w:val="center"/>
              <w:rPr>
                <w:rFonts w:ascii="宋体" w:hAnsi="宋体" w:eastAsia="宋体" w:cs="宋体"/>
                <w:color w:val="000000"/>
                <w:kern w:val="0"/>
                <w:szCs w:val="21"/>
                <w:highlight w:val="none"/>
              </w:rPr>
            </w:pPr>
            <w:r>
              <w:rPr>
                <w:rFonts w:hint="eastAsia" w:ascii="宋体" w:hAnsi="宋体" w:eastAsia="宋体" w:cs="宋体"/>
                <w:color w:val="000000"/>
                <w:kern w:val="0"/>
                <w:szCs w:val="21"/>
                <w:highlight w:val="none"/>
              </w:rPr>
              <w:t>容灾管理平台软件授权</w:t>
            </w:r>
          </w:p>
        </w:tc>
        <w:tc>
          <w:tcPr>
            <w:tcW w:w="5103" w:type="dxa"/>
            <w:tcBorders>
              <w:top w:val="single" w:color="auto" w:sz="4" w:space="0"/>
              <w:left w:val="nil"/>
              <w:bottom w:val="single" w:color="auto" w:sz="4" w:space="0"/>
              <w:right w:val="single" w:color="auto" w:sz="4" w:space="0"/>
            </w:tcBorders>
            <w:vAlign w:val="center"/>
          </w:tcPr>
          <w:p w14:paraId="4873F9ED">
            <w:pPr>
              <w:spacing w:line="360" w:lineRule="auto"/>
              <w:rPr>
                <w:rFonts w:ascii="宋体" w:hAnsi="宋体" w:eastAsia="宋体" w:cs="宋体"/>
                <w:color w:val="000000"/>
                <w:kern w:val="0"/>
                <w:szCs w:val="21"/>
                <w:highlight w:val="none"/>
              </w:rPr>
            </w:pPr>
            <w:r>
              <w:rPr>
                <w:rFonts w:ascii="宋体" w:hAnsi="宋体" w:eastAsia="宋体" w:cs="宋体"/>
                <w:color w:val="000000"/>
                <w:kern w:val="0"/>
                <w:szCs w:val="21"/>
                <w:highlight w:val="none"/>
              </w:rPr>
              <w:t>1、核心功能：支持连续数据保护（CDP）、同步/异步数据复制、应用一致性快照、容灾切换与回切、容灾演练管理、全局监控告警及可视化报表审计；</w:t>
            </w:r>
          </w:p>
          <w:p w14:paraId="2447D962">
            <w:pPr>
              <w:spacing w:line="360" w:lineRule="auto"/>
              <w:rPr>
                <w:rFonts w:ascii="宋体" w:hAnsi="宋体" w:eastAsia="宋体" w:cs="宋体"/>
                <w:color w:val="000000"/>
                <w:kern w:val="0"/>
                <w:szCs w:val="21"/>
                <w:highlight w:val="none"/>
              </w:rPr>
            </w:pPr>
            <w:r>
              <w:rPr>
                <w:rFonts w:ascii="宋体" w:hAnsi="宋体" w:eastAsia="宋体" w:cs="宋体"/>
                <w:color w:val="000000"/>
                <w:kern w:val="0"/>
                <w:szCs w:val="21"/>
                <w:highlight w:val="none"/>
              </w:rPr>
              <w:t>2、兼容能力：无缝兼容主流虚拟化平台（VMware/KVM/国产化等）及物理服务器，支持主流数据库（Oracle/SQL Server/MySQL等）的应用级容灾；</w:t>
            </w:r>
          </w:p>
          <w:p w14:paraId="4A43D6D1">
            <w:pPr>
              <w:spacing w:line="360" w:lineRule="auto"/>
              <w:rPr>
                <w:rFonts w:ascii="宋体" w:hAnsi="宋体" w:eastAsia="宋体" w:cs="宋体"/>
                <w:color w:val="000000"/>
                <w:kern w:val="0"/>
                <w:szCs w:val="21"/>
                <w:highlight w:val="none"/>
              </w:rPr>
            </w:pPr>
            <w:r>
              <w:rPr>
                <w:rFonts w:ascii="宋体" w:hAnsi="宋体" w:eastAsia="宋体" w:cs="宋体"/>
                <w:color w:val="000000"/>
                <w:kern w:val="0"/>
                <w:szCs w:val="21"/>
                <w:highlight w:val="none"/>
              </w:rPr>
              <w:t>3、授权范围：覆盖本清单全部计算节点、存储节点及云平台管理节点（目前是63个节点的授权），支持与院方2023年已建容灾环境平滑对接与策略迁移；</w:t>
            </w:r>
          </w:p>
        </w:tc>
        <w:tc>
          <w:tcPr>
            <w:tcW w:w="851" w:type="dxa"/>
            <w:tcBorders>
              <w:top w:val="single" w:color="auto" w:sz="4" w:space="0"/>
              <w:left w:val="nil"/>
              <w:bottom w:val="single" w:color="auto" w:sz="4" w:space="0"/>
              <w:right w:val="single" w:color="auto" w:sz="4" w:space="0"/>
            </w:tcBorders>
            <w:vAlign w:val="center"/>
          </w:tcPr>
          <w:p w14:paraId="2794E306">
            <w:pPr>
              <w:widowControl/>
              <w:jc w:val="center"/>
              <w:rPr>
                <w:rFonts w:ascii="宋体" w:hAnsi="宋体" w:eastAsia="宋体" w:cs="宋体"/>
                <w:color w:val="000000"/>
                <w:kern w:val="0"/>
                <w:szCs w:val="21"/>
                <w:highlight w:val="none"/>
              </w:rPr>
            </w:pPr>
            <w:r>
              <w:rPr>
                <w:rFonts w:hint="eastAsia" w:ascii="宋体" w:hAnsi="宋体" w:eastAsia="宋体" w:cs="宋体"/>
                <w:color w:val="000000"/>
                <w:kern w:val="0"/>
                <w:szCs w:val="21"/>
                <w:highlight w:val="none"/>
              </w:rPr>
              <w:t>1</w:t>
            </w:r>
          </w:p>
        </w:tc>
        <w:tc>
          <w:tcPr>
            <w:tcW w:w="850" w:type="dxa"/>
            <w:tcBorders>
              <w:top w:val="single" w:color="auto" w:sz="4" w:space="0"/>
              <w:left w:val="nil"/>
              <w:bottom w:val="single" w:color="auto" w:sz="4" w:space="0"/>
              <w:right w:val="single" w:color="auto" w:sz="4" w:space="0"/>
            </w:tcBorders>
            <w:vAlign w:val="center"/>
          </w:tcPr>
          <w:p w14:paraId="15D62184">
            <w:pPr>
              <w:widowControl/>
              <w:spacing w:line="360" w:lineRule="auto"/>
              <w:jc w:val="center"/>
              <w:rPr>
                <w:rFonts w:ascii="宋体" w:hAnsi="宋体" w:eastAsia="宋体" w:cs="宋体"/>
                <w:color w:val="000000"/>
                <w:kern w:val="0"/>
                <w:szCs w:val="21"/>
                <w:highlight w:val="none"/>
              </w:rPr>
            </w:pPr>
            <w:r>
              <w:rPr>
                <w:rFonts w:hint="eastAsia" w:ascii="宋体" w:hAnsi="宋体" w:eastAsia="宋体" w:cs="宋体"/>
                <w:color w:val="000000"/>
                <w:kern w:val="0"/>
                <w:szCs w:val="21"/>
                <w:highlight w:val="none"/>
              </w:rPr>
              <w:t>项</w:t>
            </w:r>
          </w:p>
        </w:tc>
      </w:tr>
    </w:tbl>
    <w:p w14:paraId="4F6A14AF">
      <w:pPr>
        <w:rPr>
          <w:rFonts w:eastAsia="宋体" w:cs="宋体"/>
          <w:color w:val="000000"/>
          <w:kern w:val="0"/>
          <w:szCs w:val="21"/>
          <w:highlight w:val="none"/>
        </w:rPr>
      </w:pPr>
    </w:p>
    <w:p w14:paraId="27EEC685">
      <w:pPr>
        <w:pStyle w:val="5"/>
        <w:ind w:firstLine="0" w:firstLineChars="0"/>
        <w:rPr>
          <w:sz w:val="21"/>
          <w:szCs w:val="21"/>
          <w:highlight w:val="none"/>
        </w:rPr>
      </w:pPr>
      <w:r>
        <w:rPr>
          <w:rFonts w:hint="eastAsia" w:eastAsia="宋体" w:cs="宋体"/>
          <w:color w:val="000000"/>
          <w:kern w:val="0"/>
          <w:sz w:val="21"/>
          <w:szCs w:val="21"/>
          <w:highlight w:val="none"/>
        </w:rPr>
        <w:t xml:space="preserve"> (1）RPO/RTO指标要求</w:t>
      </w:r>
    </w:p>
    <w:tbl>
      <w:tblPr>
        <w:tblStyle w:val="18"/>
        <w:tblW w:w="4997" w:type="pct"/>
        <w:tblInd w:w="0" w:type="dxa"/>
        <w:tblBorders>
          <w:top w:val="outset" w:color="686868" w:sz="6" w:space="0"/>
          <w:left w:val="outset" w:color="686868" w:sz="6" w:space="0"/>
          <w:bottom w:val="outset" w:color="686868" w:sz="6" w:space="0"/>
          <w:right w:val="outset" w:color="686868" w:sz="6" w:space="0"/>
          <w:insideH w:val="none" w:color="auto" w:sz="0" w:space="0"/>
          <w:insideV w:val="none" w:color="auto" w:sz="0" w:space="0"/>
        </w:tblBorders>
        <w:shd w:val="clear" w:color="auto" w:fill="FFFFFF"/>
        <w:tblLayout w:type="autofit"/>
        <w:tblCellMar>
          <w:top w:w="0" w:type="dxa"/>
          <w:left w:w="0" w:type="dxa"/>
          <w:bottom w:w="0" w:type="dxa"/>
          <w:right w:w="0" w:type="dxa"/>
        </w:tblCellMar>
      </w:tblPr>
      <w:tblGrid>
        <w:gridCol w:w="6299"/>
        <w:gridCol w:w="2482"/>
      </w:tblGrid>
      <w:tr w14:paraId="2DB5DC9C">
        <w:tblPrEx>
          <w:tblBorders>
            <w:top w:val="outset" w:color="686868" w:sz="6" w:space="0"/>
            <w:left w:val="outset" w:color="686868" w:sz="6" w:space="0"/>
            <w:bottom w:val="outset" w:color="686868" w:sz="6" w:space="0"/>
            <w:right w:val="outset" w:color="686868" w:sz="6" w:space="0"/>
            <w:insideH w:val="none" w:color="auto" w:sz="0" w:space="0"/>
            <w:insideV w:val="none" w:color="auto" w:sz="0" w:space="0"/>
          </w:tblBorders>
          <w:tblCellMar>
            <w:top w:w="0" w:type="dxa"/>
            <w:left w:w="0" w:type="dxa"/>
            <w:bottom w:w="0" w:type="dxa"/>
            <w:right w:w="0" w:type="dxa"/>
          </w:tblCellMar>
        </w:tblPrEx>
        <w:trPr>
          <w:trHeight w:val="454" w:hRule="atLeast"/>
          <w:tblHeader/>
        </w:trPr>
        <w:tc>
          <w:tcPr>
            <w:tcW w:w="3587" w:type="pct"/>
            <w:tcBorders>
              <w:top w:val="outset" w:color="auto" w:sz="6" w:space="0"/>
              <w:left w:val="outset" w:color="auto" w:sz="6" w:space="0"/>
              <w:bottom w:val="outset" w:color="auto" w:sz="6" w:space="0"/>
              <w:right w:val="outset" w:color="auto" w:sz="6" w:space="0"/>
            </w:tcBorders>
            <w:shd w:val="clear" w:color="auto" w:fill="auto"/>
            <w:tcMar>
              <w:top w:w="0" w:type="dxa"/>
              <w:left w:w="240" w:type="dxa"/>
              <w:bottom w:w="0" w:type="dxa"/>
              <w:right w:w="240" w:type="dxa"/>
            </w:tcMar>
            <w:vAlign w:val="center"/>
          </w:tcPr>
          <w:p w14:paraId="0E42B5EF">
            <w:pPr>
              <w:pStyle w:val="5"/>
              <w:ind w:firstLine="0" w:firstLineChars="0"/>
              <w:jc w:val="center"/>
              <w:rPr>
                <w:rFonts w:eastAsia="宋体" w:cs="宋体"/>
                <w:b/>
                <w:color w:val="000000"/>
                <w:kern w:val="0"/>
                <w:sz w:val="21"/>
                <w:szCs w:val="21"/>
                <w:highlight w:val="none"/>
              </w:rPr>
            </w:pPr>
            <w:r>
              <w:rPr>
                <w:rFonts w:hint="eastAsia" w:eastAsia="宋体" w:cs="宋体"/>
                <w:b/>
                <w:color w:val="000000"/>
                <w:kern w:val="0"/>
                <w:sz w:val="21"/>
                <w:szCs w:val="21"/>
                <w:highlight w:val="none"/>
              </w:rPr>
              <w:t>项目</w:t>
            </w:r>
          </w:p>
        </w:tc>
        <w:tc>
          <w:tcPr>
            <w:tcW w:w="1413" w:type="pct"/>
            <w:tcBorders>
              <w:top w:val="outset" w:color="auto" w:sz="6" w:space="0"/>
              <w:left w:val="outset" w:color="auto" w:sz="6" w:space="0"/>
              <w:bottom w:val="outset" w:color="auto" w:sz="6" w:space="0"/>
              <w:right w:val="outset" w:color="auto" w:sz="6" w:space="0"/>
            </w:tcBorders>
            <w:shd w:val="clear" w:color="auto" w:fill="auto"/>
            <w:tcMar>
              <w:top w:w="0" w:type="dxa"/>
              <w:left w:w="240" w:type="dxa"/>
              <w:bottom w:w="0" w:type="dxa"/>
              <w:right w:w="240" w:type="dxa"/>
            </w:tcMar>
            <w:vAlign w:val="center"/>
          </w:tcPr>
          <w:p w14:paraId="304A4E98">
            <w:pPr>
              <w:pStyle w:val="5"/>
              <w:ind w:firstLine="0" w:firstLineChars="0"/>
              <w:jc w:val="center"/>
              <w:rPr>
                <w:rFonts w:eastAsia="宋体" w:cs="宋体"/>
                <w:b/>
                <w:color w:val="000000"/>
                <w:kern w:val="0"/>
                <w:sz w:val="21"/>
                <w:szCs w:val="21"/>
                <w:highlight w:val="none"/>
              </w:rPr>
            </w:pPr>
            <w:r>
              <w:rPr>
                <w:rFonts w:hint="eastAsia" w:eastAsia="宋体" w:cs="宋体"/>
                <w:b/>
                <w:color w:val="000000"/>
                <w:kern w:val="0"/>
                <w:sz w:val="21"/>
                <w:szCs w:val="21"/>
                <w:highlight w:val="none"/>
              </w:rPr>
              <w:t>指标</w:t>
            </w:r>
          </w:p>
        </w:tc>
      </w:tr>
      <w:tr w14:paraId="2CE12F51">
        <w:tblPrEx>
          <w:tblBorders>
            <w:top w:val="outset" w:color="686868" w:sz="6" w:space="0"/>
            <w:left w:val="outset" w:color="686868" w:sz="6" w:space="0"/>
            <w:bottom w:val="outset" w:color="686868" w:sz="6" w:space="0"/>
            <w:right w:val="outset" w:color="686868" w:sz="6" w:space="0"/>
            <w:insideH w:val="none" w:color="auto" w:sz="0" w:space="0"/>
            <w:insideV w:val="none" w:color="auto" w:sz="0" w:space="0"/>
          </w:tblBorders>
          <w:shd w:val="clear" w:color="auto" w:fill="FFFFFF"/>
          <w:tblCellMar>
            <w:top w:w="0" w:type="dxa"/>
            <w:left w:w="0" w:type="dxa"/>
            <w:bottom w:w="0" w:type="dxa"/>
            <w:right w:w="0" w:type="dxa"/>
          </w:tblCellMar>
        </w:tblPrEx>
        <w:trPr>
          <w:trHeight w:val="454" w:hRule="atLeast"/>
        </w:trPr>
        <w:tc>
          <w:tcPr>
            <w:tcW w:w="3587" w:type="pct"/>
            <w:tcBorders>
              <w:top w:val="outset" w:color="auto" w:sz="6" w:space="0"/>
              <w:left w:val="outset" w:color="auto" w:sz="6" w:space="0"/>
              <w:bottom w:val="outset" w:color="auto" w:sz="6" w:space="0"/>
              <w:right w:val="outset" w:color="auto" w:sz="6" w:space="0"/>
            </w:tcBorders>
            <w:shd w:val="clear" w:color="auto" w:fill="FFFFFF"/>
            <w:tcMar>
              <w:top w:w="120" w:type="dxa"/>
              <w:left w:w="240" w:type="dxa"/>
              <w:bottom w:w="120" w:type="dxa"/>
              <w:right w:w="240" w:type="dxa"/>
            </w:tcMar>
            <w:vAlign w:val="center"/>
          </w:tcPr>
          <w:p w14:paraId="34DD19C6">
            <w:pPr>
              <w:pStyle w:val="5"/>
              <w:ind w:firstLine="0" w:firstLineChars="0"/>
              <w:rPr>
                <w:rFonts w:eastAsia="宋体" w:cs="宋体"/>
                <w:color w:val="000000"/>
                <w:kern w:val="0"/>
                <w:sz w:val="21"/>
                <w:szCs w:val="21"/>
                <w:highlight w:val="none"/>
              </w:rPr>
            </w:pPr>
            <w:r>
              <w:rPr>
                <w:rFonts w:hint="eastAsia" w:eastAsia="宋体" w:cs="宋体"/>
                <w:color w:val="000000"/>
                <w:kern w:val="0"/>
                <w:sz w:val="21"/>
                <w:szCs w:val="21"/>
                <w:highlight w:val="none"/>
              </w:rPr>
              <w:t>1、容灾恢复需要时间（RTO，Recovery Time Objective）</w:t>
            </w:r>
          </w:p>
        </w:tc>
        <w:tc>
          <w:tcPr>
            <w:tcW w:w="1413" w:type="pct"/>
            <w:tcBorders>
              <w:top w:val="outset" w:color="auto" w:sz="6" w:space="0"/>
              <w:left w:val="outset" w:color="auto" w:sz="6" w:space="0"/>
              <w:bottom w:val="outset" w:color="auto" w:sz="6" w:space="0"/>
              <w:right w:val="outset" w:color="auto" w:sz="6" w:space="0"/>
            </w:tcBorders>
            <w:shd w:val="clear" w:color="auto" w:fill="FFFFFF"/>
            <w:tcMar>
              <w:top w:w="120" w:type="dxa"/>
              <w:left w:w="240" w:type="dxa"/>
              <w:bottom w:w="120" w:type="dxa"/>
              <w:right w:w="240" w:type="dxa"/>
            </w:tcMar>
            <w:vAlign w:val="center"/>
          </w:tcPr>
          <w:p w14:paraId="21329740">
            <w:pPr>
              <w:pStyle w:val="5"/>
              <w:ind w:firstLine="0" w:firstLineChars="0"/>
              <w:rPr>
                <w:rFonts w:eastAsia="宋体" w:cs="宋体"/>
                <w:color w:val="000000"/>
                <w:kern w:val="0"/>
                <w:sz w:val="21"/>
                <w:szCs w:val="21"/>
                <w:highlight w:val="none"/>
              </w:rPr>
            </w:pPr>
            <w:r>
              <w:rPr>
                <w:rFonts w:hint="eastAsia" w:eastAsia="宋体" w:cs="宋体"/>
                <w:color w:val="000000"/>
                <w:kern w:val="0"/>
                <w:sz w:val="21"/>
                <w:szCs w:val="21"/>
                <w:highlight w:val="none"/>
              </w:rPr>
              <w:t>小于15分钟</w:t>
            </w:r>
          </w:p>
        </w:tc>
      </w:tr>
      <w:tr w14:paraId="12826231">
        <w:tblPrEx>
          <w:tblBorders>
            <w:top w:val="outset" w:color="686868" w:sz="6" w:space="0"/>
            <w:left w:val="outset" w:color="686868" w:sz="6" w:space="0"/>
            <w:bottom w:val="outset" w:color="686868" w:sz="6" w:space="0"/>
            <w:right w:val="outset" w:color="686868" w:sz="6" w:space="0"/>
            <w:insideH w:val="none" w:color="auto" w:sz="0" w:space="0"/>
            <w:insideV w:val="none" w:color="auto" w:sz="0" w:space="0"/>
          </w:tblBorders>
          <w:shd w:val="clear" w:color="auto" w:fill="FFFFFF"/>
          <w:tblCellMar>
            <w:top w:w="0" w:type="dxa"/>
            <w:left w:w="0" w:type="dxa"/>
            <w:bottom w:w="0" w:type="dxa"/>
            <w:right w:w="0" w:type="dxa"/>
          </w:tblCellMar>
        </w:tblPrEx>
        <w:trPr>
          <w:trHeight w:val="454" w:hRule="atLeast"/>
        </w:trPr>
        <w:tc>
          <w:tcPr>
            <w:tcW w:w="3587" w:type="pct"/>
            <w:tcBorders>
              <w:top w:val="outset" w:color="auto" w:sz="6" w:space="0"/>
              <w:left w:val="outset" w:color="auto" w:sz="6" w:space="0"/>
              <w:bottom w:val="outset" w:color="auto" w:sz="6" w:space="0"/>
              <w:right w:val="outset" w:color="auto" w:sz="6" w:space="0"/>
            </w:tcBorders>
            <w:shd w:val="clear" w:color="auto" w:fill="FFFFFF"/>
            <w:tcMar>
              <w:top w:w="120" w:type="dxa"/>
              <w:left w:w="240" w:type="dxa"/>
              <w:bottom w:w="120" w:type="dxa"/>
              <w:right w:w="240" w:type="dxa"/>
            </w:tcMar>
            <w:vAlign w:val="center"/>
          </w:tcPr>
          <w:p w14:paraId="55E111B0">
            <w:pPr>
              <w:pStyle w:val="5"/>
              <w:ind w:firstLine="0" w:firstLineChars="0"/>
              <w:rPr>
                <w:rFonts w:eastAsia="宋体" w:cs="宋体"/>
                <w:color w:val="000000"/>
                <w:kern w:val="0"/>
                <w:sz w:val="21"/>
                <w:szCs w:val="21"/>
                <w:highlight w:val="none"/>
              </w:rPr>
            </w:pPr>
            <w:r>
              <w:rPr>
                <w:rFonts w:eastAsia="宋体" w:cs="宋体"/>
                <w:color w:val="000000"/>
                <w:kern w:val="0"/>
                <w:sz w:val="21"/>
                <w:szCs w:val="21"/>
                <w:highlight w:val="none"/>
              </w:rPr>
              <w:t>2</w:t>
            </w:r>
            <w:r>
              <w:rPr>
                <w:rFonts w:hint="eastAsia" w:eastAsia="宋体" w:cs="宋体"/>
                <w:color w:val="000000"/>
                <w:kern w:val="0"/>
                <w:sz w:val="21"/>
                <w:szCs w:val="21"/>
                <w:highlight w:val="none"/>
              </w:rPr>
              <w:t>、容灾保护需要时间（RPO，Recovery Point Objective）</w:t>
            </w:r>
          </w:p>
        </w:tc>
        <w:tc>
          <w:tcPr>
            <w:tcW w:w="1413" w:type="pct"/>
            <w:tcBorders>
              <w:top w:val="outset" w:color="auto" w:sz="6" w:space="0"/>
              <w:left w:val="outset" w:color="auto" w:sz="6" w:space="0"/>
              <w:bottom w:val="outset" w:color="auto" w:sz="6" w:space="0"/>
              <w:right w:val="outset" w:color="auto" w:sz="6" w:space="0"/>
            </w:tcBorders>
            <w:shd w:val="clear" w:color="auto" w:fill="FFFFFF"/>
            <w:tcMar>
              <w:top w:w="120" w:type="dxa"/>
              <w:left w:w="240" w:type="dxa"/>
              <w:bottom w:w="120" w:type="dxa"/>
              <w:right w:w="240" w:type="dxa"/>
            </w:tcMar>
            <w:vAlign w:val="center"/>
          </w:tcPr>
          <w:p w14:paraId="36706FEB">
            <w:pPr>
              <w:pStyle w:val="5"/>
              <w:ind w:firstLine="0" w:firstLineChars="0"/>
              <w:rPr>
                <w:rFonts w:eastAsia="宋体" w:cs="宋体"/>
                <w:color w:val="000000"/>
                <w:kern w:val="0"/>
                <w:sz w:val="21"/>
                <w:szCs w:val="21"/>
                <w:highlight w:val="none"/>
              </w:rPr>
            </w:pPr>
            <w:r>
              <w:rPr>
                <w:rFonts w:hint="eastAsia" w:eastAsia="宋体" w:cs="宋体"/>
                <w:color w:val="000000"/>
                <w:kern w:val="0"/>
                <w:sz w:val="21"/>
                <w:szCs w:val="21"/>
                <w:highlight w:val="none"/>
              </w:rPr>
              <w:t>小于1分钟</w:t>
            </w:r>
          </w:p>
        </w:tc>
      </w:tr>
    </w:tbl>
    <w:p w14:paraId="2EFDA0C8">
      <w:pPr>
        <w:pStyle w:val="5"/>
        <w:spacing w:line="360" w:lineRule="auto"/>
        <w:ind w:firstLine="0" w:firstLineChars="0"/>
        <w:rPr>
          <w:rFonts w:eastAsia="宋体" w:cs="宋体"/>
          <w:color w:val="000000"/>
          <w:kern w:val="0"/>
          <w:sz w:val="21"/>
          <w:szCs w:val="21"/>
          <w:highlight w:val="none"/>
        </w:rPr>
      </w:pPr>
      <w:r>
        <w:rPr>
          <w:rFonts w:hint="eastAsia" w:eastAsia="宋体" w:cs="宋体"/>
          <w:color w:val="000000"/>
          <w:kern w:val="0"/>
          <w:sz w:val="21"/>
          <w:szCs w:val="21"/>
          <w:highlight w:val="none"/>
        </w:rPr>
        <w:t>(2）应用容灾需求</w:t>
      </w:r>
    </w:p>
    <w:p w14:paraId="530DEE39">
      <w:pPr>
        <w:pStyle w:val="32"/>
        <w:spacing w:beforeLines="0" w:afterLines="0" w:line="360" w:lineRule="auto"/>
        <w:ind w:firstLine="420"/>
        <w:rPr>
          <w:rFonts w:ascii="宋体" w:hAnsi="宋体" w:eastAsia="宋体" w:cs="宋体"/>
          <w:bCs/>
          <w:sz w:val="21"/>
          <w:highlight w:val="none"/>
        </w:rPr>
      </w:pPr>
      <w:r>
        <w:rPr>
          <w:rFonts w:hint="eastAsia" w:ascii="宋体" w:hAnsi="宋体" w:eastAsia="宋体" w:cs="宋体"/>
          <w:bCs/>
          <w:sz w:val="21"/>
          <w:highlight w:val="none"/>
        </w:rPr>
        <w:t>要求生产中心和容灾中心支持应用主备容灾，通过全局负载均衡设备可以将外部对系统的访问流量导向双数据中心。并采用自主知识产权的容灾服务平台进行容灾策略调整和监控。</w:t>
      </w:r>
    </w:p>
    <w:p w14:paraId="5878EB2E">
      <w:pPr>
        <w:pStyle w:val="32"/>
        <w:spacing w:beforeLines="0" w:afterLines="0" w:line="360" w:lineRule="auto"/>
        <w:ind w:firstLine="420"/>
        <w:rPr>
          <w:rFonts w:ascii="宋体" w:hAnsi="宋体" w:eastAsia="宋体" w:cs="宋体"/>
          <w:bCs/>
          <w:sz w:val="21"/>
          <w:highlight w:val="none"/>
        </w:rPr>
      </w:pPr>
      <w:r>
        <w:rPr>
          <w:rFonts w:hint="eastAsia" w:ascii="宋体" w:hAnsi="宋体" w:eastAsia="宋体" w:cs="宋体"/>
          <w:bCs/>
          <w:sz w:val="21"/>
          <w:highlight w:val="none"/>
        </w:rPr>
        <w:t>应用容灾应满足应用程序版本一致性的要求。应用程序的版本决定了处理算法的不同，如果出现生产、容灾中心应用程序版本不一致将可能导致系统运行故障，甚至会导致数据损失等严重后果。因此，需要保持生产中心、容灾中心应用程序版本的一致性。</w:t>
      </w:r>
    </w:p>
    <w:p w14:paraId="31E321D2">
      <w:pPr>
        <w:pStyle w:val="5"/>
        <w:spacing w:line="360" w:lineRule="auto"/>
        <w:ind w:firstLine="0" w:firstLineChars="0"/>
        <w:rPr>
          <w:rFonts w:eastAsia="宋体" w:cs="宋体"/>
          <w:color w:val="000000"/>
          <w:kern w:val="0"/>
          <w:sz w:val="21"/>
          <w:szCs w:val="21"/>
          <w:highlight w:val="none"/>
        </w:rPr>
      </w:pPr>
      <w:r>
        <w:rPr>
          <w:rFonts w:hint="eastAsia" w:eastAsia="宋体" w:cs="宋体"/>
          <w:color w:val="000000"/>
          <w:kern w:val="0"/>
          <w:sz w:val="21"/>
          <w:szCs w:val="21"/>
          <w:highlight w:val="none"/>
        </w:rPr>
        <w:t>(3）数据容灾需求</w:t>
      </w:r>
    </w:p>
    <w:p w14:paraId="71955485">
      <w:pPr>
        <w:pStyle w:val="32"/>
        <w:spacing w:beforeLines="0" w:afterLines="0" w:line="360" w:lineRule="auto"/>
        <w:ind w:firstLine="420"/>
        <w:rPr>
          <w:rFonts w:ascii="宋体" w:hAnsi="宋体" w:eastAsia="宋体" w:cs="宋体"/>
          <w:bCs/>
          <w:sz w:val="21"/>
          <w:highlight w:val="none"/>
        </w:rPr>
      </w:pPr>
      <w:r>
        <w:rPr>
          <w:rFonts w:hint="eastAsia" w:ascii="宋体" w:hAnsi="宋体" w:eastAsia="宋体" w:cs="宋体"/>
          <w:bCs/>
          <w:sz w:val="21"/>
          <w:highlight w:val="none"/>
        </w:rPr>
        <w:t>数据容灾对象包含：主机（含虚拟机）、数据库、非结构化存储、网络存储等。正常情况下生产中心为主（读写）、容灾中心为备（只读），前端应用都连接到生产中心进行生产。</w:t>
      </w:r>
    </w:p>
    <w:p w14:paraId="08D86D5A">
      <w:pPr>
        <w:pStyle w:val="32"/>
        <w:spacing w:beforeLines="0" w:afterLines="0" w:line="360" w:lineRule="auto"/>
        <w:ind w:firstLine="420"/>
        <w:rPr>
          <w:rFonts w:ascii="宋体" w:hAnsi="宋体" w:eastAsia="宋体" w:cs="宋体"/>
          <w:bCs/>
          <w:sz w:val="21"/>
          <w:highlight w:val="none"/>
        </w:rPr>
      </w:pPr>
      <w:r>
        <w:rPr>
          <w:rFonts w:hint="eastAsia" w:ascii="宋体" w:hAnsi="宋体" w:eastAsia="宋体" w:cs="宋体"/>
          <w:bCs/>
          <w:sz w:val="21"/>
          <w:highlight w:val="none"/>
        </w:rPr>
        <w:t>当生产中心工作正常，容灾中心发生故障时，生产中心不受影响，待容灾中心恢复后可自动同步，并追平生产中心的变化数据。</w:t>
      </w:r>
    </w:p>
    <w:p w14:paraId="71E7D30F">
      <w:pPr>
        <w:pStyle w:val="32"/>
        <w:spacing w:beforeLines="0" w:afterLines="0" w:line="360" w:lineRule="auto"/>
        <w:ind w:firstLine="420"/>
        <w:rPr>
          <w:rFonts w:ascii="宋体" w:hAnsi="宋体" w:eastAsia="宋体" w:cs="宋体"/>
          <w:bCs/>
          <w:sz w:val="21"/>
          <w:highlight w:val="none"/>
        </w:rPr>
      </w:pPr>
      <w:r>
        <w:rPr>
          <w:rFonts w:hint="eastAsia" w:ascii="宋体" w:hAnsi="宋体" w:eastAsia="宋体" w:cs="宋体"/>
          <w:bCs/>
          <w:sz w:val="21"/>
          <w:highlight w:val="none"/>
        </w:rPr>
        <w:t>当生产中心发生故障停止工作后，容灾中心能通过便捷的操作方式快速切换为生产模式，接续生产。</w:t>
      </w:r>
    </w:p>
    <w:p w14:paraId="6598DD95">
      <w:pPr>
        <w:pStyle w:val="32"/>
        <w:spacing w:beforeLines="0" w:afterLines="0" w:line="360" w:lineRule="auto"/>
        <w:ind w:firstLine="420"/>
        <w:rPr>
          <w:rFonts w:ascii="宋体" w:hAnsi="宋体" w:eastAsia="宋体" w:cs="宋体"/>
          <w:bCs/>
          <w:sz w:val="21"/>
          <w:highlight w:val="none"/>
        </w:rPr>
      </w:pPr>
      <w:r>
        <w:rPr>
          <w:rFonts w:hint="eastAsia" w:ascii="宋体" w:hAnsi="宋体" w:eastAsia="宋体" w:cs="宋体"/>
          <w:bCs/>
          <w:sz w:val="21"/>
          <w:highlight w:val="none"/>
        </w:rPr>
        <w:t>当生产中心故障恢复后，进入数据恢复模式，此时仍然由容灾中心负责生产，数据将同步回生产中心。</w:t>
      </w:r>
    </w:p>
    <w:p w14:paraId="34799624">
      <w:pPr>
        <w:pStyle w:val="32"/>
        <w:spacing w:beforeLines="0" w:afterLines="0" w:line="360" w:lineRule="auto"/>
        <w:ind w:firstLine="420"/>
        <w:rPr>
          <w:rFonts w:ascii="宋体" w:hAnsi="宋体" w:eastAsia="宋体" w:cs="宋体"/>
          <w:bCs/>
          <w:sz w:val="21"/>
          <w:highlight w:val="none"/>
        </w:rPr>
      </w:pPr>
      <w:r>
        <w:rPr>
          <w:rFonts w:hint="eastAsia" w:ascii="宋体" w:hAnsi="宋体" w:eastAsia="宋体" w:cs="宋体"/>
          <w:bCs/>
          <w:sz w:val="21"/>
          <w:highlight w:val="none"/>
        </w:rPr>
        <w:t>生产中心完成数据同步后，能通过便捷的方式将业务切回生产中心。</w:t>
      </w:r>
    </w:p>
    <w:p w14:paraId="3781A3F8">
      <w:pPr>
        <w:pStyle w:val="5"/>
        <w:spacing w:line="360" w:lineRule="auto"/>
        <w:ind w:firstLine="0" w:firstLineChars="0"/>
        <w:rPr>
          <w:rFonts w:eastAsia="宋体" w:cs="宋体"/>
          <w:color w:val="000000"/>
          <w:kern w:val="0"/>
          <w:sz w:val="21"/>
          <w:szCs w:val="21"/>
          <w:highlight w:val="none"/>
        </w:rPr>
      </w:pPr>
      <w:r>
        <w:rPr>
          <w:rFonts w:hint="eastAsia" w:eastAsia="宋体" w:cs="宋体"/>
          <w:color w:val="000000"/>
          <w:kern w:val="0"/>
          <w:sz w:val="21"/>
          <w:szCs w:val="21"/>
          <w:highlight w:val="none"/>
        </w:rPr>
        <w:t xml:space="preserve"> (</w:t>
      </w:r>
      <w:r>
        <w:rPr>
          <w:rFonts w:eastAsia="宋体" w:cs="宋体"/>
          <w:color w:val="000000"/>
          <w:kern w:val="0"/>
          <w:sz w:val="21"/>
          <w:szCs w:val="21"/>
          <w:highlight w:val="none"/>
        </w:rPr>
        <w:t>4</w:t>
      </w:r>
      <w:r>
        <w:rPr>
          <w:rFonts w:hint="eastAsia" w:eastAsia="宋体" w:cs="宋体"/>
          <w:color w:val="000000"/>
          <w:kern w:val="0"/>
          <w:sz w:val="21"/>
          <w:szCs w:val="21"/>
          <w:highlight w:val="none"/>
        </w:rPr>
        <w:t>）安全要求</w:t>
      </w:r>
    </w:p>
    <w:p w14:paraId="2E897313">
      <w:pPr>
        <w:pStyle w:val="32"/>
        <w:spacing w:beforeLines="0" w:afterLines="0" w:line="360" w:lineRule="auto"/>
        <w:ind w:firstLine="420"/>
        <w:rPr>
          <w:rFonts w:ascii="宋体" w:hAnsi="宋体" w:eastAsia="宋体" w:cs="宋体"/>
          <w:sz w:val="21"/>
          <w:highlight w:val="none"/>
        </w:rPr>
      </w:pPr>
      <w:r>
        <w:rPr>
          <w:rFonts w:hint="eastAsia" w:ascii="宋体" w:hAnsi="宋体" w:eastAsia="宋体" w:cs="宋体"/>
          <w:bCs/>
          <w:sz w:val="21"/>
          <w:highlight w:val="none"/>
        </w:rPr>
        <w:t>容灾系统涉及使用方核心业务系</w:t>
      </w:r>
      <w:r>
        <w:rPr>
          <w:rFonts w:hint="eastAsia" w:ascii="宋体" w:hAnsi="宋体" w:eastAsia="宋体" w:cs="宋体"/>
          <w:sz w:val="21"/>
          <w:highlight w:val="none"/>
        </w:rPr>
        <w:t>统的患者数据，要求容灾中心符合网络等级保护2.0的三级认证，有完善的容灾机房管理制度，提供相关安全设备等。</w:t>
      </w:r>
    </w:p>
    <w:p w14:paraId="0699FB02">
      <w:pPr>
        <w:pStyle w:val="8"/>
        <w:rPr>
          <w:rFonts w:ascii="宋体" w:hAnsi="宋体" w:eastAsia="宋体"/>
          <w:highlight w:val="none"/>
        </w:rPr>
      </w:pPr>
      <w:r>
        <w:rPr>
          <w:rFonts w:hint="eastAsia" w:ascii="宋体" w:hAnsi="宋体" w:eastAsia="宋体"/>
          <w:highlight w:val="none"/>
        </w:rPr>
        <w:t>4</w:t>
      </w:r>
      <w:r>
        <w:rPr>
          <w:rFonts w:ascii="宋体" w:hAnsi="宋体" w:eastAsia="宋体"/>
          <w:highlight w:val="none"/>
        </w:rPr>
        <w:t xml:space="preserve">.2 </w:t>
      </w:r>
      <w:r>
        <w:rPr>
          <w:rFonts w:hint="eastAsia" w:ascii="宋体" w:hAnsi="宋体" w:eastAsia="宋体"/>
          <w:highlight w:val="none"/>
        </w:rPr>
        <w:t>云主机资源</w:t>
      </w:r>
    </w:p>
    <w:p w14:paraId="5C3F2130">
      <w:pPr>
        <w:pStyle w:val="23"/>
        <w:spacing w:line="360" w:lineRule="auto"/>
        <w:ind w:firstLine="0" w:firstLineChars="0"/>
        <w:rPr>
          <w:rFonts w:ascii="宋体" w:hAnsi="宋体" w:eastAsia="宋体" w:cs="宋体"/>
          <w:b/>
          <w:bCs/>
          <w:sz w:val="24"/>
          <w:highlight w:val="none"/>
        </w:rPr>
      </w:pPr>
      <w:r>
        <w:rPr>
          <w:rFonts w:hint="eastAsia" w:ascii="宋体" w:hAnsi="宋体" w:eastAsia="宋体" w:cs="宋体"/>
          <w:b/>
          <w:bCs/>
          <w:sz w:val="24"/>
          <w:highlight w:val="none"/>
        </w:rPr>
        <w:t>（1）云主机资源的基本要求</w:t>
      </w:r>
    </w:p>
    <w:p w14:paraId="7CE927BE">
      <w:pPr>
        <w:spacing w:line="360" w:lineRule="auto"/>
        <w:ind w:firstLine="480" w:firstLineChars="200"/>
        <w:rPr>
          <w:rFonts w:ascii="宋体" w:hAnsi="宋体" w:eastAsia="宋体" w:cs="宋体"/>
          <w:sz w:val="24"/>
          <w:highlight w:val="none"/>
        </w:rPr>
      </w:pPr>
      <w:r>
        <w:rPr>
          <w:rFonts w:hint="eastAsia" w:ascii="宋体" w:hAnsi="宋体" w:eastAsia="宋体" w:cs="宋体"/>
          <w:sz w:val="24"/>
          <w:highlight w:val="none"/>
        </w:rPr>
        <w:t>提供使用方在用的互联网医院运行环境所需的云主机资源，云安全防护环境相关资源。</w:t>
      </w:r>
    </w:p>
    <w:p w14:paraId="17A6A727">
      <w:pPr>
        <w:pStyle w:val="23"/>
        <w:numPr>
          <w:ilvl w:val="0"/>
          <w:numId w:val="4"/>
        </w:numPr>
        <w:spacing w:line="360" w:lineRule="auto"/>
        <w:ind w:firstLine="0" w:firstLineChars="0"/>
        <w:rPr>
          <w:rFonts w:ascii="宋体" w:hAnsi="宋体" w:eastAsia="宋体" w:cs="宋体"/>
          <w:b/>
          <w:bCs/>
          <w:sz w:val="24"/>
          <w:highlight w:val="none"/>
        </w:rPr>
      </w:pPr>
      <w:r>
        <w:rPr>
          <w:rFonts w:hint="eastAsia" w:ascii="宋体" w:hAnsi="宋体" w:eastAsia="宋体" w:cs="宋体"/>
          <w:b/>
          <w:bCs/>
          <w:sz w:val="24"/>
          <w:highlight w:val="none"/>
        </w:rPr>
        <w:t>云主机资源清单</w:t>
      </w:r>
    </w:p>
    <w:tbl>
      <w:tblPr>
        <w:tblStyle w:val="18"/>
        <w:tblpPr w:leftFromText="180" w:rightFromText="180" w:vertAnchor="text" w:horzAnchor="page" w:tblpX="1577" w:tblpY="450"/>
        <w:tblOverlap w:val="never"/>
        <w:tblW w:w="89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1838"/>
        <w:gridCol w:w="1281"/>
        <w:gridCol w:w="4110"/>
        <w:gridCol w:w="1017"/>
      </w:tblGrid>
      <w:tr w14:paraId="12B428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704" w:type="dxa"/>
            <w:vAlign w:val="center"/>
          </w:tcPr>
          <w:p w14:paraId="72655344">
            <w:pPr>
              <w:snapToGrid w:val="0"/>
              <w:jc w:val="center"/>
              <w:rPr>
                <w:rFonts w:ascii="宋体" w:hAnsi="宋体" w:eastAsia="宋体" w:cs="宋体"/>
                <w:b/>
                <w:kern w:val="0"/>
                <w:szCs w:val="21"/>
                <w:highlight w:val="none"/>
              </w:rPr>
            </w:pPr>
            <w:r>
              <w:rPr>
                <w:rFonts w:hint="eastAsia" w:ascii="宋体" w:hAnsi="宋体" w:eastAsia="宋体" w:cs="宋体"/>
                <w:b/>
                <w:kern w:val="0"/>
                <w:szCs w:val="21"/>
                <w:highlight w:val="none"/>
              </w:rPr>
              <w:t>序号</w:t>
            </w:r>
          </w:p>
        </w:tc>
        <w:tc>
          <w:tcPr>
            <w:tcW w:w="1838" w:type="dxa"/>
            <w:vAlign w:val="center"/>
          </w:tcPr>
          <w:p w14:paraId="0AAA9F65">
            <w:pPr>
              <w:snapToGrid w:val="0"/>
              <w:jc w:val="center"/>
              <w:rPr>
                <w:rFonts w:ascii="宋体" w:hAnsi="宋体" w:eastAsia="宋体" w:cs="宋体"/>
                <w:b/>
                <w:kern w:val="0"/>
                <w:szCs w:val="21"/>
                <w:highlight w:val="none"/>
              </w:rPr>
            </w:pPr>
            <w:r>
              <w:rPr>
                <w:rFonts w:hint="eastAsia" w:ascii="宋体" w:hAnsi="宋体" w:eastAsia="宋体" w:cs="宋体"/>
                <w:b/>
                <w:kern w:val="0"/>
                <w:szCs w:val="21"/>
                <w:highlight w:val="none"/>
              </w:rPr>
              <w:t>资源分类</w:t>
            </w:r>
          </w:p>
        </w:tc>
        <w:tc>
          <w:tcPr>
            <w:tcW w:w="1281" w:type="dxa"/>
            <w:vAlign w:val="center"/>
          </w:tcPr>
          <w:p w14:paraId="020FEEF1">
            <w:pPr>
              <w:snapToGrid w:val="0"/>
              <w:jc w:val="center"/>
              <w:rPr>
                <w:rFonts w:ascii="宋体" w:hAnsi="宋体" w:eastAsia="宋体" w:cs="宋体"/>
                <w:b/>
                <w:kern w:val="0"/>
                <w:szCs w:val="21"/>
                <w:highlight w:val="none"/>
              </w:rPr>
            </w:pPr>
            <w:r>
              <w:rPr>
                <w:rFonts w:hint="eastAsia" w:ascii="宋体" w:hAnsi="宋体" w:eastAsia="宋体" w:cs="宋体"/>
                <w:b/>
                <w:kern w:val="0"/>
                <w:szCs w:val="21"/>
                <w:highlight w:val="none"/>
              </w:rPr>
              <w:t>产品名称</w:t>
            </w:r>
          </w:p>
        </w:tc>
        <w:tc>
          <w:tcPr>
            <w:tcW w:w="4110" w:type="dxa"/>
            <w:vAlign w:val="center"/>
          </w:tcPr>
          <w:p w14:paraId="32B5333E">
            <w:pPr>
              <w:snapToGrid w:val="0"/>
              <w:jc w:val="center"/>
              <w:rPr>
                <w:rFonts w:ascii="宋体" w:hAnsi="宋体" w:eastAsia="宋体" w:cs="宋体"/>
                <w:b/>
                <w:kern w:val="0"/>
                <w:szCs w:val="21"/>
                <w:highlight w:val="none"/>
              </w:rPr>
            </w:pPr>
            <w:r>
              <w:rPr>
                <w:rFonts w:hint="eastAsia" w:ascii="宋体" w:hAnsi="宋体" w:eastAsia="宋体" w:cs="宋体"/>
                <w:b/>
                <w:kern w:val="0"/>
                <w:szCs w:val="21"/>
                <w:highlight w:val="none"/>
              </w:rPr>
              <w:t>产品类型</w:t>
            </w:r>
          </w:p>
        </w:tc>
        <w:tc>
          <w:tcPr>
            <w:tcW w:w="1017" w:type="dxa"/>
            <w:vAlign w:val="center"/>
          </w:tcPr>
          <w:p w14:paraId="5A38261C">
            <w:pPr>
              <w:snapToGrid w:val="0"/>
              <w:jc w:val="center"/>
              <w:rPr>
                <w:rFonts w:ascii="宋体" w:hAnsi="宋体" w:eastAsia="宋体" w:cs="宋体"/>
                <w:b/>
                <w:kern w:val="0"/>
                <w:szCs w:val="21"/>
                <w:highlight w:val="none"/>
              </w:rPr>
            </w:pPr>
            <w:r>
              <w:rPr>
                <w:rFonts w:hint="eastAsia" w:ascii="宋体" w:hAnsi="宋体" w:eastAsia="宋体" w:cs="宋体"/>
                <w:b/>
                <w:kern w:val="0"/>
                <w:szCs w:val="21"/>
                <w:highlight w:val="none"/>
              </w:rPr>
              <w:t>数量</w:t>
            </w:r>
          </w:p>
        </w:tc>
      </w:tr>
      <w:tr w14:paraId="2EE10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1" w:hRule="atLeast"/>
        </w:trPr>
        <w:tc>
          <w:tcPr>
            <w:tcW w:w="704" w:type="dxa"/>
            <w:vAlign w:val="center"/>
          </w:tcPr>
          <w:p w14:paraId="0957550C">
            <w:pPr>
              <w:snapToGrid w:val="0"/>
              <w:jc w:val="center"/>
              <w:rPr>
                <w:rFonts w:ascii="宋体" w:hAnsi="宋体" w:eastAsia="宋体" w:cs="宋体"/>
                <w:kern w:val="0"/>
                <w:szCs w:val="21"/>
                <w:highlight w:val="none"/>
              </w:rPr>
            </w:pPr>
            <w:r>
              <w:rPr>
                <w:rFonts w:hint="eastAsia" w:ascii="宋体" w:hAnsi="宋体" w:eastAsia="宋体" w:cs="宋体"/>
                <w:kern w:val="0"/>
                <w:szCs w:val="21"/>
                <w:highlight w:val="none"/>
              </w:rPr>
              <w:t>1</w:t>
            </w:r>
          </w:p>
        </w:tc>
        <w:tc>
          <w:tcPr>
            <w:tcW w:w="1838" w:type="dxa"/>
            <w:vAlign w:val="center"/>
          </w:tcPr>
          <w:p w14:paraId="386D12F4">
            <w:pPr>
              <w:snapToGrid w:val="0"/>
              <w:jc w:val="center"/>
              <w:rPr>
                <w:rFonts w:ascii="宋体" w:hAnsi="宋体" w:eastAsia="宋体" w:cs="宋体"/>
                <w:kern w:val="0"/>
                <w:szCs w:val="21"/>
                <w:highlight w:val="none"/>
              </w:rPr>
            </w:pPr>
            <w:r>
              <w:rPr>
                <w:rFonts w:hint="eastAsia" w:ascii="宋体" w:hAnsi="宋体" w:eastAsia="宋体" w:cs="宋体"/>
                <w:kern w:val="0"/>
                <w:szCs w:val="21"/>
                <w:highlight w:val="none"/>
              </w:rPr>
              <w:t>应用服务器1</w:t>
            </w:r>
          </w:p>
        </w:tc>
        <w:tc>
          <w:tcPr>
            <w:tcW w:w="1281" w:type="dxa"/>
            <w:vAlign w:val="center"/>
          </w:tcPr>
          <w:p w14:paraId="464BDF6B">
            <w:pPr>
              <w:snapToGrid w:val="0"/>
              <w:jc w:val="center"/>
              <w:rPr>
                <w:rFonts w:ascii="宋体" w:hAnsi="宋体" w:eastAsia="宋体" w:cs="宋体"/>
                <w:kern w:val="0"/>
                <w:szCs w:val="21"/>
                <w:highlight w:val="none"/>
              </w:rPr>
            </w:pPr>
            <w:r>
              <w:rPr>
                <w:rFonts w:hint="eastAsia" w:ascii="宋体" w:hAnsi="宋体" w:eastAsia="宋体" w:cs="宋体"/>
                <w:kern w:val="0"/>
                <w:szCs w:val="21"/>
                <w:highlight w:val="none"/>
              </w:rPr>
              <w:t>云主机</w:t>
            </w:r>
          </w:p>
        </w:tc>
        <w:tc>
          <w:tcPr>
            <w:tcW w:w="4110" w:type="dxa"/>
            <w:vAlign w:val="center"/>
          </w:tcPr>
          <w:p w14:paraId="4FADF81C">
            <w:pPr>
              <w:snapToGrid w:val="0"/>
              <w:rPr>
                <w:rFonts w:ascii="宋体" w:hAnsi="宋体" w:eastAsia="宋体" w:cs="宋体"/>
                <w:kern w:val="0"/>
                <w:szCs w:val="21"/>
                <w:highlight w:val="none"/>
              </w:rPr>
            </w:pPr>
            <w:r>
              <w:rPr>
                <w:rFonts w:ascii="宋体" w:hAnsi="宋体" w:eastAsia="宋体" w:cs="宋体"/>
                <w:kern w:val="0"/>
                <w:szCs w:val="21"/>
                <w:highlight w:val="none"/>
              </w:rPr>
              <w:t>1</w:t>
            </w:r>
            <w:r>
              <w:rPr>
                <w:rFonts w:hint="eastAsia" w:ascii="宋体" w:hAnsi="宋体" w:eastAsia="宋体" w:cs="宋体"/>
                <w:kern w:val="0"/>
                <w:szCs w:val="21"/>
                <w:highlight w:val="none"/>
              </w:rPr>
              <w:t>、CPU≥16核</w:t>
            </w:r>
          </w:p>
          <w:p w14:paraId="274BAF5F">
            <w:pPr>
              <w:snapToGrid w:val="0"/>
              <w:rPr>
                <w:rFonts w:ascii="宋体" w:hAnsi="宋体" w:eastAsia="宋体" w:cs="宋体"/>
                <w:kern w:val="0"/>
                <w:szCs w:val="21"/>
                <w:highlight w:val="none"/>
              </w:rPr>
            </w:pPr>
            <w:r>
              <w:rPr>
                <w:rFonts w:hint="eastAsia" w:ascii="宋体" w:hAnsi="宋体" w:eastAsia="宋体" w:cs="宋体"/>
                <w:kern w:val="0"/>
                <w:szCs w:val="21"/>
                <w:highlight w:val="none"/>
              </w:rPr>
              <w:t>2、内存≥64G</w:t>
            </w:r>
          </w:p>
          <w:p w14:paraId="20D9EE79">
            <w:pPr>
              <w:snapToGrid w:val="0"/>
              <w:rPr>
                <w:rFonts w:ascii="宋体" w:hAnsi="宋体" w:eastAsia="宋体" w:cs="宋体"/>
                <w:kern w:val="0"/>
                <w:szCs w:val="21"/>
                <w:highlight w:val="none"/>
              </w:rPr>
            </w:pPr>
            <w:r>
              <w:rPr>
                <w:rFonts w:hint="eastAsia" w:ascii="宋体" w:hAnsi="宋体" w:eastAsia="宋体" w:cs="宋体"/>
                <w:kern w:val="0"/>
                <w:szCs w:val="21"/>
                <w:highlight w:val="none"/>
              </w:rPr>
              <w:t>3、高性能系统存储≥100G，高性能数据存储≥2000G，并支持在线扩容</w:t>
            </w:r>
          </w:p>
          <w:p w14:paraId="7ED28D4A">
            <w:pPr>
              <w:snapToGrid w:val="0"/>
              <w:rPr>
                <w:rFonts w:ascii="宋体" w:hAnsi="宋体" w:eastAsia="宋体" w:cs="宋体"/>
                <w:kern w:val="0"/>
                <w:szCs w:val="21"/>
                <w:highlight w:val="none"/>
              </w:rPr>
            </w:pPr>
            <w:r>
              <w:rPr>
                <w:rFonts w:ascii="宋体" w:hAnsi="宋体" w:eastAsia="宋体" w:cs="宋体"/>
                <w:kern w:val="0"/>
                <w:szCs w:val="21"/>
                <w:highlight w:val="none"/>
              </w:rPr>
              <w:t>4</w:t>
            </w:r>
            <w:r>
              <w:rPr>
                <w:rFonts w:hint="eastAsia" w:ascii="宋体" w:hAnsi="宋体" w:eastAsia="宋体" w:cs="宋体"/>
                <w:kern w:val="0"/>
                <w:szCs w:val="21"/>
                <w:highlight w:val="none"/>
              </w:rPr>
              <w:t>、支持更换系统盘类型，支持在线扩容，无需关机</w:t>
            </w:r>
          </w:p>
          <w:p w14:paraId="3A991DAF">
            <w:pPr>
              <w:snapToGrid w:val="0"/>
              <w:rPr>
                <w:rFonts w:ascii="宋体" w:hAnsi="宋体" w:eastAsia="宋体" w:cs="宋体"/>
                <w:kern w:val="0"/>
                <w:szCs w:val="21"/>
                <w:highlight w:val="none"/>
              </w:rPr>
            </w:pPr>
            <w:r>
              <w:rPr>
                <w:rFonts w:hint="eastAsia" w:ascii="宋体" w:hAnsi="宋体" w:eastAsia="宋体" w:cs="宋体"/>
                <w:kern w:val="0"/>
                <w:szCs w:val="21"/>
                <w:highlight w:val="none"/>
              </w:rPr>
              <w:t>5、支持回收站功能，可将已删除资源重新恢复，资源保留时长：7天</w:t>
            </w:r>
          </w:p>
          <w:p w14:paraId="1E84ABC4">
            <w:pPr>
              <w:snapToGrid w:val="0"/>
              <w:rPr>
                <w:rFonts w:ascii="宋体" w:hAnsi="宋体" w:eastAsia="宋体" w:cs="宋体"/>
                <w:kern w:val="0"/>
                <w:szCs w:val="21"/>
                <w:highlight w:val="none"/>
              </w:rPr>
            </w:pPr>
            <w:r>
              <w:rPr>
                <w:rFonts w:ascii="宋体" w:hAnsi="宋体" w:eastAsia="宋体" w:cs="宋体"/>
                <w:kern w:val="0"/>
                <w:szCs w:val="21"/>
                <w:highlight w:val="none"/>
              </w:rPr>
              <w:t>6</w:t>
            </w:r>
            <w:r>
              <w:rPr>
                <w:rFonts w:hint="eastAsia" w:ascii="宋体" w:hAnsi="宋体" w:eastAsia="宋体" w:cs="宋体"/>
                <w:kern w:val="0"/>
                <w:szCs w:val="21"/>
                <w:highlight w:val="none"/>
              </w:rPr>
              <w:t>、网络支持IPv4和IPv6</w:t>
            </w:r>
          </w:p>
        </w:tc>
        <w:tc>
          <w:tcPr>
            <w:tcW w:w="1017" w:type="dxa"/>
            <w:vAlign w:val="center"/>
          </w:tcPr>
          <w:p w14:paraId="7AC83BA5">
            <w:pPr>
              <w:snapToGrid w:val="0"/>
              <w:rPr>
                <w:rFonts w:ascii="宋体" w:hAnsi="宋体" w:eastAsia="宋体" w:cs="宋体"/>
                <w:kern w:val="0"/>
                <w:szCs w:val="21"/>
                <w:highlight w:val="none"/>
              </w:rPr>
            </w:pPr>
            <w:r>
              <w:rPr>
                <w:rFonts w:hint="eastAsia" w:ascii="宋体" w:hAnsi="宋体" w:eastAsia="宋体" w:cs="宋体"/>
                <w:kern w:val="0"/>
                <w:szCs w:val="21"/>
                <w:highlight w:val="none"/>
              </w:rPr>
              <w:t>9台</w:t>
            </w:r>
          </w:p>
        </w:tc>
      </w:tr>
      <w:tr w14:paraId="23412A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04" w:type="dxa"/>
            <w:vAlign w:val="center"/>
          </w:tcPr>
          <w:p w14:paraId="23A35DBC">
            <w:pPr>
              <w:snapToGrid w:val="0"/>
              <w:jc w:val="center"/>
              <w:rPr>
                <w:rFonts w:ascii="宋体" w:hAnsi="宋体" w:eastAsia="宋体" w:cs="宋体"/>
                <w:kern w:val="0"/>
                <w:szCs w:val="21"/>
                <w:highlight w:val="none"/>
              </w:rPr>
            </w:pPr>
            <w:r>
              <w:rPr>
                <w:rFonts w:hint="eastAsia" w:ascii="宋体" w:hAnsi="宋体" w:eastAsia="宋体" w:cs="宋体"/>
                <w:kern w:val="0"/>
                <w:szCs w:val="21"/>
                <w:highlight w:val="none"/>
              </w:rPr>
              <w:t>2</w:t>
            </w:r>
          </w:p>
        </w:tc>
        <w:tc>
          <w:tcPr>
            <w:tcW w:w="1838" w:type="dxa"/>
            <w:vAlign w:val="center"/>
          </w:tcPr>
          <w:p w14:paraId="1F4461A5">
            <w:pPr>
              <w:snapToGrid w:val="0"/>
              <w:jc w:val="center"/>
              <w:rPr>
                <w:rFonts w:ascii="宋体" w:hAnsi="宋体" w:eastAsia="宋体" w:cs="宋体"/>
                <w:kern w:val="0"/>
                <w:szCs w:val="21"/>
                <w:highlight w:val="none"/>
              </w:rPr>
            </w:pPr>
            <w:r>
              <w:rPr>
                <w:rFonts w:hint="eastAsia" w:ascii="宋体" w:hAnsi="宋体" w:eastAsia="宋体" w:cs="宋体"/>
                <w:kern w:val="0"/>
                <w:szCs w:val="21"/>
                <w:highlight w:val="none"/>
              </w:rPr>
              <w:t>应用服务器2</w:t>
            </w:r>
          </w:p>
        </w:tc>
        <w:tc>
          <w:tcPr>
            <w:tcW w:w="1281" w:type="dxa"/>
            <w:vAlign w:val="center"/>
          </w:tcPr>
          <w:p w14:paraId="47961CFF">
            <w:pPr>
              <w:snapToGrid w:val="0"/>
              <w:jc w:val="center"/>
              <w:rPr>
                <w:rFonts w:ascii="宋体" w:hAnsi="宋体" w:eastAsia="宋体" w:cs="宋体"/>
                <w:kern w:val="0"/>
                <w:szCs w:val="21"/>
                <w:highlight w:val="none"/>
              </w:rPr>
            </w:pPr>
            <w:r>
              <w:rPr>
                <w:rFonts w:hint="eastAsia" w:ascii="宋体" w:hAnsi="宋体" w:eastAsia="宋体" w:cs="宋体"/>
                <w:kern w:val="0"/>
                <w:szCs w:val="21"/>
                <w:highlight w:val="none"/>
              </w:rPr>
              <w:t>云主机</w:t>
            </w:r>
          </w:p>
        </w:tc>
        <w:tc>
          <w:tcPr>
            <w:tcW w:w="4110" w:type="dxa"/>
            <w:vAlign w:val="center"/>
          </w:tcPr>
          <w:p w14:paraId="3B8E96E1">
            <w:pPr>
              <w:snapToGrid w:val="0"/>
              <w:rPr>
                <w:rFonts w:ascii="宋体" w:hAnsi="宋体" w:eastAsia="宋体" w:cs="宋体"/>
                <w:kern w:val="0"/>
                <w:szCs w:val="21"/>
                <w:highlight w:val="none"/>
              </w:rPr>
            </w:pPr>
            <w:r>
              <w:rPr>
                <w:rFonts w:ascii="宋体" w:hAnsi="宋体" w:eastAsia="宋体" w:cs="宋体"/>
                <w:kern w:val="0"/>
                <w:szCs w:val="21"/>
                <w:highlight w:val="none"/>
              </w:rPr>
              <w:t>1</w:t>
            </w:r>
            <w:r>
              <w:rPr>
                <w:rFonts w:hint="eastAsia" w:ascii="宋体" w:hAnsi="宋体" w:eastAsia="宋体" w:cs="宋体"/>
                <w:kern w:val="0"/>
                <w:szCs w:val="21"/>
                <w:highlight w:val="none"/>
              </w:rPr>
              <w:t>、CPU≥16核</w:t>
            </w:r>
          </w:p>
          <w:p w14:paraId="3A1DA08F">
            <w:pPr>
              <w:snapToGrid w:val="0"/>
              <w:rPr>
                <w:rFonts w:ascii="宋体" w:hAnsi="宋体" w:eastAsia="宋体" w:cs="宋体"/>
                <w:kern w:val="0"/>
                <w:szCs w:val="21"/>
                <w:highlight w:val="none"/>
              </w:rPr>
            </w:pPr>
            <w:r>
              <w:rPr>
                <w:rFonts w:hint="eastAsia" w:ascii="宋体" w:hAnsi="宋体" w:eastAsia="宋体" w:cs="宋体"/>
                <w:kern w:val="0"/>
                <w:szCs w:val="21"/>
                <w:highlight w:val="none"/>
              </w:rPr>
              <w:t>2、内存≥64G</w:t>
            </w:r>
          </w:p>
          <w:p w14:paraId="576D67AA">
            <w:pPr>
              <w:snapToGrid w:val="0"/>
              <w:rPr>
                <w:rFonts w:ascii="宋体" w:hAnsi="宋体" w:eastAsia="宋体" w:cs="宋体"/>
                <w:kern w:val="0"/>
                <w:szCs w:val="21"/>
                <w:highlight w:val="none"/>
              </w:rPr>
            </w:pPr>
            <w:r>
              <w:rPr>
                <w:rFonts w:hint="eastAsia" w:ascii="宋体" w:hAnsi="宋体" w:eastAsia="宋体" w:cs="宋体"/>
                <w:kern w:val="0"/>
                <w:szCs w:val="21"/>
                <w:highlight w:val="none"/>
              </w:rPr>
              <w:t>3、高性能系统存储≥100G，并支持在线扩容</w:t>
            </w:r>
          </w:p>
          <w:p w14:paraId="4505DEF2">
            <w:pPr>
              <w:snapToGrid w:val="0"/>
              <w:rPr>
                <w:rFonts w:ascii="宋体" w:hAnsi="宋体" w:eastAsia="宋体" w:cs="宋体"/>
                <w:kern w:val="0"/>
                <w:szCs w:val="21"/>
                <w:highlight w:val="none"/>
              </w:rPr>
            </w:pPr>
            <w:r>
              <w:rPr>
                <w:rFonts w:ascii="宋体" w:hAnsi="宋体" w:eastAsia="宋体" w:cs="宋体"/>
                <w:kern w:val="0"/>
                <w:szCs w:val="21"/>
                <w:highlight w:val="none"/>
              </w:rPr>
              <w:t>4</w:t>
            </w:r>
            <w:r>
              <w:rPr>
                <w:rFonts w:hint="eastAsia" w:ascii="宋体" w:hAnsi="宋体" w:eastAsia="宋体" w:cs="宋体"/>
                <w:kern w:val="0"/>
                <w:szCs w:val="21"/>
                <w:highlight w:val="none"/>
              </w:rPr>
              <w:t>、支持更换系统盘类型，支持在线扩容，无需关机</w:t>
            </w:r>
          </w:p>
          <w:p w14:paraId="482E6C4E">
            <w:pPr>
              <w:snapToGrid w:val="0"/>
              <w:rPr>
                <w:rFonts w:ascii="宋体" w:hAnsi="宋体" w:eastAsia="宋体" w:cs="宋体"/>
                <w:kern w:val="0"/>
                <w:szCs w:val="21"/>
                <w:highlight w:val="none"/>
              </w:rPr>
            </w:pPr>
            <w:r>
              <w:rPr>
                <w:rFonts w:hint="eastAsia" w:ascii="宋体" w:hAnsi="宋体" w:eastAsia="宋体" w:cs="宋体"/>
                <w:kern w:val="0"/>
                <w:szCs w:val="21"/>
                <w:highlight w:val="none"/>
              </w:rPr>
              <w:t>5、支持回收站功能，可将已删除资源重新恢复，资源保留时长：7天</w:t>
            </w:r>
          </w:p>
          <w:p w14:paraId="4898D360">
            <w:pPr>
              <w:snapToGrid w:val="0"/>
              <w:rPr>
                <w:rFonts w:ascii="宋体" w:hAnsi="宋体" w:eastAsia="宋体" w:cs="宋体"/>
                <w:kern w:val="0"/>
                <w:szCs w:val="21"/>
                <w:highlight w:val="none"/>
              </w:rPr>
            </w:pPr>
            <w:r>
              <w:rPr>
                <w:rFonts w:ascii="宋体" w:hAnsi="宋体" w:eastAsia="宋体" w:cs="宋体"/>
                <w:kern w:val="0"/>
                <w:szCs w:val="21"/>
                <w:highlight w:val="none"/>
              </w:rPr>
              <w:t>6</w:t>
            </w:r>
            <w:r>
              <w:rPr>
                <w:rFonts w:hint="eastAsia" w:ascii="宋体" w:hAnsi="宋体" w:eastAsia="宋体" w:cs="宋体"/>
                <w:kern w:val="0"/>
                <w:szCs w:val="21"/>
                <w:highlight w:val="none"/>
              </w:rPr>
              <w:t>、网络支持IPv4和IPv6</w:t>
            </w:r>
          </w:p>
        </w:tc>
        <w:tc>
          <w:tcPr>
            <w:tcW w:w="1017" w:type="dxa"/>
            <w:vAlign w:val="center"/>
          </w:tcPr>
          <w:p w14:paraId="72DAF400">
            <w:pPr>
              <w:snapToGrid w:val="0"/>
              <w:rPr>
                <w:rFonts w:ascii="宋体" w:hAnsi="宋体" w:eastAsia="宋体" w:cs="宋体"/>
                <w:kern w:val="0"/>
                <w:szCs w:val="21"/>
                <w:highlight w:val="none"/>
              </w:rPr>
            </w:pPr>
            <w:r>
              <w:rPr>
                <w:rFonts w:hint="eastAsia" w:ascii="宋体" w:hAnsi="宋体" w:eastAsia="宋体" w:cs="宋体"/>
                <w:kern w:val="0"/>
                <w:szCs w:val="21"/>
                <w:highlight w:val="none"/>
              </w:rPr>
              <w:t>1台</w:t>
            </w:r>
          </w:p>
        </w:tc>
      </w:tr>
      <w:tr w14:paraId="247F0D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04" w:type="dxa"/>
            <w:vAlign w:val="center"/>
          </w:tcPr>
          <w:p w14:paraId="49DB3889">
            <w:pPr>
              <w:snapToGrid w:val="0"/>
              <w:jc w:val="center"/>
              <w:rPr>
                <w:rFonts w:ascii="宋体" w:hAnsi="宋体" w:eastAsia="宋体" w:cs="宋体"/>
                <w:kern w:val="0"/>
                <w:szCs w:val="21"/>
                <w:highlight w:val="none"/>
              </w:rPr>
            </w:pPr>
            <w:r>
              <w:rPr>
                <w:rFonts w:hint="eastAsia" w:ascii="宋体" w:hAnsi="宋体" w:eastAsia="宋体" w:cs="宋体"/>
                <w:kern w:val="0"/>
                <w:szCs w:val="21"/>
                <w:highlight w:val="none"/>
              </w:rPr>
              <w:t>3</w:t>
            </w:r>
          </w:p>
        </w:tc>
        <w:tc>
          <w:tcPr>
            <w:tcW w:w="1838" w:type="dxa"/>
            <w:vAlign w:val="center"/>
          </w:tcPr>
          <w:p w14:paraId="4680D1C6">
            <w:pPr>
              <w:snapToGrid w:val="0"/>
              <w:jc w:val="center"/>
              <w:rPr>
                <w:rFonts w:ascii="宋体" w:hAnsi="宋体" w:eastAsia="宋体" w:cs="宋体"/>
                <w:kern w:val="0"/>
                <w:szCs w:val="21"/>
                <w:highlight w:val="none"/>
              </w:rPr>
            </w:pPr>
            <w:r>
              <w:rPr>
                <w:rFonts w:hint="eastAsia" w:ascii="宋体" w:hAnsi="宋体" w:eastAsia="宋体" w:cs="宋体"/>
                <w:kern w:val="0"/>
                <w:szCs w:val="21"/>
                <w:highlight w:val="none"/>
              </w:rPr>
              <w:t>应用服务器3</w:t>
            </w:r>
          </w:p>
        </w:tc>
        <w:tc>
          <w:tcPr>
            <w:tcW w:w="1281" w:type="dxa"/>
            <w:vAlign w:val="center"/>
          </w:tcPr>
          <w:p w14:paraId="5EAE0208">
            <w:pPr>
              <w:snapToGrid w:val="0"/>
              <w:jc w:val="center"/>
              <w:rPr>
                <w:rFonts w:ascii="宋体" w:hAnsi="宋体" w:eastAsia="宋体" w:cs="宋体"/>
                <w:kern w:val="0"/>
                <w:szCs w:val="21"/>
                <w:highlight w:val="none"/>
              </w:rPr>
            </w:pPr>
            <w:r>
              <w:rPr>
                <w:rFonts w:hint="eastAsia" w:ascii="宋体" w:hAnsi="宋体" w:eastAsia="宋体" w:cs="宋体"/>
                <w:kern w:val="0"/>
                <w:szCs w:val="21"/>
                <w:highlight w:val="none"/>
              </w:rPr>
              <w:t>云主机</w:t>
            </w:r>
          </w:p>
        </w:tc>
        <w:tc>
          <w:tcPr>
            <w:tcW w:w="4110" w:type="dxa"/>
            <w:vAlign w:val="center"/>
          </w:tcPr>
          <w:p w14:paraId="5F146127">
            <w:pPr>
              <w:snapToGrid w:val="0"/>
              <w:rPr>
                <w:rFonts w:ascii="宋体" w:hAnsi="宋体" w:eastAsia="宋体" w:cs="宋体"/>
                <w:kern w:val="0"/>
                <w:szCs w:val="21"/>
                <w:highlight w:val="none"/>
              </w:rPr>
            </w:pPr>
            <w:r>
              <w:rPr>
                <w:rFonts w:ascii="宋体" w:hAnsi="宋体" w:eastAsia="宋体" w:cs="宋体"/>
                <w:kern w:val="0"/>
                <w:szCs w:val="21"/>
                <w:highlight w:val="none"/>
              </w:rPr>
              <w:t>1</w:t>
            </w:r>
            <w:r>
              <w:rPr>
                <w:rFonts w:hint="eastAsia" w:ascii="宋体" w:hAnsi="宋体" w:eastAsia="宋体" w:cs="宋体"/>
                <w:kern w:val="0"/>
                <w:szCs w:val="21"/>
                <w:highlight w:val="none"/>
              </w:rPr>
              <w:t>、CPU≥16核</w:t>
            </w:r>
          </w:p>
          <w:p w14:paraId="516037F0">
            <w:pPr>
              <w:snapToGrid w:val="0"/>
              <w:rPr>
                <w:rFonts w:ascii="宋体" w:hAnsi="宋体" w:eastAsia="宋体" w:cs="宋体"/>
                <w:kern w:val="0"/>
                <w:szCs w:val="21"/>
                <w:highlight w:val="none"/>
              </w:rPr>
            </w:pPr>
            <w:r>
              <w:rPr>
                <w:rFonts w:hint="eastAsia" w:ascii="宋体" w:hAnsi="宋体" w:eastAsia="宋体" w:cs="宋体"/>
                <w:kern w:val="0"/>
                <w:szCs w:val="21"/>
                <w:highlight w:val="none"/>
              </w:rPr>
              <w:t>2、内存≥64G</w:t>
            </w:r>
          </w:p>
          <w:p w14:paraId="16AF4DB2">
            <w:pPr>
              <w:snapToGrid w:val="0"/>
              <w:rPr>
                <w:rFonts w:ascii="宋体" w:hAnsi="宋体" w:eastAsia="宋体" w:cs="宋体"/>
                <w:kern w:val="0"/>
                <w:szCs w:val="21"/>
                <w:highlight w:val="none"/>
              </w:rPr>
            </w:pPr>
            <w:r>
              <w:rPr>
                <w:rFonts w:hint="eastAsia" w:ascii="宋体" w:hAnsi="宋体" w:eastAsia="宋体" w:cs="宋体"/>
                <w:kern w:val="0"/>
                <w:szCs w:val="21"/>
                <w:highlight w:val="none"/>
              </w:rPr>
              <w:t>3、高性能系统存储≥200G，并支持在线扩容</w:t>
            </w:r>
          </w:p>
          <w:p w14:paraId="2D623DE5">
            <w:pPr>
              <w:snapToGrid w:val="0"/>
              <w:rPr>
                <w:rFonts w:ascii="宋体" w:hAnsi="宋体" w:eastAsia="宋体" w:cs="宋体"/>
                <w:kern w:val="0"/>
                <w:szCs w:val="21"/>
                <w:highlight w:val="none"/>
              </w:rPr>
            </w:pPr>
            <w:r>
              <w:rPr>
                <w:rFonts w:ascii="宋体" w:hAnsi="宋体" w:eastAsia="宋体" w:cs="宋体"/>
                <w:kern w:val="0"/>
                <w:szCs w:val="21"/>
                <w:highlight w:val="none"/>
              </w:rPr>
              <w:t>4</w:t>
            </w:r>
            <w:r>
              <w:rPr>
                <w:rFonts w:hint="eastAsia" w:ascii="宋体" w:hAnsi="宋体" w:eastAsia="宋体" w:cs="宋体"/>
                <w:kern w:val="0"/>
                <w:szCs w:val="21"/>
                <w:highlight w:val="none"/>
              </w:rPr>
              <w:t>、支持更换系统盘类型，支持在线扩容，无需关机</w:t>
            </w:r>
          </w:p>
          <w:p w14:paraId="359B308A">
            <w:pPr>
              <w:snapToGrid w:val="0"/>
              <w:rPr>
                <w:rFonts w:ascii="宋体" w:hAnsi="宋体" w:eastAsia="宋体" w:cs="宋体"/>
                <w:kern w:val="0"/>
                <w:szCs w:val="21"/>
                <w:highlight w:val="none"/>
              </w:rPr>
            </w:pPr>
            <w:r>
              <w:rPr>
                <w:rFonts w:hint="eastAsia" w:ascii="宋体" w:hAnsi="宋体" w:eastAsia="宋体" w:cs="宋体"/>
                <w:kern w:val="0"/>
                <w:szCs w:val="21"/>
                <w:highlight w:val="none"/>
                <w:lang w:val="en-US" w:eastAsia="zh-CN"/>
              </w:rPr>
              <w:t>5</w:t>
            </w:r>
            <w:r>
              <w:rPr>
                <w:rFonts w:hint="eastAsia" w:ascii="宋体" w:hAnsi="宋体" w:eastAsia="宋体" w:cs="宋体"/>
                <w:kern w:val="0"/>
                <w:szCs w:val="21"/>
                <w:highlight w:val="none"/>
              </w:rPr>
              <w:t>、支持回收站功能，可将已删除资源重新恢复，资源保留时长：7天</w:t>
            </w:r>
          </w:p>
          <w:p w14:paraId="37BC6262">
            <w:pPr>
              <w:snapToGrid w:val="0"/>
              <w:rPr>
                <w:rFonts w:ascii="宋体" w:hAnsi="宋体" w:eastAsia="宋体" w:cs="宋体"/>
                <w:kern w:val="0"/>
                <w:szCs w:val="21"/>
                <w:highlight w:val="none"/>
              </w:rPr>
            </w:pPr>
            <w:r>
              <w:rPr>
                <w:rFonts w:hint="eastAsia" w:ascii="宋体" w:hAnsi="宋体" w:eastAsia="宋体" w:cs="宋体"/>
                <w:kern w:val="0"/>
                <w:szCs w:val="21"/>
                <w:highlight w:val="none"/>
                <w:lang w:val="en-US" w:eastAsia="zh-CN"/>
              </w:rPr>
              <w:t>6</w:t>
            </w:r>
            <w:r>
              <w:rPr>
                <w:rFonts w:hint="eastAsia" w:ascii="宋体" w:hAnsi="宋体" w:eastAsia="宋体" w:cs="宋体"/>
                <w:kern w:val="0"/>
                <w:szCs w:val="21"/>
                <w:highlight w:val="none"/>
              </w:rPr>
              <w:t>、网络支持IPv4和IPv6</w:t>
            </w:r>
          </w:p>
        </w:tc>
        <w:tc>
          <w:tcPr>
            <w:tcW w:w="1017" w:type="dxa"/>
            <w:vAlign w:val="center"/>
          </w:tcPr>
          <w:p w14:paraId="2C737A2B">
            <w:pPr>
              <w:snapToGrid w:val="0"/>
              <w:rPr>
                <w:rFonts w:ascii="宋体" w:hAnsi="宋体" w:eastAsia="宋体" w:cs="宋体"/>
                <w:kern w:val="0"/>
                <w:szCs w:val="21"/>
                <w:highlight w:val="none"/>
              </w:rPr>
            </w:pPr>
            <w:r>
              <w:rPr>
                <w:rFonts w:hint="eastAsia" w:ascii="宋体" w:hAnsi="宋体" w:eastAsia="宋体" w:cs="宋体"/>
                <w:kern w:val="0"/>
                <w:szCs w:val="21"/>
                <w:highlight w:val="none"/>
              </w:rPr>
              <w:t>1台</w:t>
            </w:r>
          </w:p>
        </w:tc>
      </w:tr>
      <w:tr w14:paraId="0646B8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04" w:type="dxa"/>
            <w:vAlign w:val="center"/>
          </w:tcPr>
          <w:p w14:paraId="67C8B7F8">
            <w:pPr>
              <w:snapToGrid w:val="0"/>
              <w:jc w:val="center"/>
              <w:rPr>
                <w:rFonts w:ascii="宋体" w:hAnsi="宋体" w:eastAsia="宋体" w:cs="宋体"/>
                <w:kern w:val="0"/>
                <w:szCs w:val="21"/>
                <w:highlight w:val="none"/>
              </w:rPr>
            </w:pPr>
            <w:r>
              <w:rPr>
                <w:rFonts w:hint="eastAsia" w:ascii="宋体" w:hAnsi="宋体" w:eastAsia="宋体" w:cs="宋体"/>
                <w:kern w:val="0"/>
                <w:szCs w:val="21"/>
                <w:highlight w:val="none"/>
              </w:rPr>
              <w:t>4</w:t>
            </w:r>
          </w:p>
        </w:tc>
        <w:tc>
          <w:tcPr>
            <w:tcW w:w="1838" w:type="dxa"/>
            <w:vAlign w:val="center"/>
          </w:tcPr>
          <w:p w14:paraId="05D1009A">
            <w:pPr>
              <w:snapToGrid w:val="0"/>
              <w:jc w:val="center"/>
              <w:rPr>
                <w:rFonts w:ascii="宋体" w:hAnsi="宋体" w:eastAsia="宋体" w:cs="宋体"/>
                <w:kern w:val="0"/>
                <w:szCs w:val="21"/>
                <w:highlight w:val="none"/>
              </w:rPr>
            </w:pPr>
            <w:r>
              <w:rPr>
                <w:rFonts w:hint="eastAsia" w:ascii="宋体" w:hAnsi="宋体" w:eastAsia="宋体" w:cs="宋体"/>
                <w:kern w:val="0"/>
                <w:szCs w:val="21"/>
                <w:highlight w:val="none"/>
              </w:rPr>
              <w:t>中间件服务器</w:t>
            </w:r>
          </w:p>
        </w:tc>
        <w:tc>
          <w:tcPr>
            <w:tcW w:w="1281" w:type="dxa"/>
            <w:vAlign w:val="center"/>
          </w:tcPr>
          <w:p w14:paraId="64ADA1AF">
            <w:pPr>
              <w:snapToGrid w:val="0"/>
              <w:jc w:val="center"/>
              <w:rPr>
                <w:rFonts w:ascii="宋体" w:hAnsi="宋体" w:eastAsia="宋体" w:cs="宋体"/>
                <w:kern w:val="0"/>
                <w:szCs w:val="21"/>
                <w:highlight w:val="none"/>
              </w:rPr>
            </w:pPr>
            <w:r>
              <w:rPr>
                <w:rFonts w:hint="eastAsia" w:ascii="宋体" w:hAnsi="宋体" w:eastAsia="宋体" w:cs="宋体"/>
                <w:kern w:val="0"/>
                <w:szCs w:val="21"/>
                <w:highlight w:val="none"/>
              </w:rPr>
              <w:t>云主机</w:t>
            </w:r>
          </w:p>
        </w:tc>
        <w:tc>
          <w:tcPr>
            <w:tcW w:w="4110" w:type="dxa"/>
            <w:vAlign w:val="center"/>
          </w:tcPr>
          <w:p w14:paraId="0E42BD49">
            <w:pPr>
              <w:snapToGrid w:val="0"/>
              <w:rPr>
                <w:rFonts w:ascii="宋体" w:hAnsi="宋体" w:eastAsia="宋体" w:cs="宋体"/>
                <w:kern w:val="0"/>
                <w:szCs w:val="21"/>
                <w:highlight w:val="none"/>
              </w:rPr>
            </w:pPr>
            <w:r>
              <w:rPr>
                <w:rFonts w:ascii="宋体" w:hAnsi="宋体" w:eastAsia="宋体" w:cs="宋体"/>
                <w:kern w:val="0"/>
                <w:szCs w:val="21"/>
                <w:highlight w:val="none"/>
              </w:rPr>
              <w:t>1</w:t>
            </w:r>
            <w:r>
              <w:rPr>
                <w:rFonts w:hint="eastAsia" w:ascii="宋体" w:hAnsi="宋体" w:eastAsia="宋体" w:cs="宋体"/>
                <w:kern w:val="0"/>
                <w:szCs w:val="21"/>
                <w:highlight w:val="none"/>
              </w:rPr>
              <w:t>、CPU≥8核</w:t>
            </w:r>
          </w:p>
          <w:p w14:paraId="55B6F8FC">
            <w:pPr>
              <w:snapToGrid w:val="0"/>
              <w:rPr>
                <w:rFonts w:ascii="宋体" w:hAnsi="宋体" w:eastAsia="宋体" w:cs="宋体"/>
                <w:kern w:val="0"/>
                <w:szCs w:val="21"/>
                <w:highlight w:val="none"/>
              </w:rPr>
            </w:pPr>
            <w:r>
              <w:rPr>
                <w:rFonts w:hint="eastAsia" w:ascii="宋体" w:hAnsi="宋体" w:eastAsia="宋体" w:cs="宋体"/>
                <w:kern w:val="0"/>
                <w:szCs w:val="21"/>
                <w:highlight w:val="none"/>
              </w:rPr>
              <w:t>2、内存≥32G</w:t>
            </w:r>
          </w:p>
          <w:p w14:paraId="54E55C14">
            <w:pPr>
              <w:snapToGrid w:val="0"/>
              <w:rPr>
                <w:rFonts w:ascii="宋体" w:hAnsi="宋体" w:eastAsia="宋体" w:cs="宋体"/>
                <w:kern w:val="0"/>
                <w:szCs w:val="21"/>
                <w:highlight w:val="none"/>
              </w:rPr>
            </w:pPr>
            <w:r>
              <w:rPr>
                <w:rFonts w:hint="eastAsia" w:ascii="宋体" w:hAnsi="宋体" w:eastAsia="宋体" w:cs="宋体"/>
                <w:kern w:val="0"/>
                <w:szCs w:val="21"/>
                <w:highlight w:val="none"/>
              </w:rPr>
              <w:t>3、高性能系统存储≥100G，高性能数据存储≥200G，并支持在线扩容</w:t>
            </w:r>
          </w:p>
          <w:p w14:paraId="3642E9A6">
            <w:pPr>
              <w:snapToGrid w:val="0"/>
              <w:rPr>
                <w:rFonts w:ascii="宋体" w:hAnsi="宋体" w:eastAsia="宋体" w:cs="宋体"/>
                <w:kern w:val="0"/>
                <w:szCs w:val="21"/>
                <w:highlight w:val="none"/>
              </w:rPr>
            </w:pPr>
            <w:r>
              <w:rPr>
                <w:rFonts w:hint="eastAsia" w:ascii="宋体" w:hAnsi="宋体" w:eastAsia="宋体" w:cs="宋体"/>
                <w:kern w:val="0"/>
                <w:szCs w:val="21"/>
                <w:highlight w:val="none"/>
              </w:rPr>
              <w:t>4、支持更换系统盘类型，支持在线扩容，无需关机</w:t>
            </w:r>
          </w:p>
          <w:p w14:paraId="60172C78">
            <w:pPr>
              <w:snapToGrid w:val="0"/>
              <w:rPr>
                <w:rFonts w:ascii="宋体" w:hAnsi="宋体" w:eastAsia="宋体" w:cs="宋体"/>
                <w:kern w:val="0"/>
                <w:szCs w:val="21"/>
                <w:highlight w:val="none"/>
              </w:rPr>
            </w:pPr>
            <w:r>
              <w:rPr>
                <w:rFonts w:hint="eastAsia" w:ascii="宋体" w:hAnsi="宋体" w:eastAsia="宋体" w:cs="宋体"/>
                <w:kern w:val="0"/>
                <w:szCs w:val="21"/>
                <w:highlight w:val="none"/>
              </w:rPr>
              <w:t>5、支持回收站功能，可将已删除资源重新恢复，资源保留时长：7天</w:t>
            </w:r>
          </w:p>
          <w:p w14:paraId="05BAD2EE">
            <w:pPr>
              <w:snapToGrid w:val="0"/>
              <w:rPr>
                <w:rFonts w:ascii="宋体" w:hAnsi="宋体" w:eastAsia="宋体" w:cs="宋体"/>
                <w:kern w:val="0"/>
                <w:szCs w:val="21"/>
                <w:highlight w:val="none"/>
              </w:rPr>
            </w:pPr>
            <w:r>
              <w:rPr>
                <w:rFonts w:ascii="宋体" w:hAnsi="宋体" w:eastAsia="宋体" w:cs="宋体"/>
                <w:kern w:val="0"/>
                <w:szCs w:val="21"/>
                <w:highlight w:val="none"/>
              </w:rPr>
              <w:t>6</w:t>
            </w:r>
            <w:r>
              <w:rPr>
                <w:rFonts w:hint="eastAsia" w:ascii="宋体" w:hAnsi="宋体" w:eastAsia="宋体" w:cs="宋体"/>
                <w:kern w:val="0"/>
                <w:szCs w:val="21"/>
                <w:highlight w:val="none"/>
              </w:rPr>
              <w:t>、网络支持IPv4和IPv6</w:t>
            </w:r>
          </w:p>
        </w:tc>
        <w:tc>
          <w:tcPr>
            <w:tcW w:w="1017" w:type="dxa"/>
            <w:vAlign w:val="center"/>
          </w:tcPr>
          <w:p w14:paraId="624BFE60">
            <w:pPr>
              <w:snapToGrid w:val="0"/>
              <w:rPr>
                <w:rFonts w:ascii="宋体" w:hAnsi="宋体" w:eastAsia="宋体" w:cs="宋体"/>
                <w:kern w:val="0"/>
                <w:szCs w:val="21"/>
                <w:highlight w:val="none"/>
              </w:rPr>
            </w:pPr>
            <w:r>
              <w:rPr>
                <w:rFonts w:hint="eastAsia" w:ascii="宋体" w:hAnsi="宋体" w:eastAsia="宋体" w:cs="宋体"/>
                <w:kern w:val="0"/>
                <w:szCs w:val="21"/>
                <w:highlight w:val="none"/>
              </w:rPr>
              <w:t>2台</w:t>
            </w:r>
          </w:p>
        </w:tc>
      </w:tr>
      <w:tr w14:paraId="0599AF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04" w:type="dxa"/>
            <w:vAlign w:val="center"/>
          </w:tcPr>
          <w:p w14:paraId="42B5C4C6">
            <w:pPr>
              <w:snapToGrid w:val="0"/>
              <w:jc w:val="center"/>
              <w:rPr>
                <w:rFonts w:ascii="宋体" w:hAnsi="宋体" w:eastAsia="宋体" w:cs="宋体"/>
                <w:kern w:val="0"/>
                <w:szCs w:val="21"/>
                <w:highlight w:val="none"/>
              </w:rPr>
            </w:pPr>
            <w:r>
              <w:rPr>
                <w:rFonts w:hint="eastAsia" w:ascii="宋体" w:hAnsi="宋体" w:eastAsia="宋体" w:cs="宋体"/>
                <w:kern w:val="0"/>
                <w:szCs w:val="21"/>
                <w:highlight w:val="none"/>
              </w:rPr>
              <w:t>5</w:t>
            </w:r>
          </w:p>
        </w:tc>
        <w:tc>
          <w:tcPr>
            <w:tcW w:w="1838" w:type="dxa"/>
            <w:vAlign w:val="center"/>
          </w:tcPr>
          <w:p w14:paraId="2B0DFB9B">
            <w:pPr>
              <w:snapToGrid w:val="0"/>
              <w:jc w:val="center"/>
              <w:rPr>
                <w:rFonts w:ascii="宋体" w:hAnsi="宋体" w:eastAsia="宋体" w:cs="宋体"/>
                <w:kern w:val="0"/>
                <w:szCs w:val="21"/>
                <w:highlight w:val="none"/>
              </w:rPr>
            </w:pPr>
            <w:r>
              <w:rPr>
                <w:rFonts w:hint="eastAsia" w:ascii="宋体" w:hAnsi="宋体" w:eastAsia="宋体" w:cs="宋体"/>
                <w:kern w:val="0"/>
                <w:szCs w:val="21"/>
                <w:highlight w:val="none"/>
              </w:rPr>
              <w:t>运维服务器</w:t>
            </w:r>
          </w:p>
        </w:tc>
        <w:tc>
          <w:tcPr>
            <w:tcW w:w="1281" w:type="dxa"/>
            <w:vAlign w:val="center"/>
          </w:tcPr>
          <w:p w14:paraId="4E29FB28">
            <w:pPr>
              <w:snapToGrid w:val="0"/>
              <w:jc w:val="center"/>
              <w:rPr>
                <w:rFonts w:ascii="宋体" w:hAnsi="宋体" w:eastAsia="宋体" w:cs="宋体"/>
                <w:kern w:val="0"/>
                <w:szCs w:val="21"/>
                <w:highlight w:val="none"/>
              </w:rPr>
            </w:pPr>
            <w:r>
              <w:rPr>
                <w:rFonts w:hint="eastAsia" w:ascii="宋体" w:hAnsi="宋体" w:eastAsia="宋体" w:cs="宋体"/>
                <w:kern w:val="0"/>
                <w:szCs w:val="21"/>
                <w:highlight w:val="none"/>
              </w:rPr>
              <w:t>云主机</w:t>
            </w:r>
          </w:p>
        </w:tc>
        <w:tc>
          <w:tcPr>
            <w:tcW w:w="4110" w:type="dxa"/>
            <w:vAlign w:val="center"/>
          </w:tcPr>
          <w:p w14:paraId="3B98F1A8">
            <w:pPr>
              <w:snapToGrid w:val="0"/>
              <w:rPr>
                <w:rFonts w:ascii="宋体" w:hAnsi="宋体" w:eastAsia="宋体" w:cs="宋体"/>
                <w:kern w:val="0"/>
                <w:szCs w:val="21"/>
                <w:highlight w:val="none"/>
              </w:rPr>
            </w:pPr>
            <w:r>
              <w:rPr>
                <w:rFonts w:ascii="宋体" w:hAnsi="宋体" w:eastAsia="宋体" w:cs="宋体"/>
                <w:kern w:val="0"/>
                <w:szCs w:val="21"/>
                <w:highlight w:val="none"/>
              </w:rPr>
              <w:t>1</w:t>
            </w:r>
            <w:r>
              <w:rPr>
                <w:rFonts w:hint="eastAsia" w:ascii="宋体" w:hAnsi="宋体" w:eastAsia="宋体" w:cs="宋体"/>
                <w:kern w:val="0"/>
                <w:szCs w:val="21"/>
                <w:highlight w:val="none"/>
              </w:rPr>
              <w:t>、CPU≥4核</w:t>
            </w:r>
          </w:p>
          <w:p w14:paraId="25397B3A">
            <w:pPr>
              <w:snapToGrid w:val="0"/>
              <w:rPr>
                <w:rFonts w:ascii="宋体" w:hAnsi="宋体" w:eastAsia="宋体" w:cs="宋体"/>
                <w:kern w:val="0"/>
                <w:szCs w:val="21"/>
                <w:highlight w:val="none"/>
              </w:rPr>
            </w:pPr>
            <w:r>
              <w:rPr>
                <w:rFonts w:hint="eastAsia" w:ascii="宋体" w:hAnsi="宋体" w:eastAsia="宋体" w:cs="宋体"/>
                <w:kern w:val="0"/>
                <w:szCs w:val="21"/>
                <w:highlight w:val="none"/>
              </w:rPr>
              <w:t>2、内存≥8G</w:t>
            </w:r>
          </w:p>
          <w:p w14:paraId="45FB1714">
            <w:pPr>
              <w:snapToGrid w:val="0"/>
              <w:rPr>
                <w:rFonts w:ascii="宋体" w:hAnsi="宋体" w:eastAsia="宋体" w:cs="宋体"/>
                <w:kern w:val="0"/>
                <w:szCs w:val="21"/>
                <w:highlight w:val="none"/>
              </w:rPr>
            </w:pPr>
            <w:r>
              <w:rPr>
                <w:rFonts w:hint="eastAsia" w:ascii="宋体" w:hAnsi="宋体" w:eastAsia="宋体" w:cs="宋体"/>
                <w:kern w:val="0"/>
                <w:szCs w:val="21"/>
                <w:highlight w:val="none"/>
              </w:rPr>
              <w:t>3、高性能系统存储≥100G，高性能数据存储≥200G，并支持在线扩容</w:t>
            </w:r>
          </w:p>
          <w:p w14:paraId="7B9C6A68">
            <w:pPr>
              <w:snapToGrid w:val="0"/>
              <w:rPr>
                <w:rFonts w:ascii="宋体" w:hAnsi="宋体" w:eastAsia="宋体" w:cs="宋体"/>
                <w:kern w:val="0"/>
                <w:szCs w:val="21"/>
                <w:highlight w:val="none"/>
              </w:rPr>
            </w:pPr>
            <w:r>
              <w:rPr>
                <w:rFonts w:hint="eastAsia" w:ascii="宋体" w:hAnsi="宋体" w:eastAsia="宋体" w:cs="宋体"/>
                <w:kern w:val="0"/>
                <w:szCs w:val="21"/>
                <w:highlight w:val="none"/>
              </w:rPr>
              <w:t>4、支持更换系统盘类型，支持在线扩容，无需关机</w:t>
            </w:r>
          </w:p>
          <w:p w14:paraId="1932E6DF">
            <w:pPr>
              <w:snapToGrid w:val="0"/>
              <w:rPr>
                <w:rFonts w:ascii="宋体" w:hAnsi="宋体" w:eastAsia="宋体" w:cs="宋体"/>
                <w:kern w:val="0"/>
                <w:szCs w:val="21"/>
                <w:highlight w:val="none"/>
              </w:rPr>
            </w:pPr>
            <w:r>
              <w:rPr>
                <w:rFonts w:hint="eastAsia" w:ascii="宋体" w:hAnsi="宋体" w:eastAsia="宋体" w:cs="宋体"/>
                <w:kern w:val="0"/>
                <w:szCs w:val="21"/>
                <w:highlight w:val="none"/>
              </w:rPr>
              <w:t>5、支持回收站功能，可将已删除资源重新恢复，资源保留时长：7天</w:t>
            </w:r>
          </w:p>
          <w:p w14:paraId="50186A86">
            <w:pPr>
              <w:snapToGrid w:val="0"/>
              <w:rPr>
                <w:rFonts w:ascii="宋体" w:hAnsi="宋体" w:eastAsia="宋体" w:cs="宋体"/>
                <w:kern w:val="0"/>
                <w:szCs w:val="21"/>
                <w:highlight w:val="none"/>
              </w:rPr>
            </w:pPr>
            <w:r>
              <w:rPr>
                <w:rFonts w:ascii="宋体" w:hAnsi="宋体" w:eastAsia="宋体" w:cs="宋体"/>
                <w:kern w:val="0"/>
                <w:szCs w:val="21"/>
                <w:highlight w:val="none"/>
              </w:rPr>
              <w:t>6</w:t>
            </w:r>
            <w:r>
              <w:rPr>
                <w:rFonts w:hint="eastAsia" w:ascii="宋体" w:hAnsi="宋体" w:eastAsia="宋体" w:cs="宋体"/>
                <w:kern w:val="0"/>
                <w:szCs w:val="21"/>
                <w:highlight w:val="none"/>
              </w:rPr>
              <w:t>、网络支持IPv4和IPv6</w:t>
            </w:r>
          </w:p>
        </w:tc>
        <w:tc>
          <w:tcPr>
            <w:tcW w:w="1017" w:type="dxa"/>
            <w:vAlign w:val="center"/>
          </w:tcPr>
          <w:p w14:paraId="21956EFC">
            <w:pPr>
              <w:snapToGrid w:val="0"/>
              <w:rPr>
                <w:rFonts w:ascii="宋体" w:hAnsi="宋体" w:eastAsia="宋体" w:cs="宋体"/>
                <w:kern w:val="0"/>
                <w:szCs w:val="21"/>
                <w:highlight w:val="none"/>
              </w:rPr>
            </w:pPr>
            <w:r>
              <w:rPr>
                <w:rFonts w:hint="eastAsia" w:ascii="宋体" w:hAnsi="宋体" w:eastAsia="宋体" w:cs="宋体"/>
                <w:kern w:val="0"/>
                <w:szCs w:val="21"/>
                <w:highlight w:val="none"/>
              </w:rPr>
              <w:t>1台</w:t>
            </w:r>
          </w:p>
        </w:tc>
      </w:tr>
      <w:tr w14:paraId="7B851B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04" w:type="dxa"/>
            <w:vAlign w:val="center"/>
          </w:tcPr>
          <w:p w14:paraId="3D487244">
            <w:pPr>
              <w:snapToGrid w:val="0"/>
              <w:jc w:val="center"/>
              <w:rPr>
                <w:rFonts w:ascii="宋体" w:hAnsi="宋体" w:eastAsia="宋体" w:cs="宋体"/>
                <w:kern w:val="0"/>
                <w:szCs w:val="21"/>
                <w:highlight w:val="none"/>
              </w:rPr>
            </w:pPr>
            <w:r>
              <w:rPr>
                <w:rFonts w:hint="eastAsia" w:ascii="宋体" w:hAnsi="宋体" w:eastAsia="宋体" w:cs="宋体"/>
                <w:kern w:val="0"/>
                <w:szCs w:val="21"/>
                <w:highlight w:val="none"/>
              </w:rPr>
              <w:t>6</w:t>
            </w:r>
          </w:p>
        </w:tc>
        <w:tc>
          <w:tcPr>
            <w:tcW w:w="1838" w:type="dxa"/>
            <w:vAlign w:val="center"/>
          </w:tcPr>
          <w:p w14:paraId="022531AD">
            <w:pPr>
              <w:snapToGrid w:val="0"/>
              <w:jc w:val="center"/>
              <w:rPr>
                <w:rFonts w:ascii="宋体" w:hAnsi="宋体" w:eastAsia="宋体" w:cs="宋体"/>
                <w:kern w:val="0"/>
                <w:szCs w:val="21"/>
                <w:highlight w:val="none"/>
              </w:rPr>
            </w:pPr>
            <w:r>
              <w:rPr>
                <w:rFonts w:hint="eastAsia" w:ascii="宋体" w:hAnsi="宋体" w:eastAsia="宋体" w:cs="宋体"/>
                <w:kern w:val="0"/>
                <w:szCs w:val="21"/>
                <w:highlight w:val="none"/>
              </w:rPr>
              <w:t>裸金属服务器</w:t>
            </w:r>
          </w:p>
        </w:tc>
        <w:tc>
          <w:tcPr>
            <w:tcW w:w="1281" w:type="dxa"/>
            <w:vAlign w:val="center"/>
          </w:tcPr>
          <w:p w14:paraId="2211FB5F">
            <w:pPr>
              <w:snapToGrid w:val="0"/>
              <w:jc w:val="center"/>
              <w:rPr>
                <w:rFonts w:ascii="宋体" w:hAnsi="宋体" w:eastAsia="宋体" w:cs="宋体"/>
                <w:kern w:val="0"/>
                <w:szCs w:val="21"/>
                <w:highlight w:val="none"/>
              </w:rPr>
            </w:pPr>
            <w:r>
              <w:rPr>
                <w:rFonts w:hint="eastAsia" w:ascii="宋体" w:hAnsi="宋体" w:eastAsia="宋体" w:cs="宋体"/>
                <w:kern w:val="0"/>
                <w:szCs w:val="21"/>
                <w:highlight w:val="none"/>
              </w:rPr>
              <w:t>云主机</w:t>
            </w:r>
          </w:p>
        </w:tc>
        <w:tc>
          <w:tcPr>
            <w:tcW w:w="4110" w:type="dxa"/>
            <w:vAlign w:val="center"/>
          </w:tcPr>
          <w:p w14:paraId="0BCA70DB">
            <w:pPr>
              <w:snapToGrid w:val="0"/>
              <w:rPr>
                <w:rFonts w:ascii="宋体" w:hAnsi="宋体" w:eastAsia="宋体" w:cs="宋体"/>
                <w:kern w:val="0"/>
                <w:szCs w:val="21"/>
                <w:highlight w:val="none"/>
              </w:rPr>
            </w:pPr>
            <w:r>
              <w:rPr>
                <w:rFonts w:ascii="宋体" w:hAnsi="宋体" w:eastAsia="宋体" w:cs="宋体"/>
                <w:kern w:val="0"/>
                <w:szCs w:val="21"/>
                <w:highlight w:val="none"/>
              </w:rPr>
              <w:t>1</w:t>
            </w:r>
            <w:r>
              <w:rPr>
                <w:rFonts w:hint="eastAsia" w:ascii="宋体" w:hAnsi="宋体" w:eastAsia="宋体" w:cs="宋体"/>
                <w:kern w:val="0"/>
                <w:szCs w:val="21"/>
                <w:highlight w:val="none"/>
              </w:rPr>
              <w:t>、每台提供不少于</w:t>
            </w:r>
            <w:r>
              <w:rPr>
                <w:rFonts w:ascii="宋体" w:hAnsi="宋体" w:eastAsia="宋体" w:cs="宋体"/>
                <w:kern w:val="0"/>
                <w:szCs w:val="21"/>
                <w:highlight w:val="none"/>
              </w:rPr>
              <w:t>2颗CPU，每颗CPU主频不低于2.1GHz，物理核数不少于20核</w:t>
            </w:r>
          </w:p>
          <w:p w14:paraId="4E0BC8F1">
            <w:pPr>
              <w:snapToGrid w:val="0"/>
              <w:rPr>
                <w:rFonts w:ascii="宋体" w:hAnsi="宋体" w:eastAsia="宋体" w:cs="宋体"/>
                <w:kern w:val="0"/>
                <w:szCs w:val="21"/>
                <w:highlight w:val="none"/>
              </w:rPr>
            </w:pPr>
            <w:r>
              <w:rPr>
                <w:rFonts w:ascii="宋体" w:hAnsi="宋体" w:eastAsia="宋体" w:cs="宋体"/>
                <w:kern w:val="0"/>
                <w:szCs w:val="21"/>
                <w:highlight w:val="none"/>
              </w:rPr>
              <w:t>2</w:t>
            </w:r>
            <w:r>
              <w:rPr>
                <w:rFonts w:hint="eastAsia" w:ascii="宋体" w:hAnsi="宋体" w:eastAsia="宋体" w:cs="宋体"/>
                <w:kern w:val="0"/>
                <w:szCs w:val="21"/>
                <w:highlight w:val="none"/>
              </w:rPr>
              <w:t>、内存≥384G，内存类型：</w:t>
            </w:r>
            <w:r>
              <w:rPr>
                <w:rFonts w:ascii="宋体" w:hAnsi="宋体" w:eastAsia="宋体" w:cs="宋体"/>
                <w:kern w:val="0"/>
                <w:szCs w:val="21"/>
                <w:highlight w:val="none"/>
              </w:rPr>
              <w:t>DDR4或更高版本，频率≥</w:t>
            </w:r>
            <w:r>
              <w:rPr>
                <w:rFonts w:hint="eastAsia" w:ascii="宋体" w:hAnsi="宋体" w:eastAsia="宋体" w:cs="宋体"/>
                <w:kern w:val="0"/>
                <w:szCs w:val="21"/>
                <w:highlight w:val="none"/>
                <w:lang w:val="en-US" w:eastAsia="zh-CN"/>
              </w:rPr>
              <w:t>2900</w:t>
            </w:r>
            <w:r>
              <w:rPr>
                <w:rFonts w:ascii="宋体" w:hAnsi="宋体" w:eastAsia="宋体" w:cs="宋体"/>
                <w:kern w:val="0"/>
                <w:szCs w:val="21"/>
                <w:highlight w:val="none"/>
              </w:rPr>
              <w:t>MHz</w:t>
            </w:r>
          </w:p>
          <w:p w14:paraId="3BEF3260">
            <w:pPr>
              <w:snapToGrid w:val="0"/>
              <w:rPr>
                <w:rFonts w:ascii="宋体" w:hAnsi="宋体" w:eastAsia="宋体" w:cs="宋体"/>
                <w:kern w:val="0"/>
                <w:szCs w:val="21"/>
                <w:highlight w:val="none"/>
              </w:rPr>
            </w:pPr>
            <w:r>
              <w:rPr>
                <w:rFonts w:hint="eastAsia" w:ascii="宋体" w:hAnsi="宋体" w:eastAsia="宋体" w:cs="宋体"/>
                <w:kern w:val="0"/>
                <w:szCs w:val="21"/>
                <w:highlight w:val="none"/>
              </w:rPr>
              <w:t>3、≥</w:t>
            </w:r>
            <w:r>
              <w:rPr>
                <w:rFonts w:ascii="宋体" w:hAnsi="宋体" w:eastAsia="宋体" w:cs="宋体"/>
                <w:kern w:val="0"/>
                <w:szCs w:val="21"/>
                <w:highlight w:val="none"/>
              </w:rPr>
              <w:t>2块SSD，单块容量≥480GB，接口类型：SATA或更优</w:t>
            </w:r>
          </w:p>
          <w:p w14:paraId="09FB562A">
            <w:pPr>
              <w:snapToGrid w:val="0"/>
              <w:rPr>
                <w:rFonts w:ascii="宋体" w:hAnsi="宋体" w:eastAsia="宋体" w:cs="宋体"/>
                <w:kern w:val="0"/>
                <w:szCs w:val="21"/>
                <w:highlight w:val="none"/>
              </w:rPr>
            </w:pPr>
            <w:r>
              <w:rPr>
                <w:rFonts w:hint="eastAsia" w:ascii="宋体" w:hAnsi="宋体" w:eastAsia="宋体" w:cs="宋体"/>
                <w:kern w:val="0"/>
                <w:szCs w:val="21"/>
                <w:highlight w:val="none"/>
              </w:rPr>
              <w:t>4、≥</w:t>
            </w:r>
            <w:r>
              <w:rPr>
                <w:rFonts w:ascii="宋体" w:hAnsi="宋体" w:eastAsia="宋体" w:cs="宋体"/>
                <w:kern w:val="0"/>
                <w:szCs w:val="21"/>
                <w:highlight w:val="none"/>
              </w:rPr>
              <w:t>14块SSD，单块容量≥1.92TB，接口类型：SATA或更优</w:t>
            </w:r>
          </w:p>
          <w:p w14:paraId="5895693C">
            <w:pPr>
              <w:snapToGrid w:val="0"/>
              <w:rPr>
                <w:rFonts w:ascii="宋体" w:hAnsi="宋体" w:eastAsia="宋体" w:cs="宋体"/>
                <w:kern w:val="0"/>
                <w:szCs w:val="21"/>
                <w:highlight w:val="none"/>
              </w:rPr>
            </w:pPr>
            <w:r>
              <w:rPr>
                <w:rFonts w:ascii="宋体" w:hAnsi="宋体" w:eastAsia="宋体" w:cs="宋体"/>
                <w:kern w:val="0"/>
                <w:szCs w:val="21"/>
                <w:highlight w:val="none"/>
              </w:rPr>
              <w:t>5</w:t>
            </w:r>
            <w:r>
              <w:rPr>
                <w:rFonts w:hint="eastAsia" w:ascii="宋体" w:hAnsi="宋体" w:eastAsia="宋体" w:cs="宋体"/>
                <w:kern w:val="0"/>
                <w:szCs w:val="21"/>
                <w:highlight w:val="none"/>
              </w:rPr>
              <w:t>、支持紧急登录，用户在某些紧急情况下远程访问系统</w:t>
            </w:r>
          </w:p>
          <w:p w14:paraId="608C1C4E">
            <w:pPr>
              <w:snapToGrid w:val="0"/>
              <w:rPr>
                <w:rFonts w:ascii="宋体" w:hAnsi="宋体" w:eastAsia="宋体" w:cs="宋体"/>
                <w:szCs w:val="21"/>
                <w:highlight w:val="none"/>
              </w:rPr>
            </w:pPr>
            <w:r>
              <w:rPr>
                <w:rFonts w:ascii="宋体" w:hAnsi="宋体" w:eastAsia="宋体" w:cs="宋体"/>
                <w:kern w:val="0"/>
                <w:szCs w:val="21"/>
                <w:highlight w:val="none"/>
              </w:rPr>
              <w:t>6</w:t>
            </w:r>
            <w:r>
              <w:rPr>
                <w:rFonts w:hint="eastAsia" w:ascii="宋体" w:hAnsi="宋体" w:eastAsia="宋体" w:cs="宋体"/>
                <w:kern w:val="0"/>
                <w:szCs w:val="21"/>
                <w:highlight w:val="none"/>
              </w:rPr>
              <w:t>、支持创建后配置密码</w:t>
            </w:r>
          </w:p>
        </w:tc>
        <w:tc>
          <w:tcPr>
            <w:tcW w:w="1017" w:type="dxa"/>
            <w:vAlign w:val="center"/>
          </w:tcPr>
          <w:p w14:paraId="19A13718">
            <w:pPr>
              <w:snapToGrid w:val="0"/>
              <w:rPr>
                <w:rFonts w:ascii="宋体" w:hAnsi="宋体" w:eastAsia="宋体" w:cs="宋体"/>
                <w:kern w:val="0"/>
                <w:szCs w:val="21"/>
                <w:highlight w:val="none"/>
              </w:rPr>
            </w:pPr>
            <w:r>
              <w:rPr>
                <w:rFonts w:hint="eastAsia" w:ascii="宋体" w:hAnsi="宋体" w:eastAsia="宋体" w:cs="宋体"/>
                <w:kern w:val="0"/>
                <w:szCs w:val="21"/>
                <w:highlight w:val="none"/>
              </w:rPr>
              <w:t>2台</w:t>
            </w:r>
          </w:p>
        </w:tc>
      </w:tr>
      <w:tr w14:paraId="294A2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04" w:type="dxa"/>
            <w:vAlign w:val="center"/>
          </w:tcPr>
          <w:p w14:paraId="2C52CDC2">
            <w:pPr>
              <w:snapToGrid w:val="0"/>
              <w:jc w:val="center"/>
              <w:rPr>
                <w:rFonts w:ascii="宋体" w:hAnsi="宋体" w:eastAsia="宋体" w:cs="宋体"/>
                <w:kern w:val="0"/>
                <w:szCs w:val="21"/>
                <w:highlight w:val="none"/>
              </w:rPr>
            </w:pPr>
            <w:r>
              <w:rPr>
                <w:rFonts w:hint="eastAsia" w:ascii="宋体" w:hAnsi="宋体" w:eastAsia="宋体" w:cs="宋体"/>
                <w:kern w:val="0"/>
                <w:szCs w:val="21"/>
                <w:highlight w:val="none"/>
              </w:rPr>
              <w:t>7</w:t>
            </w:r>
          </w:p>
        </w:tc>
        <w:tc>
          <w:tcPr>
            <w:tcW w:w="1838" w:type="dxa"/>
            <w:vAlign w:val="center"/>
          </w:tcPr>
          <w:p w14:paraId="5BD962C3">
            <w:pPr>
              <w:snapToGrid w:val="0"/>
              <w:jc w:val="center"/>
              <w:rPr>
                <w:rFonts w:ascii="宋体" w:hAnsi="宋体" w:eastAsia="宋体" w:cs="宋体"/>
                <w:kern w:val="0"/>
                <w:szCs w:val="21"/>
                <w:highlight w:val="none"/>
              </w:rPr>
            </w:pPr>
            <w:r>
              <w:rPr>
                <w:rFonts w:hint="eastAsia" w:ascii="宋体" w:hAnsi="宋体" w:eastAsia="宋体" w:cs="宋体"/>
                <w:kern w:val="0"/>
                <w:szCs w:val="21"/>
                <w:highlight w:val="none"/>
              </w:rPr>
              <w:t>云存储</w:t>
            </w:r>
          </w:p>
        </w:tc>
        <w:tc>
          <w:tcPr>
            <w:tcW w:w="1281" w:type="dxa"/>
            <w:vAlign w:val="center"/>
          </w:tcPr>
          <w:p w14:paraId="55D2B3F7">
            <w:pPr>
              <w:snapToGrid w:val="0"/>
              <w:jc w:val="center"/>
              <w:rPr>
                <w:rFonts w:ascii="宋体" w:hAnsi="宋体" w:eastAsia="宋体" w:cs="宋体"/>
                <w:kern w:val="0"/>
                <w:szCs w:val="21"/>
                <w:highlight w:val="none"/>
              </w:rPr>
            </w:pPr>
            <w:r>
              <w:rPr>
                <w:rFonts w:hint="eastAsia" w:ascii="宋体" w:hAnsi="宋体" w:eastAsia="宋体" w:cs="宋体"/>
                <w:kern w:val="0"/>
                <w:szCs w:val="21"/>
                <w:highlight w:val="none"/>
              </w:rPr>
              <w:t>云硬盘</w:t>
            </w:r>
          </w:p>
        </w:tc>
        <w:tc>
          <w:tcPr>
            <w:tcW w:w="4110" w:type="dxa"/>
            <w:vAlign w:val="center"/>
          </w:tcPr>
          <w:p w14:paraId="3D463514">
            <w:pPr>
              <w:snapToGrid w:val="0"/>
              <w:rPr>
                <w:rFonts w:ascii="宋体" w:hAnsi="宋体" w:eastAsia="宋体" w:cs="宋体"/>
                <w:kern w:val="0"/>
                <w:szCs w:val="21"/>
                <w:highlight w:val="none"/>
              </w:rPr>
            </w:pPr>
            <w:r>
              <w:rPr>
                <w:rFonts w:hint="eastAsia" w:ascii="宋体" w:hAnsi="宋体" w:eastAsia="宋体" w:cs="宋体"/>
                <w:kern w:val="0"/>
                <w:szCs w:val="21"/>
                <w:highlight w:val="none"/>
              </w:rPr>
              <w:t>1、</w:t>
            </w:r>
            <w:r>
              <w:rPr>
                <w:rFonts w:hint="eastAsia" w:ascii="宋体" w:hAnsi="宋体" w:eastAsia="宋体" w:cs="宋体"/>
                <w:kern w:val="0"/>
                <w:szCs w:val="21"/>
                <w:highlight w:val="none"/>
              </w:rPr>
              <w:t>超高IO存储≥20TB</w:t>
            </w:r>
            <w:r>
              <w:rPr>
                <w:rFonts w:hint="eastAsia" w:ascii="宋体" w:hAnsi="宋体" w:eastAsia="宋体" w:cs="宋体"/>
                <w:kern w:val="0"/>
                <w:szCs w:val="21"/>
                <w:highlight w:val="none"/>
              </w:rPr>
              <w:t>，单盘最大IOPS≥20000，单盘最大吞吐量≥350MB/s</w:t>
            </w:r>
          </w:p>
          <w:p w14:paraId="7A01A5A1">
            <w:pPr>
              <w:snapToGrid w:val="0"/>
              <w:rPr>
                <w:rFonts w:ascii="宋体" w:hAnsi="宋体" w:eastAsia="宋体" w:cs="宋体"/>
                <w:kern w:val="0"/>
                <w:szCs w:val="21"/>
                <w:highlight w:val="none"/>
              </w:rPr>
            </w:pPr>
            <w:r>
              <w:rPr>
                <w:rFonts w:hint="eastAsia" w:ascii="宋体" w:hAnsi="宋体" w:eastAsia="宋体" w:cs="宋体"/>
                <w:kern w:val="0"/>
                <w:szCs w:val="21"/>
                <w:highlight w:val="none"/>
              </w:rPr>
              <w:t>2、支持云硬盘的创建和删除，挂载与卸载</w:t>
            </w:r>
          </w:p>
          <w:p w14:paraId="2B80CDB1">
            <w:pPr>
              <w:snapToGrid w:val="0"/>
              <w:rPr>
                <w:rFonts w:ascii="宋体" w:hAnsi="宋体" w:eastAsia="宋体" w:cs="宋体"/>
                <w:kern w:val="0"/>
                <w:szCs w:val="21"/>
                <w:highlight w:val="none"/>
              </w:rPr>
            </w:pPr>
            <w:r>
              <w:rPr>
                <w:rFonts w:hint="eastAsia" w:ascii="宋体" w:hAnsi="宋体" w:eastAsia="宋体" w:cs="宋体"/>
                <w:kern w:val="0"/>
                <w:szCs w:val="21"/>
                <w:highlight w:val="none"/>
              </w:rPr>
              <w:t>3、支持在删除云硬盘时选择放入回收站中保存，以防止误操作导致的数据丢失。保留云盘时长：7天。</w:t>
            </w:r>
          </w:p>
          <w:p w14:paraId="7A0619DB">
            <w:pPr>
              <w:snapToGrid w:val="0"/>
              <w:rPr>
                <w:rFonts w:ascii="宋体" w:hAnsi="宋体" w:eastAsia="宋体" w:cs="宋体"/>
                <w:kern w:val="0"/>
                <w:szCs w:val="21"/>
                <w:highlight w:val="none"/>
              </w:rPr>
            </w:pPr>
            <w:r>
              <w:rPr>
                <w:rFonts w:hint="eastAsia" w:ascii="宋体" w:hAnsi="宋体" w:eastAsia="宋体" w:cs="宋体"/>
                <w:kern w:val="0"/>
                <w:szCs w:val="21"/>
                <w:highlight w:val="none"/>
              </w:rPr>
              <w:t>4、支持创建共享盘，支持云主机或裸金属服务器的共享盘</w:t>
            </w:r>
          </w:p>
          <w:p w14:paraId="2ECA8E96">
            <w:pPr>
              <w:snapToGrid w:val="0"/>
              <w:rPr>
                <w:rFonts w:ascii="宋体" w:hAnsi="宋体" w:eastAsia="宋体" w:cs="宋体"/>
                <w:kern w:val="0"/>
                <w:szCs w:val="21"/>
                <w:highlight w:val="none"/>
              </w:rPr>
            </w:pPr>
            <w:r>
              <w:rPr>
                <w:rFonts w:ascii="宋体" w:hAnsi="宋体" w:eastAsia="宋体" w:cs="宋体"/>
                <w:kern w:val="0"/>
                <w:szCs w:val="21"/>
                <w:highlight w:val="none"/>
              </w:rPr>
              <w:t>5</w:t>
            </w:r>
            <w:r>
              <w:rPr>
                <w:rFonts w:hint="eastAsia" w:ascii="宋体" w:hAnsi="宋体" w:eastAsia="宋体" w:cs="宋体"/>
                <w:kern w:val="0"/>
                <w:szCs w:val="21"/>
                <w:highlight w:val="none"/>
              </w:rPr>
              <w:t>、支持加密</w:t>
            </w:r>
          </w:p>
        </w:tc>
        <w:tc>
          <w:tcPr>
            <w:tcW w:w="1017" w:type="dxa"/>
            <w:vAlign w:val="center"/>
          </w:tcPr>
          <w:p w14:paraId="7FAACA33">
            <w:pPr>
              <w:snapToGrid w:val="0"/>
              <w:rPr>
                <w:rFonts w:ascii="宋体" w:hAnsi="宋体" w:eastAsia="宋体" w:cs="宋体"/>
                <w:kern w:val="0"/>
                <w:szCs w:val="21"/>
                <w:highlight w:val="none"/>
              </w:rPr>
            </w:pPr>
            <w:r>
              <w:rPr>
                <w:rFonts w:hint="eastAsia" w:ascii="宋体" w:hAnsi="宋体" w:eastAsia="宋体" w:cs="宋体"/>
                <w:kern w:val="0"/>
                <w:szCs w:val="21"/>
                <w:highlight w:val="none"/>
              </w:rPr>
              <w:t>1个</w:t>
            </w:r>
          </w:p>
        </w:tc>
      </w:tr>
      <w:tr w14:paraId="749E80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04" w:type="dxa"/>
            <w:vAlign w:val="center"/>
          </w:tcPr>
          <w:p w14:paraId="57E6A501">
            <w:pPr>
              <w:snapToGrid w:val="0"/>
              <w:jc w:val="center"/>
              <w:rPr>
                <w:rFonts w:ascii="宋体" w:hAnsi="宋体" w:eastAsia="宋体" w:cs="宋体"/>
                <w:kern w:val="0"/>
                <w:szCs w:val="21"/>
                <w:highlight w:val="none"/>
              </w:rPr>
            </w:pPr>
            <w:r>
              <w:rPr>
                <w:rFonts w:hint="eastAsia" w:ascii="宋体" w:hAnsi="宋体" w:eastAsia="宋体" w:cs="宋体"/>
                <w:kern w:val="0"/>
                <w:szCs w:val="21"/>
                <w:highlight w:val="none"/>
              </w:rPr>
              <w:t>8</w:t>
            </w:r>
          </w:p>
        </w:tc>
        <w:tc>
          <w:tcPr>
            <w:tcW w:w="1838" w:type="dxa"/>
            <w:vAlign w:val="center"/>
          </w:tcPr>
          <w:p w14:paraId="601BE8AE">
            <w:pPr>
              <w:snapToGrid w:val="0"/>
              <w:jc w:val="center"/>
              <w:rPr>
                <w:rFonts w:ascii="宋体" w:hAnsi="宋体" w:eastAsia="宋体" w:cs="宋体"/>
                <w:kern w:val="0"/>
                <w:szCs w:val="21"/>
                <w:highlight w:val="none"/>
              </w:rPr>
            </w:pPr>
            <w:r>
              <w:rPr>
                <w:rFonts w:hint="eastAsia" w:ascii="宋体" w:hAnsi="宋体" w:eastAsia="宋体" w:cs="宋体"/>
                <w:kern w:val="0"/>
                <w:szCs w:val="21"/>
                <w:highlight w:val="none"/>
              </w:rPr>
              <w:t>云存储</w:t>
            </w:r>
          </w:p>
        </w:tc>
        <w:tc>
          <w:tcPr>
            <w:tcW w:w="1281" w:type="dxa"/>
            <w:vAlign w:val="center"/>
          </w:tcPr>
          <w:p w14:paraId="744D7836">
            <w:pPr>
              <w:snapToGrid w:val="0"/>
              <w:jc w:val="center"/>
              <w:rPr>
                <w:rFonts w:ascii="宋体" w:hAnsi="宋体" w:eastAsia="宋体" w:cs="宋体"/>
                <w:kern w:val="0"/>
                <w:szCs w:val="21"/>
                <w:highlight w:val="none"/>
              </w:rPr>
            </w:pPr>
            <w:r>
              <w:rPr>
                <w:rFonts w:hint="eastAsia" w:ascii="宋体" w:hAnsi="宋体" w:eastAsia="宋体" w:cs="宋体"/>
                <w:kern w:val="0"/>
                <w:szCs w:val="21"/>
                <w:highlight w:val="none"/>
              </w:rPr>
              <w:t>云硬盘</w:t>
            </w:r>
          </w:p>
        </w:tc>
        <w:tc>
          <w:tcPr>
            <w:tcW w:w="4110" w:type="dxa"/>
            <w:vAlign w:val="center"/>
          </w:tcPr>
          <w:p w14:paraId="27DC5F83">
            <w:pPr>
              <w:snapToGrid w:val="0"/>
              <w:jc w:val="left"/>
              <w:rPr>
                <w:rFonts w:ascii="宋体" w:hAnsi="宋体" w:eastAsia="宋体" w:cs="宋体"/>
                <w:kern w:val="0"/>
                <w:szCs w:val="21"/>
                <w:highlight w:val="none"/>
              </w:rPr>
            </w:pPr>
            <w:r>
              <w:rPr>
                <w:rFonts w:hint="eastAsia" w:ascii="宋体" w:hAnsi="宋体" w:eastAsia="宋体" w:cs="宋体"/>
                <w:kern w:val="0"/>
                <w:szCs w:val="21"/>
                <w:highlight w:val="none"/>
              </w:rPr>
              <w:t>1、超高IO存储≥5000GB，单盘最大IOPS≥20000，单盘最大吞吐量≥350MB/s</w:t>
            </w:r>
          </w:p>
          <w:p w14:paraId="4AC133E5">
            <w:pPr>
              <w:snapToGrid w:val="0"/>
              <w:jc w:val="left"/>
              <w:rPr>
                <w:rFonts w:ascii="宋体" w:hAnsi="宋体" w:eastAsia="宋体" w:cs="宋体"/>
                <w:kern w:val="0"/>
                <w:szCs w:val="21"/>
                <w:highlight w:val="none"/>
              </w:rPr>
            </w:pPr>
            <w:r>
              <w:rPr>
                <w:rFonts w:hint="eastAsia" w:ascii="宋体" w:hAnsi="宋体" w:eastAsia="宋体" w:cs="宋体"/>
                <w:kern w:val="0"/>
                <w:szCs w:val="21"/>
                <w:highlight w:val="none"/>
              </w:rPr>
              <w:t>2、支持云硬盘的创建和删除，挂载与卸载</w:t>
            </w:r>
          </w:p>
          <w:p w14:paraId="0A08E642">
            <w:pPr>
              <w:snapToGrid w:val="0"/>
              <w:jc w:val="left"/>
              <w:rPr>
                <w:rFonts w:ascii="宋体" w:hAnsi="宋体" w:eastAsia="宋体" w:cs="宋体"/>
                <w:kern w:val="0"/>
                <w:szCs w:val="21"/>
                <w:highlight w:val="none"/>
              </w:rPr>
            </w:pPr>
            <w:r>
              <w:rPr>
                <w:rFonts w:hint="eastAsia" w:ascii="宋体" w:hAnsi="宋体" w:eastAsia="宋体" w:cs="宋体"/>
                <w:kern w:val="0"/>
                <w:szCs w:val="21"/>
                <w:highlight w:val="none"/>
              </w:rPr>
              <w:t>3、支持在删除云硬盘时选择放入回收站中保存，以防止误操作导致的数据丢失。保留云盘时长：7天。</w:t>
            </w:r>
          </w:p>
          <w:p w14:paraId="41165E7D">
            <w:pPr>
              <w:snapToGrid w:val="0"/>
              <w:jc w:val="left"/>
              <w:rPr>
                <w:rFonts w:ascii="宋体" w:hAnsi="宋体" w:eastAsia="宋体" w:cs="宋体"/>
                <w:kern w:val="0"/>
                <w:szCs w:val="21"/>
                <w:highlight w:val="none"/>
              </w:rPr>
            </w:pPr>
            <w:r>
              <w:rPr>
                <w:rFonts w:hint="eastAsia" w:ascii="宋体" w:hAnsi="宋体" w:eastAsia="宋体" w:cs="宋体"/>
                <w:kern w:val="0"/>
                <w:szCs w:val="21"/>
                <w:highlight w:val="none"/>
              </w:rPr>
              <w:t>4、支持创建共享盘，支持云主机或裸金属服务器的共享盘</w:t>
            </w:r>
          </w:p>
          <w:p w14:paraId="348C1202">
            <w:pPr>
              <w:snapToGrid w:val="0"/>
              <w:jc w:val="left"/>
              <w:rPr>
                <w:rFonts w:ascii="宋体" w:hAnsi="宋体" w:eastAsia="宋体" w:cs="宋体"/>
                <w:kern w:val="0"/>
                <w:szCs w:val="21"/>
                <w:highlight w:val="none"/>
              </w:rPr>
            </w:pPr>
            <w:r>
              <w:rPr>
                <w:rFonts w:hint="eastAsia" w:ascii="宋体" w:hAnsi="宋体" w:eastAsia="宋体" w:cs="宋体"/>
                <w:kern w:val="0"/>
                <w:szCs w:val="21"/>
                <w:highlight w:val="none"/>
              </w:rPr>
              <w:t>5、支持加密</w:t>
            </w:r>
          </w:p>
        </w:tc>
        <w:tc>
          <w:tcPr>
            <w:tcW w:w="1017" w:type="dxa"/>
            <w:vAlign w:val="center"/>
          </w:tcPr>
          <w:p w14:paraId="42602C20">
            <w:pPr>
              <w:snapToGrid w:val="0"/>
              <w:rPr>
                <w:rFonts w:ascii="宋体" w:hAnsi="宋体" w:eastAsia="宋体" w:cs="宋体"/>
                <w:kern w:val="0"/>
                <w:szCs w:val="21"/>
                <w:highlight w:val="none"/>
              </w:rPr>
            </w:pPr>
            <w:r>
              <w:rPr>
                <w:rFonts w:hint="eastAsia" w:ascii="宋体" w:hAnsi="宋体" w:eastAsia="宋体" w:cs="宋体"/>
                <w:kern w:val="0"/>
                <w:szCs w:val="21"/>
                <w:highlight w:val="none"/>
              </w:rPr>
              <w:t>2个</w:t>
            </w:r>
          </w:p>
        </w:tc>
      </w:tr>
      <w:tr w14:paraId="7C1409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04" w:type="dxa"/>
            <w:vAlign w:val="center"/>
          </w:tcPr>
          <w:p w14:paraId="2F6139FE">
            <w:pPr>
              <w:snapToGrid w:val="0"/>
              <w:jc w:val="center"/>
              <w:rPr>
                <w:rFonts w:ascii="宋体" w:hAnsi="宋体" w:eastAsia="宋体" w:cs="宋体"/>
                <w:kern w:val="0"/>
                <w:szCs w:val="21"/>
                <w:highlight w:val="none"/>
              </w:rPr>
            </w:pPr>
            <w:r>
              <w:rPr>
                <w:rFonts w:hint="eastAsia" w:ascii="宋体" w:hAnsi="宋体" w:eastAsia="宋体" w:cs="宋体"/>
                <w:kern w:val="0"/>
                <w:szCs w:val="21"/>
                <w:highlight w:val="none"/>
              </w:rPr>
              <w:t>9</w:t>
            </w:r>
          </w:p>
        </w:tc>
        <w:tc>
          <w:tcPr>
            <w:tcW w:w="1838" w:type="dxa"/>
            <w:vAlign w:val="center"/>
          </w:tcPr>
          <w:p w14:paraId="5F22AC5F">
            <w:pPr>
              <w:snapToGrid w:val="0"/>
              <w:jc w:val="center"/>
              <w:rPr>
                <w:rFonts w:ascii="宋体" w:hAnsi="宋体" w:eastAsia="宋体" w:cs="宋体"/>
                <w:kern w:val="0"/>
                <w:szCs w:val="21"/>
                <w:highlight w:val="none"/>
              </w:rPr>
            </w:pPr>
            <w:r>
              <w:rPr>
                <w:rFonts w:hint="eastAsia" w:ascii="宋体" w:hAnsi="宋体" w:eastAsia="宋体" w:cs="宋体"/>
                <w:kern w:val="0"/>
                <w:szCs w:val="21"/>
                <w:highlight w:val="none"/>
              </w:rPr>
              <w:t>云服务器备份</w:t>
            </w:r>
          </w:p>
        </w:tc>
        <w:tc>
          <w:tcPr>
            <w:tcW w:w="1281" w:type="dxa"/>
            <w:vAlign w:val="center"/>
          </w:tcPr>
          <w:p w14:paraId="21F22485">
            <w:pPr>
              <w:snapToGrid w:val="0"/>
              <w:jc w:val="center"/>
              <w:rPr>
                <w:rFonts w:ascii="宋体" w:hAnsi="宋体" w:eastAsia="宋体" w:cs="宋体"/>
                <w:kern w:val="0"/>
                <w:szCs w:val="21"/>
                <w:highlight w:val="none"/>
              </w:rPr>
            </w:pPr>
            <w:r>
              <w:rPr>
                <w:rFonts w:hint="eastAsia" w:ascii="宋体" w:hAnsi="宋体" w:eastAsia="宋体" w:cs="宋体"/>
                <w:kern w:val="0"/>
                <w:szCs w:val="21"/>
                <w:highlight w:val="none"/>
              </w:rPr>
              <w:t>云备份</w:t>
            </w:r>
          </w:p>
        </w:tc>
        <w:tc>
          <w:tcPr>
            <w:tcW w:w="4110" w:type="dxa"/>
            <w:vAlign w:val="center"/>
          </w:tcPr>
          <w:p w14:paraId="3B29E587">
            <w:pPr>
              <w:snapToGrid w:val="0"/>
              <w:jc w:val="left"/>
              <w:rPr>
                <w:rFonts w:ascii="宋体" w:hAnsi="宋体" w:eastAsia="宋体" w:cs="宋体"/>
                <w:kern w:val="0"/>
                <w:szCs w:val="21"/>
                <w:highlight w:val="none"/>
              </w:rPr>
            </w:pPr>
            <w:r>
              <w:rPr>
                <w:rFonts w:hint="eastAsia" w:ascii="宋体" w:hAnsi="宋体" w:eastAsia="宋体" w:cs="宋体"/>
                <w:kern w:val="0"/>
                <w:szCs w:val="21"/>
                <w:highlight w:val="none"/>
              </w:rPr>
              <w:t>云服务器备份，容量空间≥2TB</w:t>
            </w:r>
          </w:p>
          <w:p w14:paraId="486F2E02">
            <w:pPr>
              <w:snapToGrid w:val="0"/>
              <w:jc w:val="left"/>
              <w:rPr>
                <w:rFonts w:ascii="宋体" w:hAnsi="宋体" w:eastAsia="宋体" w:cs="宋体"/>
                <w:kern w:val="0"/>
                <w:szCs w:val="21"/>
                <w:highlight w:val="none"/>
              </w:rPr>
            </w:pPr>
            <w:r>
              <w:rPr>
                <w:rFonts w:hint="eastAsia" w:ascii="宋体" w:hAnsi="宋体" w:eastAsia="宋体" w:cs="宋体"/>
                <w:kern w:val="0"/>
                <w:szCs w:val="21"/>
                <w:highlight w:val="none"/>
              </w:rPr>
              <w:t>支持制定备份策略</w:t>
            </w:r>
          </w:p>
        </w:tc>
        <w:tc>
          <w:tcPr>
            <w:tcW w:w="1017" w:type="dxa"/>
            <w:vAlign w:val="center"/>
          </w:tcPr>
          <w:p w14:paraId="1CB35E22">
            <w:pPr>
              <w:snapToGrid w:val="0"/>
              <w:rPr>
                <w:rFonts w:ascii="宋体" w:hAnsi="宋体" w:eastAsia="宋体" w:cs="宋体"/>
                <w:kern w:val="0"/>
                <w:szCs w:val="21"/>
                <w:highlight w:val="none"/>
              </w:rPr>
            </w:pPr>
            <w:r>
              <w:rPr>
                <w:rFonts w:hint="eastAsia" w:ascii="宋体" w:hAnsi="宋体" w:eastAsia="宋体" w:cs="宋体"/>
                <w:kern w:val="0"/>
                <w:szCs w:val="21"/>
                <w:highlight w:val="none"/>
              </w:rPr>
              <w:t>1个</w:t>
            </w:r>
          </w:p>
        </w:tc>
      </w:tr>
      <w:tr w14:paraId="04668C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04" w:type="dxa"/>
            <w:vAlign w:val="center"/>
          </w:tcPr>
          <w:p w14:paraId="28AAEFE9">
            <w:pPr>
              <w:snapToGrid w:val="0"/>
              <w:jc w:val="center"/>
              <w:rPr>
                <w:rFonts w:ascii="宋体" w:hAnsi="宋体" w:eastAsia="宋体" w:cs="宋体"/>
                <w:kern w:val="0"/>
                <w:szCs w:val="21"/>
                <w:highlight w:val="none"/>
              </w:rPr>
            </w:pPr>
            <w:r>
              <w:rPr>
                <w:rFonts w:hint="eastAsia" w:ascii="宋体" w:hAnsi="宋体" w:eastAsia="宋体" w:cs="宋体"/>
                <w:kern w:val="0"/>
                <w:szCs w:val="21"/>
                <w:highlight w:val="none"/>
              </w:rPr>
              <w:t>10</w:t>
            </w:r>
          </w:p>
        </w:tc>
        <w:tc>
          <w:tcPr>
            <w:tcW w:w="1838" w:type="dxa"/>
            <w:vAlign w:val="center"/>
          </w:tcPr>
          <w:p w14:paraId="4866FFF8">
            <w:pPr>
              <w:snapToGrid w:val="0"/>
              <w:jc w:val="center"/>
              <w:rPr>
                <w:rFonts w:ascii="宋体" w:hAnsi="宋体" w:eastAsia="宋体" w:cs="宋体"/>
                <w:kern w:val="0"/>
                <w:szCs w:val="21"/>
                <w:highlight w:val="none"/>
              </w:rPr>
            </w:pPr>
            <w:r>
              <w:rPr>
                <w:rFonts w:hint="eastAsia" w:ascii="宋体" w:hAnsi="宋体" w:eastAsia="宋体" w:cs="宋体"/>
                <w:kern w:val="0"/>
                <w:szCs w:val="21"/>
                <w:highlight w:val="none"/>
              </w:rPr>
              <w:t>云硬盘备份</w:t>
            </w:r>
          </w:p>
        </w:tc>
        <w:tc>
          <w:tcPr>
            <w:tcW w:w="1281" w:type="dxa"/>
            <w:vAlign w:val="center"/>
          </w:tcPr>
          <w:p w14:paraId="73733CC1">
            <w:pPr>
              <w:snapToGrid w:val="0"/>
              <w:jc w:val="center"/>
              <w:rPr>
                <w:rFonts w:ascii="宋体" w:hAnsi="宋体" w:eastAsia="宋体" w:cs="宋体"/>
                <w:kern w:val="0"/>
                <w:szCs w:val="21"/>
                <w:highlight w:val="none"/>
              </w:rPr>
            </w:pPr>
            <w:r>
              <w:rPr>
                <w:rFonts w:hint="eastAsia" w:ascii="宋体" w:hAnsi="宋体" w:eastAsia="宋体" w:cs="宋体"/>
                <w:kern w:val="0"/>
                <w:szCs w:val="21"/>
                <w:highlight w:val="none"/>
              </w:rPr>
              <w:t>云备份</w:t>
            </w:r>
          </w:p>
        </w:tc>
        <w:tc>
          <w:tcPr>
            <w:tcW w:w="4110" w:type="dxa"/>
            <w:vAlign w:val="center"/>
          </w:tcPr>
          <w:p w14:paraId="0298CFDA">
            <w:pPr>
              <w:snapToGrid w:val="0"/>
              <w:jc w:val="left"/>
              <w:rPr>
                <w:rFonts w:ascii="宋体" w:hAnsi="宋体" w:eastAsia="宋体" w:cs="宋体"/>
                <w:kern w:val="0"/>
                <w:szCs w:val="21"/>
                <w:highlight w:val="none"/>
              </w:rPr>
            </w:pPr>
            <w:r>
              <w:rPr>
                <w:rFonts w:hint="eastAsia" w:ascii="宋体" w:hAnsi="宋体" w:eastAsia="宋体" w:cs="宋体"/>
                <w:kern w:val="0"/>
                <w:szCs w:val="21"/>
                <w:highlight w:val="none"/>
              </w:rPr>
              <w:t>云硬盘备份，容量空间≥2TB</w:t>
            </w:r>
          </w:p>
          <w:p w14:paraId="2DD66574">
            <w:pPr>
              <w:snapToGrid w:val="0"/>
              <w:jc w:val="left"/>
              <w:rPr>
                <w:rFonts w:ascii="宋体" w:hAnsi="宋体" w:eastAsia="宋体" w:cs="宋体"/>
                <w:kern w:val="0"/>
                <w:szCs w:val="21"/>
                <w:highlight w:val="none"/>
              </w:rPr>
            </w:pPr>
            <w:r>
              <w:rPr>
                <w:rFonts w:hint="eastAsia" w:ascii="宋体" w:hAnsi="宋体" w:eastAsia="宋体" w:cs="宋体"/>
                <w:kern w:val="0"/>
                <w:szCs w:val="21"/>
                <w:highlight w:val="none"/>
              </w:rPr>
              <w:t>支持制定备份策略</w:t>
            </w:r>
          </w:p>
        </w:tc>
        <w:tc>
          <w:tcPr>
            <w:tcW w:w="1017" w:type="dxa"/>
            <w:vAlign w:val="center"/>
          </w:tcPr>
          <w:p w14:paraId="0240426A">
            <w:pPr>
              <w:snapToGrid w:val="0"/>
              <w:rPr>
                <w:rFonts w:ascii="宋体" w:hAnsi="宋体" w:eastAsia="宋体" w:cs="宋体"/>
                <w:kern w:val="0"/>
                <w:szCs w:val="21"/>
                <w:highlight w:val="none"/>
              </w:rPr>
            </w:pPr>
            <w:r>
              <w:rPr>
                <w:rFonts w:hint="eastAsia" w:ascii="宋体" w:hAnsi="宋体" w:eastAsia="宋体" w:cs="宋体"/>
                <w:kern w:val="0"/>
                <w:szCs w:val="21"/>
                <w:highlight w:val="none"/>
              </w:rPr>
              <w:t>1个</w:t>
            </w:r>
          </w:p>
        </w:tc>
      </w:tr>
      <w:tr w14:paraId="51443F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04" w:type="dxa"/>
            <w:vAlign w:val="center"/>
          </w:tcPr>
          <w:p w14:paraId="73145C2D">
            <w:pPr>
              <w:snapToGrid w:val="0"/>
              <w:jc w:val="center"/>
              <w:rPr>
                <w:rFonts w:ascii="宋体" w:hAnsi="宋体" w:eastAsia="宋体" w:cs="宋体"/>
                <w:kern w:val="0"/>
                <w:szCs w:val="21"/>
                <w:highlight w:val="none"/>
              </w:rPr>
            </w:pPr>
            <w:r>
              <w:rPr>
                <w:rFonts w:hint="eastAsia" w:ascii="宋体" w:hAnsi="宋体" w:eastAsia="宋体" w:cs="宋体"/>
                <w:kern w:val="0"/>
                <w:szCs w:val="21"/>
                <w:highlight w:val="none"/>
              </w:rPr>
              <w:t>1</w:t>
            </w:r>
            <w:r>
              <w:rPr>
                <w:rFonts w:ascii="宋体" w:hAnsi="宋体" w:eastAsia="宋体" w:cs="宋体"/>
                <w:kern w:val="0"/>
                <w:szCs w:val="21"/>
                <w:highlight w:val="none"/>
              </w:rPr>
              <w:t>1</w:t>
            </w:r>
          </w:p>
        </w:tc>
        <w:tc>
          <w:tcPr>
            <w:tcW w:w="1838" w:type="dxa"/>
            <w:vAlign w:val="center"/>
          </w:tcPr>
          <w:p w14:paraId="6F210D40">
            <w:pPr>
              <w:snapToGrid w:val="0"/>
              <w:jc w:val="center"/>
              <w:rPr>
                <w:rFonts w:ascii="宋体" w:hAnsi="宋体" w:eastAsia="宋体" w:cs="宋体"/>
                <w:kern w:val="0"/>
                <w:szCs w:val="21"/>
                <w:highlight w:val="none"/>
              </w:rPr>
            </w:pPr>
            <w:r>
              <w:rPr>
                <w:rFonts w:hint="eastAsia" w:ascii="宋体" w:hAnsi="宋体" w:eastAsia="宋体" w:cs="宋体"/>
                <w:kern w:val="0"/>
                <w:szCs w:val="21"/>
                <w:highlight w:val="none"/>
              </w:rPr>
              <w:t>操作系统兼容</w:t>
            </w:r>
          </w:p>
        </w:tc>
        <w:tc>
          <w:tcPr>
            <w:tcW w:w="1281" w:type="dxa"/>
            <w:vAlign w:val="center"/>
          </w:tcPr>
          <w:p w14:paraId="62064776">
            <w:pPr>
              <w:snapToGrid w:val="0"/>
              <w:jc w:val="center"/>
              <w:rPr>
                <w:rFonts w:ascii="宋体" w:hAnsi="宋体" w:eastAsia="宋体" w:cs="宋体"/>
                <w:kern w:val="0"/>
                <w:szCs w:val="21"/>
                <w:highlight w:val="none"/>
              </w:rPr>
            </w:pPr>
            <w:r>
              <w:rPr>
                <w:rFonts w:hint="eastAsia" w:ascii="宋体" w:hAnsi="宋体" w:eastAsia="宋体" w:cs="宋体"/>
                <w:kern w:val="0"/>
                <w:szCs w:val="21"/>
                <w:highlight w:val="none"/>
              </w:rPr>
              <w:t>操作系统</w:t>
            </w:r>
          </w:p>
        </w:tc>
        <w:tc>
          <w:tcPr>
            <w:tcW w:w="4110" w:type="dxa"/>
            <w:vAlign w:val="center"/>
          </w:tcPr>
          <w:p w14:paraId="408CDBF5">
            <w:pPr>
              <w:snapToGrid w:val="0"/>
              <w:ind w:firstLine="420" w:firstLineChars="200"/>
              <w:jc w:val="left"/>
              <w:rPr>
                <w:rFonts w:ascii="宋体" w:hAnsi="宋体" w:eastAsia="宋体" w:cs="宋体"/>
                <w:kern w:val="0"/>
                <w:szCs w:val="21"/>
                <w:highlight w:val="none"/>
              </w:rPr>
            </w:pPr>
            <w:r>
              <w:rPr>
                <w:rFonts w:hint="eastAsia" w:ascii="宋体" w:hAnsi="宋体" w:eastAsia="宋体" w:cs="宋体"/>
                <w:kern w:val="0"/>
                <w:szCs w:val="21"/>
                <w:highlight w:val="none"/>
              </w:rPr>
              <w:t>投标方提供的云主机操作系统须与我方现有</w:t>
            </w:r>
            <w:r>
              <w:rPr>
                <w:rFonts w:ascii="宋体" w:hAnsi="宋体" w:eastAsia="宋体" w:cs="宋体"/>
                <w:kern w:val="0"/>
                <w:szCs w:val="21"/>
                <w:highlight w:val="none"/>
              </w:rPr>
              <w:t>Windows Server 2022 Datacenter 64位、CentOS 7.9 64位环境完全兼容，须确保业务系统迁移后功能完整、运行稳定，且性能指标不低于原环境；</w:t>
            </w:r>
          </w:p>
          <w:p w14:paraId="25F05369">
            <w:pPr>
              <w:snapToGrid w:val="0"/>
              <w:ind w:firstLine="420" w:firstLineChars="200"/>
              <w:jc w:val="left"/>
              <w:rPr>
                <w:rFonts w:ascii="宋体" w:hAnsi="宋体" w:eastAsia="宋体" w:cs="宋体"/>
                <w:kern w:val="0"/>
                <w:szCs w:val="21"/>
                <w:highlight w:val="none"/>
              </w:rPr>
            </w:pPr>
            <w:r>
              <w:rPr>
                <w:rFonts w:hint="eastAsia" w:ascii="宋体" w:hAnsi="宋体" w:eastAsia="宋体" w:cs="宋体"/>
                <w:kern w:val="0"/>
                <w:szCs w:val="21"/>
                <w:highlight w:val="none"/>
              </w:rPr>
              <w:t>若存在操作系统</w:t>
            </w:r>
            <w:r>
              <w:rPr>
                <w:rFonts w:ascii="宋体" w:hAnsi="宋体" w:eastAsia="宋体" w:cs="宋体"/>
                <w:kern w:val="0"/>
                <w:szCs w:val="21"/>
                <w:highlight w:val="none"/>
              </w:rPr>
              <w:t>生命周期到期情况，投标方应提供</w:t>
            </w:r>
            <w:r>
              <w:rPr>
                <w:rFonts w:hint="eastAsia" w:ascii="宋体" w:hAnsi="宋体" w:eastAsia="宋体" w:cs="宋体"/>
                <w:kern w:val="0"/>
                <w:szCs w:val="21"/>
                <w:highlight w:val="none"/>
              </w:rPr>
              <w:t>其它</w:t>
            </w:r>
            <w:r>
              <w:rPr>
                <w:rFonts w:ascii="宋体" w:hAnsi="宋体" w:eastAsia="宋体" w:cs="宋体"/>
                <w:kern w:val="0"/>
                <w:szCs w:val="21"/>
                <w:highlight w:val="none"/>
              </w:rPr>
              <w:t>兼容的长期支持版</w:t>
            </w:r>
            <w:r>
              <w:rPr>
                <w:rFonts w:hint="eastAsia" w:ascii="宋体" w:hAnsi="宋体" w:eastAsia="宋体" w:cs="宋体"/>
                <w:kern w:val="0"/>
                <w:szCs w:val="21"/>
                <w:highlight w:val="none"/>
              </w:rPr>
              <w:t>本</w:t>
            </w:r>
            <w:r>
              <w:rPr>
                <w:rFonts w:ascii="宋体" w:hAnsi="宋体" w:eastAsia="宋体" w:cs="宋体"/>
                <w:kern w:val="0"/>
                <w:szCs w:val="21"/>
                <w:highlight w:val="none"/>
              </w:rPr>
              <w:t>，并提供迁移适配技术支持，保障业务无缝迁移与持续运行。</w:t>
            </w:r>
          </w:p>
        </w:tc>
        <w:tc>
          <w:tcPr>
            <w:tcW w:w="1017" w:type="dxa"/>
            <w:vAlign w:val="center"/>
          </w:tcPr>
          <w:p w14:paraId="0FBC98F2">
            <w:pPr>
              <w:snapToGrid w:val="0"/>
              <w:rPr>
                <w:rFonts w:ascii="宋体" w:hAnsi="宋体" w:eastAsia="宋体" w:cs="宋体"/>
                <w:kern w:val="0"/>
                <w:szCs w:val="21"/>
                <w:highlight w:val="none"/>
              </w:rPr>
            </w:pPr>
            <w:r>
              <w:rPr>
                <w:rFonts w:hint="eastAsia" w:ascii="宋体" w:hAnsi="宋体" w:eastAsia="宋体" w:cs="宋体"/>
                <w:kern w:val="0"/>
                <w:szCs w:val="21"/>
                <w:highlight w:val="none"/>
              </w:rPr>
              <w:t>1项</w:t>
            </w:r>
          </w:p>
        </w:tc>
      </w:tr>
    </w:tbl>
    <w:p w14:paraId="2B1868B3">
      <w:pPr>
        <w:pStyle w:val="23"/>
        <w:spacing w:line="360" w:lineRule="auto"/>
        <w:ind w:firstLine="0" w:firstLineChars="0"/>
        <w:rPr>
          <w:rFonts w:ascii="宋体" w:hAnsi="宋体" w:eastAsia="宋体" w:cs="宋体"/>
          <w:b/>
          <w:bCs/>
          <w:sz w:val="24"/>
          <w:highlight w:val="none"/>
        </w:rPr>
      </w:pPr>
    </w:p>
    <w:p w14:paraId="72DFBA63">
      <w:pPr>
        <w:pStyle w:val="23"/>
        <w:spacing w:line="360" w:lineRule="auto"/>
        <w:ind w:firstLine="0" w:firstLineChars="0"/>
        <w:rPr>
          <w:rFonts w:ascii="宋体" w:hAnsi="宋体" w:eastAsia="宋体" w:cs="宋体"/>
          <w:b/>
          <w:bCs/>
          <w:sz w:val="24"/>
          <w:szCs w:val="21"/>
          <w:highlight w:val="none"/>
        </w:rPr>
      </w:pPr>
      <w:r>
        <w:rPr>
          <w:rFonts w:hint="eastAsia" w:ascii="宋体" w:hAnsi="宋体" w:eastAsia="宋体" w:cs="宋体"/>
          <w:b/>
          <w:bCs/>
          <w:sz w:val="24"/>
          <w:szCs w:val="21"/>
          <w:highlight w:val="none"/>
        </w:rPr>
        <w:t>（3）云安全集成产品清单</w:t>
      </w:r>
    </w:p>
    <w:p w14:paraId="0BFE6E2A">
      <w:pPr>
        <w:spacing w:line="360" w:lineRule="auto"/>
        <w:ind w:firstLine="480" w:firstLineChars="200"/>
        <w:rPr>
          <w:rFonts w:ascii="宋体" w:hAnsi="宋体" w:eastAsia="宋体" w:cs="宋体"/>
          <w:sz w:val="22"/>
          <w:szCs w:val="21"/>
          <w:highlight w:val="none"/>
        </w:rPr>
      </w:pPr>
      <w:r>
        <w:rPr>
          <w:rFonts w:hint="eastAsia" w:ascii="宋体" w:hAnsi="宋体" w:eastAsia="宋体" w:cs="宋体"/>
          <w:sz w:val="24"/>
          <w:highlight w:val="none"/>
        </w:rPr>
        <w:t>通过部署云安全平台，配套形成智慧云安全防护能力，对云主机进</w:t>
      </w:r>
      <w:r>
        <w:rPr>
          <w:rFonts w:hint="eastAsia" w:ascii="宋体" w:hAnsi="宋体" w:eastAsia="宋体" w:cs="宋体"/>
          <w:sz w:val="24"/>
          <w:highlight w:val="none"/>
        </w:rPr>
        <w:t>行安全防护。</w:t>
      </w:r>
    </w:p>
    <w:tbl>
      <w:tblPr>
        <w:tblStyle w:val="18"/>
        <w:tblW w:w="9073" w:type="dxa"/>
        <w:tblInd w:w="-4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
        <w:gridCol w:w="1842"/>
        <w:gridCol w:w="3402"/>
        <w:gridCol w:w="1276"/>
        <w:gridCol w:w="1701"/>
      </w:tblGrid>
      <w:tr w14:paraId="3C3ECC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trPr>
        <w:tc>
          <w:tcPr>
            <w:tcW w:w="852" w:type="dxa"/>
            <w:vAlign w:val="center"/>
          </w:tcPr>
          <w:p w14:paraId="47907F94">
            <w:pPr>
              <w:widowControl/>
              <w:jc w:val="center"/>
              <w:rPr>
                <w:rFonts w:ascii="宋体" w:hAnsi="宋体" w:eastAsia="宋体" w:cs="宋体"/>
                <w:kern w:val="0"/>
                <w:szCs w:val="21"/>
                <w:highlight w:val="none"/>
              </w:rPr>
            </w:pPr>
            <w:r>
              <w:rPr>
                <w:rFonts w:hint="eastAsia" w:ascii="宋体" w:hAnsi="宋体" w:eastAsia="宋体" w:cs="宋体"/>
                <w:kern w:val="0"/>
                <w:szCs w:val="21"/>
                <w:highlight w:val="none"/>
              </w:rPr>
              <w:t>序号</w:t>
            </w:r>
          </w:p>
        </w:tc>
        <w:tc>
          <w:tcPr>
            <w:tcW w:w="1842" w:type="dxa"/>
            <w:vAlign w:val="center"/>
          </w:tcPr>
          <w:p w14:paraId="569725CA">
            <w:pPr>
              <w:widowControl/>
              <w:jc w:val="center"/>
              <w:rPr>
                <w:rFonts w:ascii="宋体" w:hAnsi="宋体" w:eastAsia="宋体" w:cs="宋体"/>
                <w:kern w:val="0"/>
                <w:szCs w:val="21"/>
                <w:highlight w:val="none"/>
              </w:rPr>
            </w:pPr>
            <w:r>
              <w:rPr>
                <w:rFonts w:hint="eastAsia" w:ascii="宋体" w:hAnsi="宋体" w:eastAsia="宋体" w:cs="宋体"/>
                <w:kern w:val="0"/>
                <w:szCs w:val="21"/>
                <w:highlight w:val="none"/>
              </w:rPr>
              <w:t>产品名称</w:t>
            </w:r>
          </w:p>
        </w:tc>
        <w:tc>
          <w:tcPr>
            <w:tcW w:w="3402" w:type="dxa"/>
            <w:vAlign w:val="center"/>
          </w:tcPr>
          <w:p w14:paraId="5837DC0C">
            <w:pPr>
              <w:widowControl/>
              <w:jc w:val="center"/>
              <w:rPr>
                <w:rFonts w:ascii="宋体" w:hAnsi="宋体" w:eastAsia="宋体" w:cs="宋体"/>
                <w:kern w:val="0"/>
                <w:szCs w:val="21"/>
                <w:highlight w:val="none"/>
              </w:rPr>
            </w:pPr>
            <w:r>
              <w:rPr>
                <w:rFonts w:hint="eastAsia" w:ascii="宋体" w:hAnsi="宋体" w:eastAsia="宋体" w:cs="宋体"/>
                <w:kern w:val="0"/>
                <w:szCs w:val="21"/>
                <w:highlight w:val="none"/>
              </w:rPr>
              <w:t>产品规格</w:t>
            </w:r>
          </w:p>
        </w:tc>
        <w:tc>
          <w:tcPr>
            <w:tcW w:w="1276" w:type="dxa"/>
            <w:vAlign w:val="center"/>
          </w:tcPr>
          <w:p w14:paraId="5BEEF7CA">
            <w:pPr>
              <w:widowControl/>
              <w:jc w:val="center"/>
              <w:rPr>
                <w:rFonts w:ascii="宋体" w:hAnsi="宋体" w:eastAsia="宋体" w:cs="宋体"/>
                <w:kern w:val="0"/>
                <w:szCs w:val="21"/>
                <w:highlight w:val="none"/>
              </w:rPr>
            </w:pPr>
            <w:r>
              <w:rPr>
                <w:rFonts w:hint="eastAsia" w:ascii="宋体" w:hAnsi="宋体" w:eastAsia="宋体" w:cs="宋体"/>
                <w:kern w:val="0"/>
                <w:szCs w:val="21"/>
                <w:highlight w:val="none"/>
              </w:rPr>
              <w:t>数量（套）</w:t>
            </w:r>
          </w:p>
        </w:tc>
        <w:tc>
          <w:tcPr>
            <w:tcW w:w="1701" w:type="dxa"/>
            <w:vAlign w:val="center"/>
          </w:tcPr>
          <w:p w14:paraId="4BC103F4">
            <w:pPr>
              <w:widowControl/>
              <w:jc w:val="center"/>
              <w:rPr>
                <w:rFonts w:ascii="宋体" w:hAnsi="宋体" w:eastAsia="宋体" w:cs="宋体"/>
                <w:kern w:val="0"/>
                <w:szCs w:val="21"/>
                <w:highlight w:val="none"/>
              </w:rPr>
            </w:pPr>
            <w:r>
              <w:rPr>
                <w:rFonts w:hint="eastAsia" w:ascii="宋体" w:hAnsi="宋体" w:eastAsia="宋体" w:cs="宋体"/>
                <w:kern w:val="0"/>
                <w:szCs w:val="21"/>
                <w:highlight w:val="none"/>
              </w:rPr>
              <w:t>备注</w:t>
            </w:r>
          </w:p>
        </w:tc>
      </w:tr>
      <w:tr w14:paraId="4D6927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8" w:hRule="atLeast"/>
        </w:trPr>
        <w:tc>
          <w:tcPr>
            <w:tcW w:w="852" w:type="dxa"/>
            <w:vMerge w:val="restart"/>
            <w:vAlign w:val="center"/>
          </w:tcPr>
          <w:p w14:paraId="60F97018">
            <w:pPr>
              <w:snapToGrid w:val="0"/>
              <w:rPr>
                <w:rFonts w:ascii="宋体" w:hAnsi="宋体" w:eastAsia="宋体" w:cs="宋体"/>
                <w:kern w:val="0"/>
                <w:szCs w:val="21"/>
                <w:highlight w:val="none"/>
              </w:rPr>
            </w:pPr>
            <w:r>
              <w:rPr>
                <w:rFonts w:hint="eastAsia" w:ascii="宋体" w:hAnsi="宋体" w:eastAsia="宋体" w:cs="宋体"/>
                <w:kern w:val="0"/>
                <w:szCs w:val="21"/>
                <w:highlight w:val="none"/>
              </w:rPr>
              <w:t>1</w:t>
            </w:r>
          </w:p>
        </w:tc>
        <w:tc>
          <w:tcPr>
            <w:tcW w:w="1842" w:type="dxa"/>
            <w:vMerge w:val="restart"/>
            <w:vAlign w:val="center"/>
          </w:tcPr>
          <w:p w14:paraId="3ED574BC">
            <w:pPr>
              <w:snapToGrid w:val="0"/>
              <w:jc w:val="center"/>
              <w:rPr>
                <w:rFonts w:ascii="宋体" w:hAnsi="宋体" w:eastAsia="宋体" w:cs="宋体"/>
                <w:kern w:val="0"/>
                <w:szCs w:val="21"/>
                <w:highlight w:val="none"/>
              </w:rPr>
            </w:pPr>
            <w:r>
              <w:rPr>
                <w:rFonts w:hint="eastAsia" w:ascii="宋体" w:hAnsi="宋体" w:eastAsia="宋体" w:cs="宋体"/>
                <w:kern w:val="0"/>
                <w:szCs w:val="21"/>
                <w:highlight w:val="none"/>
              </w:rPr>
              <w:t>态势感知</w:t>
            </w:r>
          </w:p>
        </w:tc>
        <w:tc>
          <w:tcPr>
            <w:tcW w:w="3402" w:type="dxa"/>
            <w:vAlign w:val="center"/>
          </w:tcPr>
          <w:p w14:paraId="088E2673">
            <w:pPr>
              <w:snapToGrid w:val="0"/>
              <w:rPr>
                <w:rFonts w:ascii="宋体" w:hAnsi="宋体" w:eastAsia="宋体" w:cs="宋体"/>
                <w:kern w:val="0"/>
                <w:szCs w:val="21"/>
                <w:highlight w:val="none"/>
              </w:rPr>
            </w:pPr>
            <w:r>
              <w:rPr>
                <w:rFonts w:hint="eastAsia" w:ascii="宋体" w:hAnsi="宋体" w:eastAsia="宋体" w:cs="宋体"/>
                <w:kern w:val="0"/>
                <w:szCs w:val="21"/>
                <w:highlight w:val="none"/>
              </w:rPr>
              <w:t>态势感知产品可通过采集系统的网络安全数据信息，对所有安全数据进行统一处理分析，实现对网络攻击行为、安全威胁事件、日志、流量等网络安全问题的发现和告警</w:t>
            </w:r>
          </w:p>
        </w:tc>
        <w:tc>
          <w:tcPr>
            <w:tcW w:w="1276" w:type="dxa"/>
            <w:vMerge w:val="restart"/>
            <w:vAlign w:val="center"/>
          </w:tcPr>
          <w:p w14:paraId="1AF14F6B">
            <w:pPr>
              <w:snapToGrid w:val="0"/>
              <w:jc w:val="center"/>
              <w:rPr>
                <w:rFonts w:ascii="宋体" w:hAnsi="宋体" w:eastAsia="宋体" w:cs="宋体"/>
                <w:kern w:val="0"/>
                <w:szCs w:val="21"/>
                <w:highlight w:val="none"/>
              </w:rPr>
            </w:pPr>
            <w:r>
              <w:rPr>
                <w:rFonts w:hint="eastAsia" w:ascii="宋体" w:hAnsi="宋体" w:eastAsia="宋体" w:cs="宋体"/>
                <w:kern w:val="0"/>
                <w:szCs w:val="21"/>
                <w:highlight w:val="none"/>
              </w:rPr>
              <w:t>19个授权</w:t>
            </w:r>
          </w:p>
        </w:tc>
        <w:tc>
          <w:tcPr>
            <w:tcW w:w="1701" w:type="dxa"/>
            <w:vMerge w:val="restart"/>
            <w:vAlign w:val="center"/>
          </w:tcPr>
          <w:p w14:paraId="2FE6B62A">
            <w:pPr>
              <w:snapToGrid w:val="0"/>
              <w:rPr>
                <w:rFonts w:ascii="宋体" w:hAnsi="宋体" w:eastAsia="宋体" w:cs="宋体"/>
                <w:kern w:val="0"/>
                <w:szCs w:val="21"/>
                <w:highlight w:val="none"/>
              </w:rPr>
            </w:pPr>
            <w:r>
              <w:rPr>
                <w:rFonts w:hint="eastAsia" w:ascii="宋体" w:hAnsi="宋体" w:eastAsia="宋体" w:cs="宋体"/>
                <w:kern w:val="0"/>
                <w:szCs w:val="21"/>
                <w:highlight w:val="none"/>
              </w:rPr>
              <w:t>支持至少19个授权管理，可根据具体业务情况提升配额满足需求</w:t>
            </w:r>
          </w:p>
        </w:tc>
      </w:tr>
      <w:tr w14:paraId="32DA41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852" w:type="dxa"/>
            <w:vMerge w:val="continue"/>
            <w:vAlign w:val="center"/>
          </w:tcPr>
          <w:p w14:paraId="3AFBA2F3">
            <w:pPr>
              <w:snapToGrid w:val="0"/>
              <w:rPr>
                <w:rFonts w:ascii="宋体" w:hAnsi="宋体" w:eastAsia="宋体" w:cs="宋体"/>
                <w:kern w:val="0"/>
                <w:szCs w:val="21"/>
                <w:highlight w:val="none"/>
              </w:rPr>
            </w:pPr>
          </w:p>
        </w:tc>
        <w:tc>
          <w:tcPr>
            <w:tcW w:w="1842" w:type="dxa"/>
            <w:vMerge w:val="continue"/>
            <w:vAlign w:val="center"/>
          </w:tcPr>
          <w:p w14:paraId="056D20B5">
            <w:pPr>
              <w:snapToGrid w:val="0"/>
              <w:jc w:val="center"/>
              <w:rPr>
                <w:rFonts w:ascii="宋体" w:hAnsi="宋体" w:eastAsia="宋体" w:cs="宋体"/>
                <w:kern w:val="0"/>
                <w:szCs w:val="21"/>
                <w:highlight w:val="none"/>
              </w:rPr>
            </w:pPr>
          </w:p>
        </w:tc>
        <w:tc>
          <w:tcPr>
            <w:tcW w:w="3402" w:type="dxa"/>
            <w:vAlign w:val="center"/>
          </w:tcPr>
          <w:p w14:paraId="138F27B2">
            <w:pPr>
              <w:snapToGrid w:val="0"/>
              <w:rPr>
                <w:rFonts w:ascii="宋体" w:hAnsi="宋体" w:eastAsia="宋体" w:cs="宋体"/>
                <w:kern w:val="0"/>
                <w:szCs w:val="21"/>
                <w:highlight w:val="none"/>
              </w:rPr>
            </w:pPr>
            <w:r>
              <w:rPr>
                <w:rFonts w:hint="eastAsia" w:ascii="宋体" w:hAnsi="宋体" w:eastAsia="宋体" w:cs="宋体"/>
                <w:kern w:val="0"/>
                <w:szCs w:val="21"/>
                <w:highlight w:val="none"/>
              </w:rPr>
              <w:t>支持态势总览、资产管理、告警管理、弱点分析、日志库，警规则设置、日报/周报设置等</w:t>
            </w:r>
          </w:p>
        </w:tc>
        <w:tc>
          <w:tcPr>
            <w:tcW w:w="1276" w:type="dxa"/>
            <w:vMerge w:val="continue"/>
            <w:vAlign w:val="center"/>
          </w:tcPr>
          <w:p w14:paraId="736182DE">
            <w:pPr>
              <w:snapToGrid w:val="0"/>
              <w:jc w:val="center"/>
              <w:rPr>
                <w:rFonts w:ascii="宋体" w:hAnsi="宋体" w:eastAsia="宋体" w:cs="宋体"/>
                <w:kern w:val="0"/>
                <w:szCs w:val="21"/>
                <w:highlight w:val="none"/>
              </w:rPr>
            </w:pPr>
          </w:p>
        </w:tc>
        <w:tc>
          <w:tcPr>
            <w:tcW w:w="1701" w:type="dxa"/>
            <w:vMerge w:val="continue"/>
            <w:vAlign w:val="center"/>
          </w:tcPr>
          <w:p w14:paraId="325171C0">
            <w:pPr>
              <w:snapToGrid w:val="0"/>
              <w:rPr>
                <w:rFonts w:ascii="宋体" w:hAnsi="宋体" w:eastAsia="宋体" w:cs="宋体"/>
                <w:kern w:val="0"/>
                <w:szCs w:val="21"/>
                <w:highlight w:val="none"/>
              </w:rPr>
            </w:pPr>
          </w:p>
        </w:tc>
      </w:tr>
      <w:tr w14:paraId="281597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trPr>
        <w:tc>
          <w:tcPr>
            <w:tcW w:w="852" w:type="dxa"/>
            <w:vMerge w:val="continue"/>
            <w:vAlign w:val="center"/>
          </w:tcPr>
          <w:p w14:paraId="6F390751">
            <w:pPr>
              <w:snapToGrid w:val="0"/>
              <w:rPr>
                <w:rFonts w:ascii="宋体" w:hAnsi="宋体" w:eastAsia="宋体" w:cs="宋体"/>
                <w:kern w:val="0"/>
                <w:szCs w:val="21"/>
                <w:highlight w:val="none"/>
              </w:rPr>
            </w:pPr>
          </w:p>
        </w:tc>
        <w:tc>
          <w:tcPr>
            <w:tcW w:w="1842" w:type="dxa"/>
            <w:vMerge w:val="continue"/>
            <w:vAlign w:val="center"/>
          </w:tcPr>
          <w:p w14:paraId="39B7B956">
            <w:pPr>
              <w:snapToGrid w:val="0"/>
              <w:jc w:val="center"/>
              <w:rPr>
                <w:rFonts w:ascii="宋体" w:hAnsi="宋体" w:eastAsia="宋体" w:cs="宋体"/>
                <w:kern w:val="0"/>
                <w:szCs w:val="21"/>
                <w:highlight w:val="none"/>
              </w:rPr>
            </w:pPr>
          </w:p>
        </w:tc>
        <w:tc>
          <w:tcPr>
            <w:tcW w:w="3402" w:type="dxa"/>
            <w:vAlign w:val="center"/>
          </w:tcPr>
          <w:p w14:paraId="6B8EEB97">
            <w:pPr>
              <w:snapToGrid w:val="0"/>
              <w:rPr>
                <w:rFonts w:ascii="宋体" w:hAnsi="宋体" w:eastAsia="宋体" w:cs="宋体"/>
                <w:kern w:val="0"/>
                <w:szCs w:val="21"/>
                <w:highlight w:val="none"/>
              </w:rPr>
            </w:pPr>
            <w:r>
              <w:rPr>
                <w:rFonts w:hint="eastAsia" w:ascii="宋体" w:hAnsi="宋体" w:eastAsia="宋体" w:cs="宋体"/>
                <w:kern w:val="0"/>
                <w:szCs w:val="21"/>
                <w:highlight w:val="none"/>
              </w:rPr>
              <w:t>服务可用性不能低于99.00%</w:t>
            </w:r>
          </w:p>
        </w:tc>
        <w:tc>
          <w:tcPr>
            <w:tcW w:w="1276" w:type="dxa"/>
            <w:vMerge w:val="continue"/>
            <w:vAlign w:val="center"/>
          </w:tcPr>
          <w:p w14:paraId="1EA94378">
            <w:pPr>
              <w:snapToGrid w:val="0"/>
              <w:jc w:val="center"/>
              <w:rPr>
                <w:rFonts w:ascii="宋体" w:hAnsi="宋体" w:eastAsia="宋体" w:cs="宋体"/>
                <w:kern w:val="0"/>
                <w:szCs w:val="21"/>
                <w:highlight w:val="none"/>
              </w:rPr>
            </w:pPr>
          </w:p>
        </w:tc>
        <w:tc>
          <w:tcPr>
            <w:tcW w:w="1701" w:type="dxa"/>
            <w:vMerge w:val="continue"/>
            <w:vAlign w:val="center"/>
          </w:tcPr>
          <w:p w14:paraId="6F76242E">
            <w:pPr>
              <w:snapToGrid w:val="0"/>
              <w:rPr>
                <w:rFonts w:ascii="宋体" w:hAnsi="宋体" w:eastAsia="宋体" w:cs="宋体"/>
                <w:kern w:val="0"/>
                <w:szCs w:val="21"/>
                <w:highlight w:val="none"/>
              </w:rPr>
            </w:pPr>
          </w:p>
        </w:tc>
      </w:tr>
      <w:tr w14:paraId="53201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852" w:type="dxa"/>
            <w:vMerge w:val="restart"/>
            <w:vAlign w:val="center"/>
          </w:tcPr>
          <w:p w14:paraId="7D53A93F">
            <w:pPr>
              <w:snapToGrid w:val="0"/>
              <w:rPr>
                <w:rFonts w:ascii="宋体" w:hAnsi="宋体" w:eastAsia="宋体" w:cs="宋体"/>
                <w:kern w:val="0"/>
                <w:szCs w:val="21"/>
                <w:highlight w:val="none"/>
              </w:rPr>
            </w:pPr>
            <w:r>
              <w:rPr>
                <w:rFonts w:hint="eastAsia" w:ascii="宋体" w:hAnsi="宋体" w:eastAsia="宋体" w:cs="宋体"/>
                <w:kern w:val="0"/>
                <w:szCs w:val="21"/>
                <w:highlight w:val="none"/>
              </w:rPr>
              <w:t>2</w:t>
            </w:r>
          </w:p>
        </w:tc>
        <w:tc>
          <w:tcPr>
            <w:tcW w:w="1842" w:type="dxa"/>
            <w:vMerge w:val="restart"/>
            <w:vAlign w:val="center"/>
          </w:tcPr>
          <w:p w14:paraId="6D97867F">
            <w:pPr>
              <w:snapToGrid w:val="0"/>
              <w:jc w:val="center"/>
              <w:rPr>
                <w:rFonts w:ascii="宋体" w:hAnsi="宋体" w:eastAsia="宋体" w:cs="宋体"/>
                <w:kern w:val="0"/>
                <w:szCs w:val="21"/>
                <w:highlight w:val="none"/>
              </w:rPr>
            </w:pPr>
            <w:r>
              <w:rPr>
                <w:rFonts w:hint="eastAsia" w:ascii="宋体" w:hAnsi="宋体" w:eastAsia="宋体" w:cs="宋体"/>
                <w:kern w:val="0"/>
                <w:szCs w:val="21"/>
                <w:highlight w:val="none"/>
              </w:rPr>
              <w:t>云主机安全</w:t>
            </w:r>
          </w:p>
        </w:tc>
        <w:tc>
          <w:tcPr>
            <w:tcW w:w="3402" w:type="dxa"/>
            <w:vAlign w:val="center"/>
          </w:tcPr>
          <w:p w14:paraId="35FC1A6D">
            <w:pPr>
              <w:snapToGrid w:val="0"/>
              <w:rPr>
                <w:rFonts w:ascii="宋体" w:hAnsi="宋体" w:eastAsia="宋体" w:cs="宋体"/>
                <w:kern w:val="0"/>
                <w:szCs w:val="21"/>
                <w:highlight w:val="none"/>
              </w:rPr>
            </w:pPr>
            <w:r>
              <w:rPr>
                <w:rFonts w:hint="eastAsia" w:ascii="宋体" w:hAnsi="宋体" w:eastAsia="宋体" w:cs="宋体"/>
                <w:kern w:val="0"/>
                <w:szCs w:val="21"/>
                <w:highlight w:val="none"/>
              </w:rPr>
              <w:t>云主机安全产品提供云主机安全保护功能，对每一台需防护的服务器，全面保障安全</w:t>
            </w:r>
          </w:p>
        </w:tc>
        <w:tc>
          <w:tcPr>
            <w:tcW w:w="1276" w:type="dxa"/>
            <w:vMerge w:val="restart"/>
            <w:vAlign w:val="center"/>
          </w:tcPr>
          <w:p w14:paraId="73336431">
            <w:pPr>
              <w:snapToGrid w:val="0"/>
              <w:jc w:val="center"/>
              <w:rPr>
                <w:rFonts w:ascii="宋体" w:hAnsi="宋体" w:eastAsia="宋体" w:cs="宋体"/>
                <w:kern w:val="0"/>
                <w:szCs w:val="21"/>
                <w:highlight w:val="none"/>
              </w:rPr>
            </w:pPr>
            <w:r>
              <w:rPr>
                <w:rFonts w:hint="eastAsia" w:ascii="宋体" w:hAnsi="宋体" w:eastAsia="宋体" w:cs="宋体"/>
                <w:kern w:val="0"/>
                <w:szCs w:val="21"/>
                <w:highlight w:val="none"/>
              </w:rPr>
              <w:t>1</w:t>
            </w:r>
            <w:r>
              <w:rPr>
                <w:rFonts w:ascii="宋体" w:hAnsi="宋体" w:eastAsia="宋体" w:cs="宋体"/>
                <w:kern w:val="0"/>
                <w:szCs w:val="21"/>
                <w:highlight w:val="none"/>
              </w:rPr>
              <w:t>9</w:t>
            </w:r>
            <w:r>
              <w:rPr>
                <w:rFonts w:hint="eastAsia" w:ascii="宋体" w:hAnsi="宋体" w:eastAsia="宋体" w:cs="宋体"/>
                <w:kern w:val="0"/>
                <w:szCs w:val="21"/>
                <w:highlight w:val="none"/>
              </w:rPr>
              <w:t>个授权</w:t>
            </w:r>
          </w:p>
        </w:tc>
        <w:tc>
          <w:tcPr>
            <w:tcW w:w="1701" w:type="dxa"/>
            <w:vMerge w:val="restart"/>
            <w:vAlign w:val="center"/>
          </w:tcPr>
          <w:p w14:paraId="69499C47">
            <w:pPr>
              <w:snapToGrid w:val="0"/>
              <w:rPr>
                <w:rFonts w:ascii="宋体" w:hAnsi="宋体" w:eastAsia="宋体" w:cs="宋体"/>
                <w:kern w:val="0"/>
                <w:szCs w:val="21"/>
                <w:highlight w:val="none"/>
              </w:rPr>
            </w:pPr>
            <w:r>
              <w:rPr>
                <w:rFonts w:hint="eastAsia" w:ascii="宋体" w:hAnsi="宋体" w:eastAsia="宋体" w:cs="宋体"/>
                <w:kern w:val="0"/>
                <w:szCs w:val="21"/>
                <w:highlight w:val="none"/>
              </w:rPr>
              <w:t>支持至少19个云主机实例，可根据具体业务情况提升配额满足需求</w:t>
            </w:r>
          </w:p>
        </w:tc>
      </w:tr>
      <w:tr w14:paraId="215BE2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 w:hRule="atLeast"/>
        </w:trPr>
        <w:tc>
          <w:tcPr>
            <w:tcW w:w="852" w:type="dxa"/>
            <w:vMerge w:val="continue"/>
            <w:vAlign w:val="center"/>
          </w:tcPr>
          <w:p w14:paraId="02FC53AC">
            <w:pPr>
              <w:snapToGrid w:val="0"/>
              <w:rPr>
                <w:rFonts w:ascii="宋体" w:hAnsi="宋体" w:eastAsia="宋体" w:cs="宋体"/>
                <w:kern w:val="0"/>
                <w:szCs w:val="21"/>
                <w:highlight w:val="none"/>
              </w:rPr>
            </w:pPr>
          </w:p>
        </w:tc>
        <w:tc>
          <w:tcPr>
            <w:tcW w:w="1842" w:type="dxa"/>
            <w:vMerge w:val="continue"/>
            <w:vAlign w:val="center"/>
          </w:tcPr>
          <w:p w14:paraId="37C050FB">
            <w:pPr>
              <w:snapToGrid w:val="0"/>
              <w:jc w:val="center"/>
              <w:rPr>
                <w:rFonts w:ascii="宋体" w:hAnsi="宋体" w:eastAsia="宋体" w:cs="宋体"/>
                <w:kern w:val="0"/>
                <w:szCs w:val="21"/>
                <w:highlight w:val="none"/>
              </w:rPr>
            </w:pPr>
          </w:p>
        </w:tc>
        <w:tc>
          <w:tcPr>
            <w:tcW w:w="3402" w:type="dxa"/>
            <w:vAlign w:val="center"/>
          </w:tcPr>
          <w:p w14:paraId="7BD3E346">
            <w:pPr>
              <w:snapToGrid w:val="0"/>
              <w:rPr>
                <w:rFonts w:ascii="宋体" w:hAnsi="宋体" w:eastAsia="宋体" w:cs="宋体"/>
                <w:kern w:val="0"/>
                <w:szCs w:val="21"/>
                <w:highlight w:val="none"/>
              </w:rPr>
            </w:pPr>
            <w:r>
              <w:rPr>
                <w:rFonts w:hint="eastAsia" w:ascii="宋体" w:hAnsi="宋体" w:eastAsia="宋体" w:cs="宋体"/>
                <w:kern w:val="0"/>
                <w:szCs w:val="21"/>
                <w:highlight w:val="none"/>
              </w:rPr>
              <w:t>支持云主机系统基线统一配置检查、自动化系统病毒检测、网站后门检测、系统口令暴力破解防护、反弹shell检测、主机异地登录提醒等</w:t>
            </w:r>
          </w:p>
        </w:tc>
        <w:tc>
          <w:tcPr>
            <w:tcW w:w="1276" w:type="dxa"/>
            <w:vMerge w:val="continue"/>
            <w:vAlign w:val="center"/>
          </w:tcPr>
          <w:p w14:paraId="19569F2A">
            <w:pPr>
              <w:snapToGrid w:val="0"/>
              <w:jc w:val="center"/>
              <w:rPr>
                <w:rFonts w:ascii="宋体" w:hAnsi="宋体" w:eastAsia="宋体" w:cs="宋体"/>
                <w:kern w:val="0"/>
                <w:szCs w:val="21"/>
                <w:highlight w:val="none"/>
              </w:rPr>
            </w:pPr>
          </w:p>
        </w:tc>
        <w:tc>
          <w:tcPr>
            <w:tcW w:w="1701" w:type="dxa"/>
            <w:vMerge w:val="continue"/>
            <w:vAlign w:val="center"/>
          </w:tcPr>
          <w:p w14:paraId="3F2E053A">
            <w:pPr>
              <w:snapToGrid w:val="0"/>
              <w:rPr>
                <w:rFonts w:ascii="宋体" w:hAnsi="宋体" w:eastAsia="宋体" w:cs="宋体"/>
                <w:kern w:val="0"/>
                <w:szCs w:val="21"/>
                <w:highlight w:val="none"/>
              </w:rPr>
            </w:pPr>
          </w:p>
        </w:tc>
      </w:tr>
      <w:tr w14:paraId="48BFA1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 w:hRule="atLeast"/>
        </w:trPr>
        <w:tc>
          <w:tcPr>
            <w:tcW w:w="852" w:type="dxa"/>
            <w:vMerge w:val="continue"/>
            <w:vAlign w:val="center"/>
          </w:tcPr>
          <w:p w14:paraId="7160B580">
            <w:pPr>
              <w:snapToGrid w:val="0"/>
              <w:rPr>
                <w:highlight w:val="none"/>
              </w:rPr>
            </w:pPr>
          </w:p>
        </w:tc>
        <w:tc>
          <w:tcPr>
            <w:tcW w:w="1842" w:type="dxa"/>
            <w:vMerge w:val="continue"/>
            <w:vAlign w:val="center"/>
          </w:tcPr>
          <w:p w14:paraId="1F8C6746">
            <w:pPr>
              <w:snapToGrid w:val="0"/>
              <w:rPr>
                <w:highlight w:val="none"/>
              </w:rPr>
            </w:pPr>
          </w:p>
        </w:tc>
        <w:tc>
          <w:tcPr>
            <w:tcW w:w="3402" w:type="dxa"/>
            <w:vAlign w:val="center"/>
          </w:tcPr>
          <w:p w14:paraId="699287A3">
            <w:pPr>
              <w:snapToGrid w:val="0"/>
              <w:rPr>
                <w:rFonts w:ascii="宋体" w:hAnsi="宋体" w:eastAsia="宋体" w:cs="宋体"/>
                <w:kern w:val="0"/>
                <w:szCs w:val="21"/>
                <w:highlight w:val="none"/>
              </w:rPr>
            </w:pPr>
            <w:r>
              <w:rPr>
                <w:rFonts w:hint="eastAsia" w:ascii="宋体" w:hAnsi="宋体" w:eastAsia="宋体" w:cs="宋体"/>
                <w:kern w:val="0"/>
                <w:szCs w:val="21"/>
                <w:highlight w:val="none"/>
              </w:rPr>
              <w:t>服务可用性不低于99.00%</w:t>
            </w:r>
          </w:p>
        </w:tc>
        <w:tc>
          <w:tcPr>
            <w:tcW w:w="1276" w:type="dxa"/>
            <w:vMerge w:val="continue"/>
            <w:vAlign w:val="center"/>
          </w:tcPr>
          <w:p w14:paraId="114FFDD7">
            <w:pPr>
              <w:snapToGrid w:val="0"/>
              <w:rPr>
                <w:rFonts w:ascii="宋体" w:hAnsi="宋体" w:eastAsia="宋体" w:cs="宋体"/>
                <w:kern w:val="0"/>
                <w:szCs w:val="21"/>
                <w:highlight w:val="none"/>
              </w:rPr>
            </w:pPr>
          </w:p>
        </w:tc>
        <w:tc>
          <w:tcPr>
            <w:tcW w:w="1701" w:type="dxa"/>
            <w:vMerge w:val="continue"/>
            <w:vAlign w:val="center"/>
          </w:tcPr>
          <w:p w14:paraId="3F2DE55E">
            <w:pPr>
              <w:snapToGrid w:val="0"/>
              <w:rPr>
                <w:rFonts w:ascii="宋体" w:hAnsi="宋体" w:eastAsia="宋体" w:cs="宋体"/>
                <w:kern w:val="0"/>
                <w:szCs w:val="21"/>
                <w:highlight w:val="none"/>
              </w:rPr>
            </w:pPr>
          </w:p>
        </w:tc>
      </w:tr>
      <w:tr w14:paraId="375C80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852" w:type="dxa"/>
            <w:vMerge w:val="restart"/>
            <w:vAlign w:val="center"/>
          </w:tcPr>
          <w:p w14:paraId="1155C95A">
            <w:pPr>
              <w:snapToGrid w:val="0"/>
              <w:rPr>
                <w:rFonts w:ascii="宋体" w:hAnsi="宋体" w:eastAsia="宋体" w:cs="宋体"/>
                <w:kern w:val="0"/>
                <w:szCs w:val="21"/>
                <w:highlight w:val="none"/>
              </w:rPr>
            </w:pPr>
            <w:r>
              <w:rPr>
                <w:rFonts w:hint="eastAsia" w:ascii="宋体" w:hAnsi="宋体" w:eastAsia="宋体" w:cs="宋体"/>
                <w:kern w:val="0"/>
                <w:szCs w:val="21"/>
                <w:highlight w:val="none"/>
              </w:rPr>
              <w:t>3</w:t>
            </w:r>
          </w:p>
        </w:tc>
        <w:tc>
          <w:tcPr>
            <w:tcW w:w="1842" w:type="dxa"/>
            <w:vMerge w:val="restart"/>
            <w:vAlign w:val="center"/>
          </w:tcPr>
          <w:p w14:paraId="3FA173CA">
            <w:pPr>
              <w:snapToGrid w:val="0"/>
              <w:jc w:val="center"/>
              <w:rPr>
                <w:rFonts w:ascii="宋体" w:hAnsi="宋体" w:eastAsia="宋体" w:cs="宋体"/>
                <w:kern w:val="0"/>
                <w:szCs w:val="21"/>
                <w:highlight w:val="none"/>
              </w:rPr>
            </w:pPr>
            <w:r>
              <w:rPr>
                <w:rFonts w:hint="eastAsia" w:ascii="宋体" w:hAnsi="宋体" w:eastAsia="宋体" w:cs="宋体"/>
                <w:kern w:val="0"/>
                <w:szCs w:val="21"/>
                <w:highlight w:val="none"/>
              </w:rPr>
              <w:t>云堡垒机</w:t>
            </w:r>
          </w:p>
        </w:tc>
        <w:tc>
          <w:tcPr>
            <w:tcW w:w="3402" w:type="dxa"/>
            <w:vAlign w:val="center"/>
          </w:tcPr>
          <w:p w14:paraId="641C13D4">
            <w:pPr>
              <w:snapToGrid w:val="0"/>
              <w:rPr>
                <w:rFonts w:ascii="宋体" w:hAnsi="宋体" w:eastAsia="宋体" w:cs="宋体"/>
                <w:kern w:val="0"/>
                <w:szCs w:val="21"/>
                <w:highlight w:val="none"/>
              </w:rPr>
            </w:pPr>
            <w:r>
              <w:rPr>
                <w:rFonts w:hint="eastAsia" w:ascii="宋体" w:hAnsi="宋体" w:eastAsia="宋体" w:cs="宋体"/>
                <w:kern w:val="0"/>
                <w:szCs w:val="21"/>
                <w:highlight w:val="none"/>
              </w:rPr>
              <w:t>云堡垒机产品提供云资源安全管理平台，能对云上资产实现自动化运维功能，包括事前规划、事中控制和事后审计</w:t>
            </w:r>
          </w:p>
        </w:tc>
        <w:tc>
          <w:tcPr>
            <w:tcW w:w="1276" w:type="dxa"/>
            <w:vMerge w:val="restart"/>
            <w:vAlign w:val="center"/>
          </w:tcPr>
          <w:p w14:paraId="016F0BC4">
            <w:pPr>
              <w:snapToGrid w:val="0"/>
              <w:jc w:val="center"/>
              <w:rPr>
                <w:rFonts w:ascii="宋体" w:hAnsi="宋体" w:eastAsia="宋体" w:cs="宋体"/>
                <w:kern w:val="0"/>
                <w:szCs w:val="21"/>
                <w:highlight w:val="none"/>
              </w:rPr>
            </w:pPr>
            <w:r>
              <w:rPr>
                <w:rFonts w:hint="eastAsia" w:ascii="宋体" w:hAnsi="宋体" w:eastAsia="宋体" w:cs="宋体"/>
                <w:kern w:val="0"/>
                <w:szCs w:val="21"/>
                <w:highlight w:val="none"/>
              </w:rPr>
              <w:t>1套（至少</w:t>
            </w:r>
            <w:r>
              <w:rPr>
                <w:rFonts w:ascii="宋体" w:hAnsi="宋体" w:eastAsia="宋体" w:cs="宋体"/>
                <w:kern w:val="0"/>
                <w:szCs w:val="21"/>
                <w:highlight w:val="none"/>
              </w:rPr>
              <w:t>20个资产管理</w:t>
            </w:r>
            <w:r>
              <w:rPr>
                <w:rFonts w:hint="eastAsia" w:ascii="宋体" w:hAnsi="宋体" w:eastAsia="宋体" w:cs="宋体"/>
                <w:kern w:val="0"/>
                <w:szCs w:val="21"/>
                <w:highlight w:val="none"/>
              </w:rPr>
              <w:t>）</w:t>
            </w:r>
          </w:p>
        </w:tc>
        <w:tc>
          <w:tcPr>
            <w:tcW w:w="1701" w:type="dxa"/>
            <w:vMerge w:val="restart"/>
            <w:vAlign w:val="center"/>
          </w:tcPr>
          <w:p w14:paraId="24C14355">
            <w:pPr>
              <w:snapToGrid w:val="0"/>
              <w:rPr>
                <w:rFonts w:ascii="宋体" w:hAnsi="宋体" w:eastAsia="宋体" w:cs="宋体"/>
                <w:kern w:val="0"/>
                <w:szCs w:val="21"/>
                <w:highlight w:val="none"/>
              </w:rPr>
            </w:pPr>
            <w:r>
              <w:rPr>
                <w:rFonts w:hint="eastAsia" w:ascii="宋体" w:hAnsi="宋体" w:eastAsia="宋体" w:cs="宋体"/>
                <w:kern w:val="0"/>
                <w:szCs w:val="21"/>
                <w:highlight w:val="none"/>
              </w:rPr>
              <w:t>支持至少20个资产管理，可根据具体业务情况提升配额满足需求</w:t>
            </w:r>
          </w:p>
        </w:tc>
      </w:tr>
      <w:tr w14:paraId="2FDE7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trPr>
        <w:tc>
          <w:tcPr>
            <w:tcW w:w="852" w:type="dxa"/>
            <w:vMerge w:val="continue"/>
            <w:vAlign w:val="center"/>
          </w:tcPr>
          <w:p w14:paraId="6FC83D48">
            <w:pPr>
              <w:snapToGrid w:val="0"/>
              <w:rPr>
                <w:rFonts w:ascii="宋体" w:hAnsi="宋体" w:eastAsia="宋体" w:cs="宋体"/>
                <w:kern w:val="0"/>
                <w:szCs w:val="21"/>
                <w:highlight w:val="none"/>
              </w:rPr>
            </w:pPr>
          </w:p>
        </w:tc>
        <w:tc>
          <w:tcPr>
            <w:tcW w:w="1842" w:type="dxa"/>
            <w:vMerge w:val="continue"/>
            <w:vAlign w:val="center"/>
          </w:tcPr>
          <w:p w14:paraId="61A3C9BA">
            <w:pPr>
              <w:snapToGrid w:val="0"/>
              <w:jc w:val="center"/>
              <w:rPr>
                <w:rFonts w:ascii="宋体" w:hAnsi="宋体" w:eastAsia="宋体" w:cs="宋体"/>
                <w:kern w:val="0"/>
                <w:szCs w:val="21"/>
                <w:highlight w:val="none"/>
              </w:rPr>
            </w:pPr>
          </w:p>
        </w:tc>
        <w:tc>
          <w:tcPr>
            <w:tcW w:w="3402" w:type="dxa"/>
            <w:vAlign w:val="center"/>
          </w:tcPr>
          <w:p w14:paraId="52D01A5D">
            <w:pPr>
              <w:snapToGrid w:val="0"/>
              <w:rPr>
                <w:rFonts w:ascii="宋体" w:hAnsi="宋体" w:eastAsia="宋体" w:cs="宋体"/>
                <w:kern w:val="0"/>
                <w:szCs w:val="21"/>
                <w:highlight w:val="none"/>
              </w:rPr>
            </w:pPr>
            <w:r>
              <w:rPr>
                <w:rFonts w:hint="eastAsia" w:ascii="宋体" w:hAnsi="宋体" w:eastAsia="宋体" w:cs="宋体"/>
                <w:kern w:val="0"/>
                <w:szCs w:val="21"/>
                <w:highlight w:val="none"/>
              </w:rPr>
              <w:t>支持身份管理、角色分权、集中管控、资源改密、全程审计、命令控制、工单申请、报表分析</w:t>
            </w:r>
          </w:p>
        </w:tc>
        <w:tc>
          <w:tcPr>
            <w:tcW w:w="1276" w:type="dxa"/>
            <w:vMerge w:val="continue"/>
            <w:vAlign w:val="center"/>
          </w:tcPr>
          <w:p w14:paraId="41B0487B">
            <w:pPr>
              <w:snapToGrid w:val="0"/>
              <w:jc w:val="center"/>
              <w:rPr>
                <w:rFonts w:ascii="宋体" w:hAnsi="宋体" w:eastAsia="宋体" w:cs="宋体"/>
                <w:kern w:val="0"/>
                <w:szCs w:val="21"/>
                <w:highlight w:val="none"/>
              </w:rPr>
            </w:pPr>
          </w:p>
        </w:tc>
        <w:tc>
          <w:tcPr>
            <w:tcW w:w="1701" w:type="dxa"/>
            <w:vMerge w:val="continue"/>
            <w:vAlign w:val="center"/>
          </w:tcPr>
          <w:p w14:paraId="09060A28">
            <w:pPr>
              <w:snapToGrid w:val="0"/>
              <w:rPr>
                <w:rFonts w:ascii="宋体" w:hAnsi="宋体" w:eastAsia="宋体" w:cs="宋体"/>
                <w:kern w:val="0"/>
                <w:szCs w:val="21"/>
                <w:highlight w:val="none"/>
              </w:rPr>
            </w:pPr>
          </w:p>
        </w:tc>
      </w:tr>
      <w:tr w14:paraId="45CE75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trPr>
        <w:tc>
          <w:tcPr>
            <w:tcW w:w="852" w:type="dxa"/>
            <w:vMerge w:val="continue"/>
            <w:vAlign w:val="center"/>
          </w:tcPr>
          <w:p w14:paraId="21A01200">
            <w:pPr>
              <w:snapToGrid w:val="0"/>
              <w:rPr>
                <w:highlight w:val="none"/>
              </w:rPr>
            </w:pPr>
          </w:p>
        </w:tc>
        <w:tc>
          <w:tcPr>
            <w:tcW w:w="1842" w:type="dxa"/>
            <w:vMerge w:val="continue"/>
            <w:vAlign w:val="center"/>
          </w:tcPr>
          <w:p w14:paraId="6AA5AE3C">
            <w:pPr>
              <w:snapToGrid w:val="0"/>
              <w:rPr>
                <w:highlight w:val="none"/>
              </w:rPr>
            </w:pPr>
          </w:p>
        </w:tc>
        <w:tc>
          <w:tcPr>
            <w:tcW w:w="3402" w:type="dxa"/>
            <w:vAlign w:val="center"/>
          </w:tcPr>
          <w:p w14:paraId="71E7561C">
            <w:pPr>
              <w:snapToGrid w:val="0"/>
              <w:rPr>
                <w:rFonts w:ascii="宋体" w:hAnsi="宋体" w:eastAsia="宋体" w:cs="宋体"/>
                <w:kern w:val="0"/>
                <w:szCs w:val="21"/>
                <w:highlight w:val="none"/>
              </w:rPr>
            </w:pPr>
            <w:r>
              <w:rPr>
                <w:rFonts w:hint="eastAsia" w:ascii="宋体" w:hAnsi="宋体" w:eastAsia="宋体" w:cs="宋体"/>
                <w:kern w:val="0"/>
                <w:szCs w:val="21"/>
                <w:highlight w:val="none"/>
              </w:rPr>
              <w:t>支持会话监控切换展示风格，可将同一用户的在线会话进行合并到一个列表，方便审计员进行审计。</w:t>
            </w:r>
          </w:p>
        </w:tc>
        <w:tc>
          <w:tcPr>
            <w:tcW w:w="1276" w:type="dxa"/>
            <w:vMerge w:val="continue"/>
            <w:vAlign w:val="center"/>
          </w:tcPr>
          <w:p w14:paraId="4822D9D3">
            <w:pPr>
              <w:snapToGrid w:val="0"/>
              <w:rPr>
                <w:rFonts w:ascii="宋体" w:hAnsi="宋体" w:eastAsia="宋体" w:cs="宋体"/>
                <w:kern w:val="0"/>
                <w:szCs w:val="21"/>
                <w:highlight w:val="none"/>
              </w:rPr>
            </w:pPr>
          </w:p>
        </w:tc>
        <w:tc>
          <w:tcPr>
            <w:tcW w:w="1701" w:type="dxa"/>
            <w:vMerge w:val="continue"/>
            <w:vAlign w:val="center"/>
          </w:tcPr>
          <w:p w14:paraId="328C9A2E">
            <w:pPr>
              <w:snapToGrid w:val="0"/>
              <w:rPr>
                <w:rFonts w:ascii="宋体" w:hAnsi="宋体" w:eastAsia="宋体" w:cs="宋体"/>
                <w:kern w:val="0"/>
                <w:szCs w:val="21"/>
                <w:highlight w:val="none"/>
              </w:rPr>
            </w:pPr>
          </w:p>
        </w:tc>
      </w:tr>
      <w:tr w14:paraId="7D6C92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trPr>
        <w:tc>
          <w:tcPr>
            <w:tcW w:w="852" w:type="dxa"/>
            <w:vMerge w:val="continue"/>
            <w:vAlign w:val="center"/>
          </w:tcPr>
          <w:p w14:paraId="754B1588">
            <w:pPr>
              <w:snapToGrid w:val="0"/>
              <w:rPr>
                <w:rFonts w:ascii="宋体" w:hAnsi="宋体" w:eastAsia="宋体" w:cs="宋体"/>
                <w:kern w:val="0"/>
                <w:szCs w:val="21"/>
                <w:highlight w:val="none"/>
              </w:rPr>
            </w:pPr>
          </w:p>
        </w:tc>
        <w:tc>
          <w:tcPr>
            <w:tcW w:w="1842" w:type="dxa"/>
            <w:vMerge w:val="continue"/>
            <w:vAlign w:val="center"/>
          </w:tcPr>
          <w:p w14:paraId="27536DB2">
            <w:pPr>
              <w:snapToGrid w:val="0"/>
              <w:rPr>
                <w:rFonts w:ascii="宋体" w:hAnsi="宋体" w:eastAsia="宋体" w:cs="宋体"/>
                <w:kern w:val="0"/>
                <w:szCs w:val="21"/>
                <w:highlight w:val="none"/>
              </w:rPr>
            </w:pPr>
          </w:p>
        </w:tc>
        <w:tc>
          <w:tcPr>
            <w:tcW w:w="3402" w:type="dxa"/>
            <w:vAlign w:val="center"/>
          </w:tcPr>
          <w:p w14:paraId="0C11BFD1">
            <w:pPr>
              <w:snapToGrid w:val="0"/>
              <w:rPr>
                <w:rFonts w:ascii="宋体" w:hAnsi="宋体" w:eastAsia="宋体" w:cs="宋体"/>
                <w:kern w:val="0"/>
                <w:szCs w:val="21"/>
                <w:highlight w:val="none"/>
              </w:rPr>
            </w:pPr>
            <w:r>
              <w:rPr>
                <w:rFonts w:hint="eastAsia" w:ascii="宋体" w:hAnsi="宋体" w:eastAsia="宋体" w:cs="宋体"/>
                <w:kern w:val="0"/>
                <w:szCs w:val="21"/>
                <w:highlight w:val="none"/>
              </w:rPr>
              <w:t>支持运维过程中邀请其他用户参与、协助操作；会话协同过程中，协同者可以申请控制会话，创建者可以强制获取控制权；支持对会话协同进行日志审计</w:t>
            </w:r>
          </w:p>
        </w:tc>
        <w:tc>
          <w:tcPr>
            <w:tcW w:w="1276" w:type="dxa"/>
            <w:vMerge w:val="continue"/>
            <w:vAlign w:val="center"/>
          </w:tcPr>
          <w:p w14:paraId="7D032176">
            <w:pPr>
              <w:snapToGrid w:val="0"/>
              <w:rPr>
                <w:rFonts w:ascii="宋体" w:hAnsi="宋体" w:eastAsia="宋体" w:cs="宋体"/>
                <w:kern w:val="0"/>
                <w:szCs w:val="21"/>
                <w:highlight w:val="none"/>
              </w:rPr>
            </w:pPr>
          </w:p>
        </w:tc>
        <w:tc>
          <w:tcPr>
            <w:tcW w:w="1701" w:type="dxa"/>
            <w:vMerge w:val="continue"/>
            <w:vAlign w:val="center"/>
          </w:tcPr>
          <w:p w14:paraId="062D666F">
            <w:pPr>
              <w:snapToGrid w:val="0"/>
              <w:rPr>
                <w:rFonts w:ascii="宋体" w:hAnsi="宋体" w:eastAsia="宋体" w:cs="宋体"/>
                <w:kern w:val="0"/>
                <w:szCs w:val="21"/>
                <w:highlight w:val="none"/>
              </w:rPr>
            </w:pPr>
          </w:p>
        </w:tc>
      </w:tr>
      <w:tr w14:paraId="345A11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trPr>
        <w:tc>
          <w:tcPr>
            <w:tcW w:w="852" w:type="dxa"/>
            <w:vMerge w:val="continue"/>
            <w:vAlign w:val="center"/>
          </w:tcPr>
          <w:p w14:paraId="5E00D427">
            <w:pPr>
              <w:snapToGrid w:val="0"/>
              <w:rPr>
                <w:rFonts w:ascii="宋体" w:hAnsi="宋体" w:eastAsia="宋体" w:cs="宋体"/>
                <w:kern w:val="0"/>
                <w:szCs w:val="21"/>
                <w:highlight w:val="none"/>
              </w:rPr>
            </w:pPr>
          </w:p>
        </w:tc>
        <w:tc>
          <w:tcPr>
            <w:tcW w:w="1842" w:type="dxa"/>
            <w:vMerge w:val="continue"/>
            <w:vAlign w:val="center"/>
          </w:tcPr>
          <w:p w14:paraId="6648A0B5">
            <w:pPr>
              <w:snapToGrid w:val="0"/>
              <w:jc w:val="center"/>
              <w:rPr>
                <w:rFonts w:ascii="宋体" w:hAnsi="宋体" w:eastAsia="宋体" w:cs="宋体"/>
                <w:kern w:val="0"/>
                <w:szCs w:val="21"/>
                <w:highlight w:val="none"/>
              </w:rPr>
            </w:pPr>
          </w:p>
        </w:tc>
        <w:tc>
          <w:tcPr>
            <w:tcW w:w="3402" w:type="dxa"/>
            <w:vAlign w:val="center"/>
          </w:tcPr>
          <w:p w14:paraId="4DFCB710">
            <w:pPr>
              <w:snapToGrid w:val="0"/>
              <w:rPr>
                <w:rFonts w:ascii="宋体" w:hAnsi="宋体" w:eastAsia="宋体" w:cs="宋体"/>
                <w:kern w:val="0"/>
                <w:szCs w:val="21"/>
                <w:highlight w:val="none"/>
              </w:rPr>
            </w:pPr>
            <w:r>
              <w:rPr>
                <w:rFonts w:hint="eastAsia" w:ascii="宋体" w:hAnsi="宋体" w:eastAsia="宋体" w:cs="宋体"/>
                <w:kern w:val="0"/>
                <w:szCs w:val="21"/>
                <w:highlight w:val="none"/>
              </w:rPr>
              <w:t>服务可用性不能低于99.00%</w:t>
            </w:r>
          </w:p>
        </w:tc>
        <w:tc>
          <w:tcPr>
            <w:tcW w:w="1276" w:type="dxa"/>
            <w:vMerge w:val="continue"/>
            <w:vAlign w:val="center"/>
          </w:tcPr>
          <w:p w14:paraId="188B125B">
            <w:pPr>
              <w:snapToGrid w:val="0"/>
              <w:jc w:val="center"/>
              <w:rPr>
                <w:rFonts w:ascii="宋体" w:hAnsi="宋体" w:eastAsia="宋体" w:cs="宋体"/>
                <w:kern w:val="0"/>
                <w:szCs w:val="21"/>
                <w:highlight w:val="none"/>
              </w:rPr>
            </w:pPr>
          </w:p>
        </w:tc>
        <w:tc>
          <w:tcPr>
            <w:tcW w:w="1701" w:type="dxa"/>
            <w:vMerge w:val="continue"/>
            <w:vAlign w:val="center"/>
          </w:tcPr>
          <w:p w14:paraId="40FE68BE">
            <w:pPr>
              <w:snapToGrid w:val="0"/>
              <w:rPr>
                <w:rFonts w:ascii="宋体" w:hAnsi="宋体" w:eastAsia="宋体" w:cs="宋体"/>
                <w:kern w:val="0"/>
                <w:szCs w:val="21"/>
                <w:highlight w:val="none"/>
              </w:rPr>
            </w:pPr>
          </w:p>
        </w:tc>
      </w:tr>
      <w:tr w14:paraId="6F7E80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852" w:type="dxa"/>
            <w:vMerge w:val="restart"/>
            <w:vAlign w:val="center"/>
          </w:tcPr>
          <w:p w14:paraId="16C9AA70">
            <w:pPr>
              <w:snapToGrid w:val="0"/>
              <w:rPr>
                <w:rFonts w:ascii="宋体" w:hAnsi="宋体" w:eastAsia="宋体" w:cs="宋体"/>
                <w:kern w:val="0"/>
                <w:szCs w:val="21"/>
                <w:highlight w:val="none"/>
              </w:rPr>
            </w:pPr>
            <w:r>
              <w:rPr>
                <w:rFonts w:hint="eastAsia" w:ascii="宋体" w:hAnsi="宋体" w:eastAsia="宋体" w:cs="宋体"/>
                <w:kern w:val="0"/>
                <w:szCs w:val="21"/>
                <w:highlight w:val="none"/>
              </w:rPr>
              <w:t>4</w:t>
            </w:r>
          </w:p>
        </w:tc>
        <w:tc>
          <w:tcPr>
            <w:tcW w:w="1842" w:type="dxa"/>
            <w:vMerge w:val="restart"/>
            <w:vAlign w:val="center"/>
          </w:tcPr>
          <w:p w14:paraId="41C07FD5">
            <w:pPr>
              <w:snapToGrid w:val="0"/>
              <w:jc w:val="center"/>
              <w:rPr>
                <w:rFonts w:ascii="宋体" w:hAnsi="宋体" w:eastAsia="宋体" w:cs="宋体"/>
                <w:kern w:val="0"/>
                <w:szCs w:val="21"/>
                <w:highlight w:val="none"/>
              </w:rPr>
            </w:pPr>
            <w:r>
              <w:rPr>
                <w:rFonts w:hint="eastAsia" w:ascii="宋体" w:hAnsi="宋体" w:eastAsia="宋体" w:cs="宋体"/>
                <w:kern w:val="0"/>
                <w:szCs w:val="21"/>
                <w:highlight w:val="none"/>
              </w:rPr>
              <w:t>数据库审计</w:t>
            </w:r>
          </w:p>
        </w:tc>
        <w:tc>
          <w:tcPr>
            <w:tcW w:w="3402" w:type="dxa"/>
            <w:vAlign w:val="center"/>
          </w:tcPr>
          <w:p w14:paraId="71D1615F">
            <w:pPr>
              <w:snapToGrid w:val="0"/>
              <w:rPr>
                <w:rFonts w:ascii="宋体" w:hAnsi="宋体" w:eastAsia="宋体" w:cs="宋体"/>
                <w:kern w:val="0"/>
                <w:szCs w:val="21"/>
                <w:highlight w:val="none"/>
              </w:rPr>
            </w:pPr>
            <w:r>
              <w:rPr>
                <w:rFonts w:hint="eastAsia" w:ascii="宋体" w:hAnsi="宋体" w:eastAsia="宋体" w:cs="宋体"/>
                <w:kern w:val="0"/>
                <w:szCs w:val="21"/>
                <w:highlight w:val="none"/>
              </w:rPr>
              <w:t>数据库审计产品能够监控数据库，可用于审计移动云平台中的云数据库、自建数据库，提高数据安全等级和合规能力。</w:t>
            </w:r>
          </w:p>
        </w:tc>
        <w:tc>
          <w:tcPr>
            <w:tcW w:w="1276" w:type="dxa"/>
            <w:vMerge w:val="restart"/>
            <w:vAlign w:val="center"/>
          </w:tcPr>
          <w:p w14:paraId="2BA4677D">
            <w:pPr>
              <w:snapToGrid w:val="0"/>
              <w:jc w:val="center"/>
              <w:rPr>
                <w:rFonts w:ascii="宋体" w:hAnsi="宋体" w:eastAsia="宋体" w:cs="宋体"/>
                <w:kern w:val="0"/>
                <w:szCs w:val="21"/>
                <w:highlight w:val="none"/>
              </w:rPr>
            </w:pPr>
            <w:r>
              <w:rPr>
                <w:rFonts w:hint="eastAsia" w:ascii="宋体" w:hAnsi="宋体" w:eastAsia="宋体" w:cs="宋体"/>
                <w:kern w:val="0"/>
                <w:szCs w:val="21"/>
                <w:highlight w:val="none"/>
              </w:rPr>
              <w:t>1套（至少 3个数据库实例）</w:t>
            </w:r>
          </w:p>
        </w:tc>
        <w:tc>
          <w:tcPr>
            <w:tcW w:w="1701" w:type="dxa"/>
            <w:vMerge w:val="restart"/>
            <w:vAlign w:val="center"/>
          </w:tcPr>
          <w:p w14:paraId="2A2FF02F">
            <w:pPr>
              <w:snapToGrid w:val="0"/>
              <w:rPr>
                <w:rFonts w:ascii="宋体" w:hAnsi="宋体" w:eastAsia="宋体" w:cs="宋体"/>
                <w:kern w:val="0"/>
                <w:szCs w:val="21"/>
                <w:highlight w:val="none"/>
              </w:rPr>
            </w:pPr>
            <w:r>
              <w:rPr>
                <w:rFonts w:hint="eastAsia" w:ascii="宋体" w:hAnsi="宋体" w:eastAsia="宋体" w:cs="宋体"/>
                <w:kern w:val="0"/>
                <w:szCs w:val="21"/>
                <w:highlight w:val="none"/>
              </w:rPr>
              <w:t>支持至少3个数据库实例，可根据具体业务情况提升配额满足需求</w:t>
            </w:r>
          </w:p>
        </w:tc>
      </w:tr>
      <w:tr w14:paraId="5BB588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trPr>
        <w:tc>
          <w:tcPr>
            <w:tcW w:w="852" w:type="dxa"/>
            <w:vMerge w:val="continue"/>
            <w:vAlign w:val="center"/>
          </w:tcPr>
          <w:p w14:paraId="07DD6513">
            <w:pPr>
              <w:snapToGrid w:val="0"/>
              <w:rPr>
                <w:rFonts w:ascii="宋体" w:hAnsi="宋体" w:eastAsia="宋体" w:cs="宋体"/>
                <w:kern w:val="0"/>
                <w:szCs w:val="21"/>
                <w:highlight w:val="none"/>
              </w:rPr>
            </w:pPr>
          </w:p>
        </w:tc>
        <w:tc>
          <w:tcPr>
            <w:tcW w:w="1842" w:type="dxa"/>
            <w:vMerge w:val="continue"/>
            <w:vAlign w:val="center"/>
          </w:tcPr>
          <w:p w14:paraId="6ABE4CB3">
            <w:pPr>
              <w:snapToGrid w:val="0"/>
              <w:jc w:val="center"/>
              <w:rPr>
                <w:rFonts w:ascii="宋体" w:hAnsi="宋体" w:eastAsia="宋体" w:cs="宋体"/>
                <w:kern w:val="0"/>
                <w:szCs w:val="21"/>
                <w:highlight w:val="none"/>
              </w:rPr>
            </w:pPr>
          </w:p>
        </w:tc>
        <w:tc>
          <w:tcPr>
            <w:tcW w:w="3402" w:type="dxa"/>
            <w:vAlign w:val="center"/>
          </w:tcPr>
          <w:p w14:paraId="07AC5D81">
            <w:pPr>
              <w:snapToGrid w:val="0"/>
              <w:rPr>
                <w:rFonts w:ascii="宋体" w:hAnsi="宋体" w:eastAsia="宋体" w:cs="宋体"/>
                <w:kern w:val="0"/>
                <w:szCs w:val="21"/>
                <w:highlight w:val="none"/>
              </w:rPr>
            </w:pPr>
            <w:r>
              <w:rPr>
                <w:rFonts w:hint="eastAsia" w:ascii="宋体" w:hAnsi="宋体" w:eastAsia="宋体" w:cs="宋体"/>
                <w:kern w:val="0"/>
                <w:szCs w:val="21"/>
                <w:highlight w:val="none"/>
              </w:rPr>
              <w:t>支持操作审计、多维度线索分析、操作行为检索、多样化审计报表.</w:t>
            </w:r>
          </w:p>
        </w:tc>
        <w:tc>
          <w:tcPr>
            <w:tcW w:w="1276" w:type="dxa"/>
            <w:vMerge w:val="continue"/>
            <w:vAlign w:val="center"/>
          </w:tcPr>
          <w:p w14:paraId="473C00F8">
            <w:pPr>
              <w:snapToGrid w:val="0"/>
              <w:jc w:val="center"/>
              <w:rPr>
                <w:rFonts w:ascii="宋体" w:hAnsi="宋体" w:eastAsia="宋体" w:cs="宋体"/>
                <w:kern w:val="0"/>
                <w:szCs w:val="21"/>
                <w:highlight w:val="none"/>
              </w:rPr>
            </w:pPr>
          </w:p>
        </w:tc>
        <w:tc>
          <w:tcPr>
            <w:tcW w:w="1701" w:type="dxa"/>
            <w:vMerge w:val="continue"/>
            <w:vAlign w:val="center"/>
          </w:tcPr>
          <w:p w14:paraId="415FD8E0">
            <w:pPr>
              <w:snapToGrid w:val="0"/>
              <w:rPr>
                <w:rFonts w:ascii="宋体" w:hAnsi="宋体" w:eastAsia="宋体" w:cs="宋体"/>
                <w:kern w:val="0"/>
                <w:szCs w:val="21"/>
                <w:highlight w:val="none"/>
              </w:rPr>
            </w:pPr>
          </w:p>
        </w:tc>
      </w:tr>
      <w:tr w14:paraId="7D1B3F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trPr>
        <w:tc>
          <w:tcPr>
            <w:tcW w:w="852" w:type="dxa"/>
            <w:vMerge w:val="continue"/>
            <w:vAlign w:val="center"/>
          </w:tcPr>
          <w:p w14:paraId="7C597480">
            <w:pPr>
              <w:snapToGrid w:val="0"/>
              <w:rPr>
                <w:highlight w:val="none"/>
              </w:rPr>
            </w:pPr>
          </w:p>
        </w:tc>
        <w:tc>
          <w:tcPr>
            <w:tcW w:w="1842" w:type="dxa"/>
            <w:vMerge w:val="continue"/>
            <w:vAlign w:val="center"/>
          </w:tcPr>
          <w:p w14:paraId="3089E023">
            <w:pPr>
              <w:snapToGrid w:val="0"/>
              <w:rPr>
                <w:highlight w:val="none"/>
              </w:rPr>
            </w:pPr>
          </w:p>
        </w:tc>
        <w:tc>
          <w:tcPr>
            <w:tcW w:w="3402" w:type="dxa"/>
            <w:vAlign w:val="center"/>
          </w:tcPr>
          <w:p w14:paraId="70F360C2">
            <w:pPr>
              <w:snapToGrid w:val="0"/>
              <w:rPr>
                <w:rFonts w:ascii="宋体" w:hAnsi="宋体" w:eastAsia="宋体" w:cs="宋体"/>
                <w:kern w:val="0"/>
                <w:szCs w:val="21"/>
                <w:highlight w:val="none"/>
              </w:rPr>
            </w:pPr>
            <w:r>
              <w:rPr>
                <w:rFonts w:hint="eastAsia" w:ascii="宋体" w:hAnsi="宋体" w:eastAsia="宋体" w:cs="宋体"/>
                <w:kern w:val="0"/>
                <w:szCs w:val="21"/>
                <w:highlight w:val="none"/>
              </w:rPr>
              <w:t>支持SQL优化建议，对审计到的SQL语句智能化提示优化建议，包括语句描述、错误示例、推荐示例等内容，帮助用户提升SQL语句执行效率。</w:t>
            </w:r>
          </w:p>
        </w:tc>
        <w:tc>
          <w:tcPr>
            <w:tcW w:w="1276" w:type="dxa"/>
            <w:vMerge w:val="continue"/>
            <w:vAlign w:val="center"/>
          </w:tcPr>
          <w:p w14:paraId="0A7E2B0C">
            <w:pPr>
              <w:snapToGrid w:val="0"/>
              <w:rPr>
                <w:rFonts w:ascii="宋体" w:hAnsi="宋体" w:eastAsia="宋体" w:cs="宋体"/>
                <w:kern w:val="0"/>
                <w:szCs w:val="21"/>
                <w:highlight w:val="none"/>
              </w:rPr>
            </w:pPr>
          </w:p>
        </w:tc>
        <w:tc>
          <w:tcPr>
            <w:tcW w:w="1701" w:type="dxa"/>
            <w:vMerge w:val="continue"/>
            <w:vAlign w:val="center"/>
          </w:tcPr>
          <w:p w14:paraId="65A6EC44">
            <w:pPr>
              <w:snapToGrid w:val="0"/>
              <w:rPr>
                <w:rFonts w:ascii="宋体" w:hAnsi="宋体" w:eastAsia="宋体" w:cs="宋体"/>
                <w:kern w:val="0"/>
                <w:szCs w:val="21"/>
                <w:highlight w:val="none"/>
              </w:rPr>
            </w:pPr>
          </w:p>
        </w:tc>
      </w:tr>
      <w:tr w14:paraId="7596A4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trPr>
        <w:tc>
          <w:tcPr>
            <w:tcW w:w="852" w:type="dxa"/>
            <w:vMerge w:val="continue"/>
            <w:vAlign w:val="center"/>
          </w:tcPr>
          <w:p w14:paraId="67EEE7E0">
            <w:pPr>
              <w:snapToGrid w:val="0"/>
              <w:rPr>
                <w:rFonts w:ascii="宋体" w:hAnsi="宋体" w:eastAsia="宋体" w:cs="宋体"/>
                <w:kern w:val="0"/>
                <w:szCs w:val="21"/>
                <w:highlight w:val="none"/>
              </w:rPr>
            </w:pPr>
          </w:p>
        </w:tc>
        <w:tc>
          <w:tcPr>
            <w:tcW w:w="1842" w:type="dxa"/>
            <w:vMerge w:val="continue"/>
            <w:vAlign w:val="center"/>
          </w:tcPr>
          <w:p w14:paraId="51366118">
            <w:pPr>
              <w:snapToGrid w:val="0"/>
              <w:rPr>
                <w:rFonts w:ascii="宋体" w:hAnsi="宋体" w:eastAsia="宋体" w:cs="宋体"/>
                <w:kern w:val="0"/>
                <w:szCs w:val="21"/>
                <w:highlight w:val="none"/>
              </w:rPr>
            </w:pPr>
          </w:p>
        </w:tc>
        <w:tc>
          <w:tcPr>
            <w:tcW w:w="3402" w:type="dxa"/>
            <w:vAlign w:val="center"/>
          </w:tcPr>
          <w:p w14:paraId="13A29C0C">
            <w:pPr>
              <w:snapToGrid w:val="0"/>
              <w:rPr>
                <w:rFonts w:ascii="宋体" w:hAnsi="宋体" w:eastAsia="宋体" w:cs="宋体"/>
                <w:kern w:val="0"/>
                <w:szCs w:val="21"/>
                <w:highlight w:val="none"/>
              </w:rPr>
            </w:pPr>
            <w:r>
              <w:rPr>
                <w:rFonts w:hint="eastAsia" w:ascii="宋体" w:hAnsi="宋体" w:eastAsia="宋体" w:cs="宋体"/>
                <w:kern w:val="0"/>
                <w:szCs w:val="21"/>
                <w:highlight w:val="none"/>
              </w:rPr>
              <w:t>支持源IP分析能力，支持通过源IP在审计系统中跨多个应用的行为特征分析。</w:t>
            </w:r>
          </w:p>
        </w:tc>
        <w:tc>
          <w:tcPr>
            <w:tcW w:w="1276" w:type="dxa"/>
            <w:vMerge w:val="continue"/>
            <w:vAlign w:val="center"/>
          </w:tcPr>
          <w:p w14:paraId="133943F6">
            <w:pPr>
              <w:snapToGrid w:val="0"/>
              <w:rPr>
                <w:rFonts w:ascii="宋体" w:hAnsi="宋体" w:eastAsia="宋体" w:cs="宋体"/>
                <w:kern w:val="0"/>
                <w:szCs w:val="21"/>
                <w:highlight w:val="none"/>
              </w:rPr>
            </w:pPr>
          </w:p>
        </w:tc>
        <w:tc>
          <w:tcPr>
            <w:tcW w:w="1701" w:type="dxa"/>
            <w:vMerge w:val="continue"/>
            <w:vAlign w:val="center"/>
          </w:tcPr>
          <w:p w14:paraId="39F04426">
            <w:pPr>
              <w:snapToGrid w:val="0"/>
              <w:rPr>
                <w:rFonts w:ascii="宋体" w:hAnsi="宋体" w:eastAsia="宋体" w:cs="宋体"/>
                <w:kern w:val="0"/>
                <w:szCs w:val="21"/>
                <w:highlight w:val="none"/>
              </w:rPr>
            </w:pPr>
          </w:p>
        </w:tc>
      </w:tr>
      <w:tr w14:paraId="37096B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trPr>
        <w:tc>
          <w:tcPr>
            <w:tcW w:w="852" w:type="dxa"/>
            <w:vMerge w:val="continue"/>
            <w:vAlign w:val="center"/>
          </w:tcPr>
          <w:p w14:paraId="448EDE54">
            <w:pPr>
              <w:snapToGrid w:val="0"/>
              <w:rPr>
                <w:rFonts w:ascii="宋体" w:hAnsi="宋体" w:eastAsia="宋体" w:cs="宋体"/>
                <w:kern w:val="0"/>
                <w:szCs w:val="21"/>
                <w:highlight w:val="none"/>
              </w:rPr>
            </w:pPr>
          </w:p>
        </w:tc>
        <w:tc>
          <w:tcPr>
            <w:tcW w:w="1842" w:type="dxa"/>
            <w:vMerge w:val="continue"/>
            <w:vAlign w:val="center"/>
          </w:tcPr>
          <w:p w14:paraId="3CFE779A">
            <w:pPr>
              <w:snapToGrid w:val="0"/>
              <w:jc w:val="center"/>
              <w:rPr>
                <w:rFonts w:ascii="宋体" w:hAnsi="宋体" w:eastAsia="宋体" w:cs="宋体"/>
                <w:kern w:val="0"/>
                <w:szCs w:val="21"/>
                <w:highlight w:val="none"/>
              </w:rPr>
            </w:pPr>
          </w:p>
        </w:tc>
        <w:tc>
          <w:tcPr>
            <w:tcW w:w="3402" w:type="dxa"/>
            <w:vAlign w:val="center"/>
          </w:tcPr>
          <w:p w14:paraId="7B96CE71">
            <w:pPr>
              <w:snapToGrid w:val="0"/>
              <w:rPr>
                <w:rFonts w:ascii="宋体" w:hAnsi="宋体" w:eastAsia="宋体" w:cs="宋体"/>
                <w:kern w:val="0"/>
                <w:szCs w:val="21"/>
                <w:highlight w:val="none"/>
              </w:rPr>
            </w:pPr>
            <w:r>
              <w:rPr>
                <w:rFonts w:hint="eastAsia" w:ascii="宋体" w:hAnsi="宋体" w:eastAsia="宋体" w:cs="宋体"/>
                <w:kern w:val="0"/>
                <w:szCs w:val="21"/>
                <w:highlight w:val="none"/>
              </w:rPr>
              <w:t>服务可用性不能低于99.95%</w:t>
            </w:r>
          </w:p>
        </w:tc>
        <w:tc>
          <w:tcPr>
            <w:tcW w:w="1276" w:type="dxa"/>
            <w:vMerge w:val="continue"/>
            <w:vAlign w:val="center"/>
          </w:tcPr>
          <w:p w14:paraId="6535E9AD">
            <w:pPr>
              <w:snapToGrid w:val="0"/>
              <w:jc w:val="center"/>
              <w:rPr>
                <w:rFonts w:ascii="宋体" w:hAnsi="宋体" w:eastAsia="宋体" w:cs="宋体"/>
                <w:kern w:val="0"/>
                <w:szCs w:val="21"/>
                <w:highlight w:val="none"/>
              </w:rPr>
            </w:pPr>
          </w:p>
        </w:tc>
        <w:tc>
          <w:tcPr>
            <w:tcW w:w="1701" w:type="dxa"/>
            <w:vMerge w:val="continue"/>
            <w:vAlign w:val="center"/>
          </w:tcPr>
          <w:p w14:paraId="4A223F21">
            <w:pPr>
              <w:snapToGrid w:val="0"/>
              <w:rPr>
                <w:rFonts w:ascii="宋体" w:hAnsi="宋体" w:eastAsia="宋体" w:cs="宋体"/>
                <w:kern w:val="0"/>
                <w:szCs w:val="21"/>
                <w:highlight w:val="none"/>
              </w:rPr>
            </w:pPr>
          </w:p>
        </w:tc>
      </w:tr>
      <w:tr w14:paraId="471E88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8" w:hRule="atLeast"/>
        </w:trPr>
        <w:tc>
          <w:tcPr>
            <w:tcW w:w="852" w:type="dxa"/>
            <w:vMerge w:val="restart"/>
            <w:vAlign w:val="center"/>
          </w:tcPr>
          <w:p w14:paraId="7005907A">
            <w:pPr>
              <w:snapToGrid w:val="0"/>
              <w:rPr>
                <w:rFonts w:ascii="宋体" w:hAnsi="宋体" w:eastAsia="宋体" w:cs="宋体"/>
                <w:kern w:val="0"/>
                <w:szCs w:val="21"/>
                <w:highlight w:val="none"/>
              </w:rPr>
            </w:pPr>
            <w:r>
              <w:rPr>
                <w:rFonts w:hint="eastAsia" w:ascii="宋体" w:hAnsi="宋体" w:eastAsia="宋体" w:cs="宋体"/>
                <w:kern w:val="0"/>
                <w:szCs w:val="21"/>
                <w:highlight w:val="none"/>
              </w:rPr>
              <w:t>5</w:t>
            </w:r>
          </w:p>
        </w:tc>
        <w:tc>
          <w:tcPr>
            <w:tcW w:w="1842" w:type="dxa"/>
            <w:vMerge w:val="restart"/>
            <w:vAlign w:val="center"/>
          </w:tcPr>
          <w:p w14:paraId="14E7AAB8">
            <w:pPr>
              <w:snapToGrid w:val="0"/>
              <w:jc w:val="center"/>
              <w:rPr>
                <w:rFonts w:ascii="宋体" w:hAnsi="宋体" w:eastAsia="宋体" w:cs="宋体"/>
                <w:kern w:val="0"/>
                <w:szCs w:val="21"/>
                <w:highlight w:val="none"/>
              </w:rPr>
            </w:pPr>
            <w:r>
              <w:rPr>
                <w:rFonts w:hint="eastAsia" w:ascii="宋体" w:hAnsi="宋体" w:eastAsia="宋体" w:cs="宋体"/>
                <w:kern w:val="0"/>
                <w:szCs w:val="21"/>
                <w:highlight w:val="none"/>
              </w:rPr>
              <w:t>日志审计</w:t>
            </w:r>
          </w:p>
        </w:tc>
        <w:tc>
          <w:tcPr>
            <w:tcW w:w="3402" w:type="dxa"/>
            <w:vAlign w:val="center"/>
          </w:tcPr>
          <w:p w14:paraId="2420DC19">
            <w:pPr>
              <w:snapToGrid w:val="0"/>
              <w:rPr>
                <w:rFonts w:ascii="宋体" w:hAnsi="宋体" w:eastAsia="宋体" w:cs="宋体"/>
                <w:kern w:val="0"/>
                <w:szCs w:val="21"/>
                <w:highlight w:val="none"/>
              </w:rPr>
            </w:pPr>
            <w:r>
              <w:rPr>
                <w:rFonts w:hint="eastAsia" w:ascii="宋体" w:hAnsi="宋体" w:eastAsia="宋体" w:cs="宋体"/>
                <w:kern w:val="0"/>
                <w:szCs w:val="21"/>
                <w:highlight w:val="none"/>
              </w:rPr>
              <w:t>日志审计系统可以针对大量分散的异构日志进行集中采集、统一管理、存储、统计分析，协助</w:t>
            </w:r>
            <w:r>
              <w:rPr>
                <w:rFonts w:hint="eastAsia" w:ascii="宋体" w:hAnsi="宋体" w:eastAsia="宋体" w:cs="宋体"/>
                <w:szCs w:val="21"/>
                <w:highlight w:val="none"/>
              </w:rPr>
              <w:t>使用方</w:t>
            </w:r>
            <w:r>
              <w:rPr>
                <w:rFonts w:hint="eastAsia" w:ascii="宋体" w:hAnsi="宋体" w:eastAsia="宋体" w:cs="宋体"/>
                <w:kern w:val="0"/>
                <w:szCs w:val="21"/>
                <w:highlight w:val="none"/>
              </w:rPr>
              <w:t>满足等保合规要求、高效统一管理资产日志并为安全事件的事后取证提供依据。</w:t>
            </w:r>
          </w:p>
        </w:tc>
        <w:tc>
          <w:tcPr>
            <w:tcW w:w="1276" w:type="dxa"/>
            <w:vMerge w:val="restart"/>
            <w:vAlign w:val="center"/>
          </w:tcPr>
          <w:p w14:paraId="258CFB56">
            <w:pPr>
              <w:snapToGrid w:val="0"/>
              <w:jc w:val="center"/>
              <w:rPr>
                <w:rFonts w:ascii="宋体" w:hAnsi="宋体" w:eastAsia="宋体" w:cs="宋体"/>
                <w:kern w:val="0"/>
                <w:szCs w:val="21"/>
                <w:highlight w:val="none"/>
              </w:rPr>
            </w:pPr>
            <w:r>
              <w:rPr>
                <w:rFonts w:hint="eastAsia" w:ascii="宋体" w:hAnsi="宋体" w:eastAsia="宋体" w:cs="宋体"/>
                <w:kern w:val="0"/>
                <w:szCs w:val="21"/>
                <w:highlight w:val="none"/>
              </w:rPr>
              <w:t>1套（至少1</w:t>
            </w:r>
            <w:r>
              <w:rPr>
                <w:rFonts w:ascii="宋体" w:hAnsi="宋体" w:eastAsia="宋体" w:cs="宋体"/>
                <w:kern w:val="0"/>
                <w:szCs w:val="21"/>
                <w:highlight w:val="none"/>
              </w:rPr>
              <w:t>0</w:t>
            </w:r>
            <w:r>
              <w:rPr>
                <w:rFonts w:hint="eastAsia" w:ascii="宋体" w:hAnsi="宋体" w:eastAsia="宋体" w:cs="宋体"/>
                <w:kern w:val="0"/>
                <w:szCs w:val="21"/>
                <w:highlight w:val="none"/>
              </w:rPr>
              <w:t>个数据源）</w:t>
            </w:r>
          </w:p>
        </w:tc>
        <w:tc>
          <w:tcPr>
            <w:tcW w:w="1701" w:type="dxa"/>
            <w:vMerge w:val="restart"/>
            <w:vAlign w:val="center"/>
          </w:tcPr>
          <w:p w14:paraId="708C0D07">
            <w:pPr>
              <w:snapToGrid w:val="0"/>
              <w:rPr>
                <w:rFonts w:ascii="宋体" w:hAnsi="宋体" w:eastAsia="宋体" w:cs="宋体"/>
                <w:kern w:val="0"/>
                <w:szCs w:val="21"/>
                <w:highlight w:val="none"/>
              </w:rPr>
            </w:pPr>
            <w:r>
              <w:rPr>
                <w:rFonts w:hint="eastAsia" w:ascii="宋体" w:hAnsi="宋体" w:eastAsia="宋体" w:cs="宋体"/>
                <w:kern w:val="0"/>
                <w:szCs w:val="21"/>
                <w:highlight w:val="none"/>
              </w:rPr>
              <w:t>支持至少10个数据源数量，可根据具体业务情况提升配额满足需求</w:t>
            </w:r>
          </w:p>
        </w:tc>
      </w:tr>
      <w:tr w14:paraId="5195D7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trPr>
        <w:tc>
          <w:tcPr>
            <w:tcW w:w="852" w:type="dxa"/>
            <w:vMerge w:val="continue"/>
            <w:vAlign w:val="center"/>
          </w:tcPr>
          <w:p w14:paraId="02565209">
            <w:pPr>
              <w:snapToGrid w:val="0"/>
              <w:rPr>
                <w:rFonts w:ascii="宋体" w:hAnsi="宋体" w:eastAsia="宋体" w:cs="宋体"/>
                <w:kern w:val="0"/>
                <w:szCs w:val="21"/>
                <w:highlight w:val="none"/>
              </w:rPr>
            </w:pPr>
          </w:p>
        </w:tc>
        <w:tc>
          <w:tcPr>
            <w:tcW w:w="1842" w:type="dxa"/>
            <w:vMerge w:val="continue"/>
            <w:vAlign w:val="center"/>
          </w:tcPr>
          <w:p w14:paraId="476027BD">
            <w:pPr>
              <w:snapToGrid w:val="0"/>
              <w:jc w:val="center"/>
              <w:rPr>
                <w:rFonts w:ascii="宋体" w:hAnsi="宋体" w:eastAsia="宋体" w:cs="宋体"/>
                <w:kern w:val="0"/>
                <w:szCs w:val="21"/>
                <w:highlight w:val="none"/>
              </w:rPr>
            </w:pPr>
          </w:p>
        </w:tc>
        <w:tc>
          <w:tcPr>
            <w:tcW w:w="3402" w:type="dxa"/>
            <w:vAlign w:val="center"/>
          </w:tcPr>
          <w:p w14:paraId="3EEC15C1">
            <w:pPr>
              <w:snapToGrid w:val="0"/>
              <w:rPr>
                <w:rFonts w:ascii="宋体" w:hAnsi="宋体" w:eastAsia="宋体" w:cs="宋体"/>
                <w:kern w:val="0"/>
                <w:szCs w:val="21"/>
                <w:highlight w:val="none"/>
              </w:rPr>
            </w:pPr>
            <w:r>
              <w:rPr>
                <w:rFonts w:hint="eastAsia" w:ascii="宋体" w:hAnsi="宋体" w:eastAsia="宋体" w:cs="宋体"/>
                <w:kern w:val="0"/>
                <w:szCs w:val="21"/>
                <w:highlight w:val="none"/>
              </w:rPr>
              <w:t>支持日志统计展示、日志管理、事件管理</w:t>
            </w:r>
          </w:p>
        </w:tc>
        <w:tc>
          <w:tcPr>
            <w:tcW w:w="1276" w:type="dxa"/>
            <w:vMerge w:val="continue"/>
            <w:vAlign w:val="center"/>
          </w:tcPr>
          <w:p w14:paraId="49B18801">
            <w:pPr>
              <w:snapToGrid w:val="0"/>
              <w:jc w:val="center"/>
              <w:rPr>
                <w:rFonts w:ascii="宋体" w:hAnsi="宋体" w:eastAsia="宋体" w:cs="宋体"/>
                <w:kern w:val="0"/>
                <w:szCs w:val="21"/>
                <w:highlight w:val="none"/>
              </w:rPr>
            </w:pPr>
          </w:p>
        </w:tc>
        <w:tc>
          <w:tcPr>
            <w:tcW w:w="1701" w:type="dxa"/>
            <w:vMerge w:val="continue"/>
            <w:vAlign w:val="center"/>
          </w:tcPr>
          <w:p w14:paraId="4FC2EF25">
            <w:pPr>
              <w:snapToGrid w:val="0"/>
              <w:rPr>
                <w:rFonts w:ascii="宋体" w:hAnsi="宋体" w:eastAsia="宋体" w:cs="宋体"/>
                <w:kern w:val="0"/>
                <w:szCs w:val="21"/>
                <w:highlight w:val="none"/>
              </w:rPr>
            </w:pPr>
          </w:p>
        </w:tc>
      </w:tr>
      <w:tr w14:paraId="06B646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trPr>
        <w:tc>
          <w:tcPr>
            <w:tcW w:w="852" w:type="dxa"/>
            <w:vMerge w:val="continue"/>
            <w:vAlign w:val="center"/>
          </w:tcPr>
          <w:p w14:paraId="094D46CB">
            <w:pPr>
              <w:snapToGrid w:val="0"/>
              <w:rPr>
                <w:highlight w:val="none"/>
              </w:rPr>
            </w:pPr>
          </w:p>
        </w:tc>
        <w:tc>
          <w:tcPr>
            <w:tcW w:w="1842" w:type="dxa"/>
            <w:vMerge w:val="continue"/>
            <w:vAlign w:val="center"/>
          </w:tcPr>
          <w:p w14:paraId="5A5076AC">
            <w:pPr>
              <w:snapToGrid w:val="0"/>
              <w:rPr>
                <w:highlight w:val="none"/>
              </w:rPr>
            </w:pPr>
          </w:p>
        </w:tc>
        <w:tc>
          <w:tcPr>
            <w:tcW w:w="3402" w:type="dxa"/>
            <w:vAlign w:val="center"/>
          </w:tcPr>
          <w:p w14:paraId="7582BC55">
            <w:pPr>
              <w:snapToGrid w:val="0"/>
              <w:rPr>
                <w:rFonts w:ascii="宋体" w:hAnsi="宋体" w:eastAsia="宋体" w:cs="宋体"/>
                <w:kern w:val="0"/>
                <w:szCs w:val="21"/>
                <w:highlight w:val="none"/>
              </w:rPr>
            </w:pPr>
            <w:r>
              <w:rPr>
                <w:rFonts w:hint="eastAsia" w:ascii="宋体" w:hAnsi="宋体" w:eastAsia="宋体" w:cs="宋体"/>
                <w:kern w:val="0"/>
                <w:szCs w:val="21"/>
                <w:highlight w:val="none"/>
              </w:rPr>
              <w:t>支持全智能范式化解析模式，通过配置原始日志标识库，系统自动识别原始日志，并匹配映射系统通用标准字段，支持解析字段的编辑和调整，确保日志解析的高精准度</w:t>
            </w:r>
          </w:p>
        </w:tc>
        <w:tc>
          <w:tcPr>
            <w:tcW w:w="1276" w:type="dxa"/>
            <w:vMerge w:val="continue"/>
            <w:vAlign w:val="center"/>
          </w:tcPr>
          <w:p w14:paraId="0D747005">
            <w:pPr>
              <w:snapToGrid w:val="0"/>
              <w:rPr>
                <w:rFonts w:ascii="宋体" w:hAnsi="宋体" w:eastAsia="宋体" w:cs="宋体"/>
                <w:kern w:val="0"/>
                <w:szCs w:val="21"/>
                <w:highlight w:val="none"/>
              </w:rPr>
            </w:pPr>
          </w:p>
        </w:tc>
        <w:tc>
          <w:tcPr>
            <w:tcW w:w="1701" w:type="dxa"/>
            <w:vMerge w:val="continue"/>
            <w:vAlign w:val="center"/>
          </w:tcPr>
          <w:p w14:paraId="1307B471">
            <w:pPr>
              <w:snapToGrid w:val="0"/>
              <w:rPr>
                <w:rFonts w:ascii="宋体" w:hAnsi="宋体" w:eastAsia="宋体" w:cs="宋体"/>
                <w:kern w:val="0"/>
                <w:szCs w:val="21"/>
                <w:highlight w:val="none"/>
              </w:rPr>
            </w:pPr>
          </w:p>
        </w:tc>
      </w:tr>
      <w:tr w14:paraId="3C91B3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trPr>
        <w:tc>
          <w:tcPr>
            <w:tcW w:w="852" w:type="dxa"/>
            <w:vMerge w:val="continue"/>
            <w:vAlign w:val="center"/>
          </w:tcPr>
          <w:p w14:paraId="6FDFADF4">
            <w:pPr>
              <w:snapToGrid w:val="0"/>
              <w:rPr>
                <w:rFonts w:ascii="宋体" w:hAnsi="宋体" w:eastAsia="宋体" w:cs="宋体"/>
                <w:kern w:val="0"/>
                <w:szCs w:val="21"/>
                <w:highlight w:val="none"/>
              </w:rPr>
            </w:pPr>
          </w:p>
        </w:tc>
        <w:tc>
          <w:tcPr>
            <w:tcW w:w="1842" w:type="dxa"/>
            <w:vMerge w:val="continue"/>
            <w:vAlign w:val="center"/>
          </w:tcPr>
          <w:p w14:paraId="22A82678">
            <w:pPr>
              <w:snapToGrid w:val="0"/>
              <w:rPr>
                <w:rFonts w:ascii="宋体" w:hAnsi="宋体" w:eastAsia="宋体" w:cs="宋体"/>
                <w:kern w:val="0"/>
                <w:szCs w:val="21"/>
                <w:highlight w:val="none"/>
              </w:rPr>
            </w:pPr>
          </w:p>
        </w:tc>
        <w:tc>
          <w:tcPr>
            <w:tcW w:w="3402" w:type="dxa"/>
            <w:vAlign w:val="center"/>
          </w:tcPr>
          <w:p w14:paraId="6E6D3321">
            <w:pPr>
              <w:snapToGrid w:val="0"/>
              <w:rPr>
                <w:rFonts w:ascii="宋体" w:hAnsi="宋体" w:eastAsia="宋体" w:cs="宋体"/>
                <w:kern w:val="0"/>
                <w:szCs w:val="21"/>
                <w:highlight w:val="none"/>
              </w:rPr>
            </w:pPr>
            <w:r>
              <w:rPr>
                <w:rFonts w:hint="eastAsia" w:ascii="宋体" w:hAnsi="宋体" w:eastAsia="宋体" w:cs="宋体"/>
                <w:kern w:val="0"/>
                <w:szCs w:val="21"/>
                <w:highlight w:val="none"/>
              </w:rPr>
              <w:t>支持日志加密压缩传输，支持加密压缩方式转发，加密方式支持SM4国密算法，支持定时转发</w:t>
            </w:r>
          </w:p>
        </w:tc>
        <w:tc>
          <w:tcPr>
            <w:tcW w:w="1276" w:type="dxa"/>
            <w:vMerge w:val="continue"/>
            <w:vAlign w:val="center"/>
          </w:tcPr>
          <w:p w14:paraId="2636E86A">
            <w:pPr>
              <w:snapToGrid w:val="0"/>
              <w:rPr>
                <w:rFonts w:ascii="宋体" w:hAnsi="宋体" w:eastAsia="宋体" w:cs="宋体"/>
                <w:kern w:val="0"/>
                <w:szCs w:val="21"/>
                <w:highlight w:val="none"/>
              </w:rPr>
            </w:pPr>
          </w:p>
        </w:tc>
        <w:tc>
          <w:tcPr>
            <w:tcW w:w="1701" w:type="dxa"/>
            <w:vMerge w:val="continue"/>
            <w:vAlign w:val="center"/>
          </w:tcPr>
          <w:p w14:paraId="24A6E7AE">
            <w:pPr>
              <w:snapToGrid w:val="0"/>
              <w:rPr>
                <w:rFonts w:ascii="宋体" w:hAnsi="宋体" w:eastAsia="宋体" w:cs="宋体"/>
                <w:kern w:val="0"/>
                <w:szCs w:val="21"/>
                <w:highlight w:val="none"/>
              </w:rPr>
            </w:pPr>
          </w:p>
        </w:tc>
      </w:tr>
      <w:tr w14:paraId="420961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trPr>
        <w:tc>
          <w:tcPr>
            <w:tcW w:w="852" w:type="dxa"/>
            <w:vMerge w:val="continue"/>
            <w:vAlign w:val="center"/>
          </w:tcPr>
          <w:p w14:paraId="43CDAF14">
            <w:pPr>
              <w:snapToGrid w:val="0"/>
              <w:rPr>
                <w:rFonts w:ascii="宋体" w:hAnsi="宋体" w:eastAsia="宋体" w:cs="宋体"/>
                <w:kern w:val="0"/>
                <w:szCs w:val="21"/>
                <w:highlight w:val="none"/>
              </w:rPr>
            </w:pPr>
          </w:p>
        </w:tc>
        <w:tc>
          <w:tcPr>
            <w:tcW w:w="1842" w:type="dxa"/>
            <w:vMerge w:val="continue"/>
            <w:vAlign w:val="center"/>
          </w:tcPr>
          <w:p w14:paraId="7DB7F68A">
            <w:pPr>
              <w:snapToGrid w:val="0"/>
              <w:jc w:val="center"/>
              <w:rPr>
                <w:rFonts w:ascii="宋体" w:hAnsi="宋体" w:eastAsia="宋体" w:cs="宋体"/>
                <w:kern w:val="0"/>
                <w:szCs w:val="21"/>
                <w:highlight w:val="none"/>
              </w:rPr>
            </w:pPr>
          </w:p>
        </w:tc>
        <w:tc>
          <w:tcPr>
            <w:tcW w:w="3402" w:type="dxa"/>
            <w:vAlign w:val="center"/>
          </w:tcPr>
          <w:p w14:paraId="3011AFBF">
            <w:pPr>
              <w:snapToGrid w:val="0"/>
              <w:rPr>
                <w:rFonts w:ascii="宋体" w:hAnsi="宋体" w:eastAsia="宋体" w:cs="宋体"/>
                <w:kern w:val="0"/>
                <w:szCs w:val="21"/>
                <w:highlight w:val="none"/>
              </w:rPr>
            </w:pPr>
            <w:r>
              <w:rPr>
                <w:rFonts w:hint="eastAsia" w:ascii="宋体" w:hAnsi="宋体" w:eastAsia="宋体" w:cs="宋体"/>
                <w:kern w:val="0"/>
                <w:szCs w:val="21"/>
                <w:highlight w:val="none"/>
              </w:rPr>
              <w:t>服务可用性不能低于99.95%</w:t>
            </w:r>
          </w:p>
        </w:tc>
        <w:tc>
          <w:tcPr>
            <w:tcW w:w="1276" w:type="dxa"/>
            <w:vMerge w:val="continue"/>
            <w:vAlign w:val="center"/>
          </w:tcPr>
          <w:p w14:paraId="49B5C8AB">
            <w:pPr>
              <w:snapToGrid w:val="0"/>
              <w:jc w:val="center"/>
              <w:rPr>
                <w:rFonts w:ascii="宋体" w:hAnsi="宋体" w:eastAsia="宋体" w:cs="宋体"/>
                <w:kern w:val="0"/>
                <w:szCs w:val="21"/>
                <w:highlight w:val="none"/>
              </w:rPr>
            </w:pPr>
          </w:p>
        </w:tc>
        <w:tc>
          <w:tcPr>
            <w:tcW w:w="1701" w:type="dxa"/>
            <w:vMerge w:val="continue"/>
            <w:vAlign w:val="center"/>
          </w:tcPr>
          <w:p w14:paraId="6F7071D1">
            <w:pPr>
              <w:snapToGrid w:val="0"/>
              <w:rPr>
                <w:rFonts w:ascii="宋体" w:hAnsi="宋体" w:eastAsia="宋体" w:cs="宋体"/>
                <w:kern w:val="0"/>
                <w:szCs w:val="21"/>
                <w:highlight w:val="none"/>
              </w:rPr>
            </w:pPr>
          </w:p>
        </w:tc>
      </w:tr>
      <w:tr w14:paraId="7CBBC7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852" w:type="dxa"/>
            <w:vMerge w:val="restart"/>
            <w:vAlign w:val="center"/>
          </w:tcPr>
          <w:p w14:paraId="256FE322">
            <w:pPr>
              <w:snapToGrid w:val="0"/>
              <w:rPr>
                <w:rFonts w:ascii="宋体" w:hAnsi="宋体" w:eastAsia="宋体" w:cs="宋体"/>
                <w:kern w:val="0"/>
                <w:szCs w:val="21"/>
                <w:highlight w:val="none"/>
              </w:rPr>
            </w:pPr>
            <w:r>
              <w:rPr>
                <w:rFonts w:hint="eastAsia" w:ascii="宋体" w:hAnsi="宋体" w:eastAsia="宋体" w:cs="宋体"/>
                <w:kern w:val="0"/>
                <w:szCs w:val="21"/>
                <w:highlight w:val="none"/>
              </w:rPr>
              <w:t>6</w:t>
            </w:r>
          </w:p>
        </w:tc>
        <w:tc>
          <w:tcPr>
            <w:tcW w:w="1842" w:type="dxa"/>
            <w:vMerge w:val="restart"/>
            <w:vAlign w:val="center"/>
          </w:tcPr>
          <w:p w14:paraId="73DE4FD1">
            <w:pPr>
              <w:snapToGrid w:val="0"/>
              <w:jc w:val="center"/>
              <w:rPr>
                <w:rFonts w:ascii="宋体" w:hAnsi="宋体" w:eastAsia="宋体" w:cs="宋体"/>
                <w:kern w:val="0"/>
                <w:szCs w:val="21"/>
                <w:highlight w:val="none"/>
              </w:rPr>
            </w:pPr>
            <w:r>
              <w:rPr>
                <w:rFonts w:hint="eastAsia" w:ascii="宋体" w:hAnsi="宋体" w:eastAsia="宋体" w:cs="宋体"/>
                <w:kern w:val="0"/>
                <w:szCs w:val="21"/>
                <w:highlight w:val="none"/>
              </w:rPr>
              <w:t>云防火墙</w:t>
            </w:r>
          </w:p>
        </w:tc>
        <w:tc>
          <w:tcPr>
            <w:tcW w:w="3402" w:type="dxa"/>
            <w:vAlign w:val="center"/>
          </w:tcPr>
          <w:p w14:paraId="3AD52769">
            <w:pPr>
              <w:snapToGrid w:val="0"/>
              <w:rPr>
                <w:rFonts w:ascii="宋体" w:hAnsi="宋体" w:eastAsia="宋体" w:cs="宋体"/>
                <w:kern w:val="0"/>
                <w:szCs w:val="21"/>
                <w:highlight w:val="none"/>
              </w:rPr>
            </w:pPr>
            <w:r>
              <w:rPr>
                <w:rFonts w:hint="eastAsia" w:ascii="宋体" w:hAnsi="宋体" w:eastAsia="宋体" w:cs="宋体"/>
                <w:kern w:val="0"/>
                <w:szCs w:val="21"/>
                <w:highlight w:val="none"/>
              </w:rPr>
              <w:t>提供云防火墙产品，支持自定义防火墙规则，通过定义规则，允许或禁止流量通过。</w:t>
            </w:r>
          </w:p>
        </w:tc>
        <w:tc>
          <w:tcPr>
            <w:tcW w:w="1276" w:type="dxa"/>
            <w:vMerge w:val="restart"/>
            <w:vAlign w:val="center"/>
          </w:tcPr>
          <w:p w14:paraId="076F293B">
            <w:pPr>
              <w:snapToGrid w:val="0"/>
              <w:jc w:val="center"/>
              <w:rPr>
                <w:rFonts w:ascii="宋体" w:hAnsi="宋体" w:eastAsia="宋体" w:cs="宋体"/>
                <w:kern w:val="0"/>
                <w:szCs w:val="21"/>
                <w:highlight w:val="none"/>
              </w:rPr>
            </w:pPr>
            <w:r>
              <w:rPr>
                <w:rFonts w:hint="eastAsia" w:ascii="宋体" w:hAnsi="宋体" w:eastAsia="宋体" w:cs="宋体"/>
                <w:kern w:val="0"/>
                <w:szCs w:val="21"/>
                <w:highlight w:val="none"/>
              </w:rPr>
              <w:t>2个</w:t>
            </w:r>
          </w:p>
        </w:tc>
        <w:tc>
          <w:tcPr>
            <w:tcW w:w="1701" w:type="dxa"/>
            <w:vMerge w:val="restart"/>
            <w:vAlign w:val="center"/>
          </w:tcPr>
          <w:p w14:paraId="1E99517E">
            <w:pPr>
              <w:snapToGrid w:val="0"/>
              <w:rPr>
                <w:rFonts w:ascii="宋体" w:hAnsi="宋体" w:eastAsia="宋体" w:cs="宋体"/>
                <w:kern w:val="0"/>
                <w:szCs w:val="21"/>
                <w:highlight w:val="none"/>
              </w:rPr>
            </w:pPr>
            <w:r>
              <w:rPr>
                <w:rFonts w:hint="eastAsia" w:ascii="宋体" w:hAnsi="宋体" w:eastAsia="宋体" w:cs="宋体"/>
                <w:kern w:val="0"/>
                <w:szCs w:val="21"/>
                <w:highlight w:val="none"/>
              </w:rPr>
              <w:t>支持至少1个私有网络的防护，可根据具体业务情况提升配额满足需求</w:t>
            </w:r>
          </w:p>
        </w:tc>
      </w:tr>
      <w:tr w14:paraId="3C6E2A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trPr>
        <w:tc>
          <w:tcPr>
            <w:tcW w:w="852" w:type="dxa"/>
            <w:vMerge w:val="continue"/>
            <w:vAlign w:val="center"/>
          </w:tcPr>
          <w:p w14:paraId="110CF0CD">
            <w:pPr>
              <w:snapToGrid w:val="0"/>
              <w:rPr>
                <w:rFonts w:ascii="宋体" w:hAnsi="宋体" w:eastAsia="宋体" w:cs="宋体"/>
                <w:kern w:val="0"/>
                <w:szCs w:val="21"/>
                <w:highlight w:val="none"/>
              </w:rPr>
            </w:pPr>
          </w:p>
        </w:tc>
        <w:tc>
          <w:tcPr>
            <w:tcW w:w="1842" w:type="dxa"/>
            <w:vMerge w:val="continue"/>
            <w:vAlign w:val="center"/>
          </w:tcPr>
          <w:p w14:paraId="5A667515">
            <w:pPr>
              <w:snapToGrid w:val="0"/>
              <w:rPr>
                <w:rFonts w:ascii="宋体" w:hAnsi="宋体" w:eastAsia="宋体" w:cs="宋体"/>
                <w:kern w:val="0"/>
                <w:szCs w:val="21"/>
                <w:highlight w:val="none"/>
              </w:rPr>
            </w:pPr>
          </w:p>
        </w:tc>
        <w:tc>
          <w:tcPr>
            <w:tcW w:w="3402" w:type="dxa"/>
            <w:vAlign w:val="center"/>
          </w:tcPr>
          <w:p w14:paraId="5DB50E11">
            <w:pPr>
              <w:snapToGrid w:val="0"/>
              <w:rPr>
                <w:rFonts w:ascii="宋体" w:hAnsi="宋体" w:eastAsia="宋体" w:cs="宋体"/>
                <w:kern w:val="0"/>
                <w:szCs w:val="21"/>
                <w:highlight w:val="none"/>
              </w:rPr>
            </w:pPr>
            <w:r>
              <w:rPr>
                <w:rFonts w:hint="eastAsia" w:ascii="宋体" w:hAnsi="宋体" w:eastAsia="宋体" w:cs="宋体"/>
                <w:kern w:val="0"/>
                <w:szCs w:val="21"/>
                <w:highlight w:val="none"/>
              </w:rPr>
              <w:t>支持二层逻辑隔离、公网地址和私网地址的转换</w:t>
            </w:r>
          </w:p>
        </w:tc>
        <w:tc>
          <w:tcPr>
            <w:tcW w:w="1276" w:type="dxa"/>
            <w:vMerge w:val="continue"/>
            <w:vAlign w:val="center"/>
          </w:tcPr>
          <w:p w14:paraId="176B0DEA">
            <w:pPr>
              <w:snapToGrid w:val="0"/>
              <w:rPr>
                <w:rFonts w:ascii="宋体" w:hAnsi="宋体" w:eastAsia="宋体" w:cs="宋体"/>
                <w:kern w:val="0"/>
                <w:szCs w:val="21"/>
                <w:highlight w:val="none"/>
              </w:rPr>
            </w:pPr>
          </w:p>
        </w:tc>
        <w:tc>
          <w:tcPr>
            <w:tcW w:w="1701" w:type="dxa"/>
            <w:vMerge w:val="continue"/>
            <w:vAlign w:val="center"/>
          </w:tcPr>
          <w:p w14:paraId="110BCC40">
            <w:pPr>
              <w:snapToGrid w:val="0"/>
              <w:rPr>
                <w:rFonts w:ascii="宋体" w:hAnsi="宋体" w:eastAsia="宋体" w:cs="宋体"/>
                <w:kern w:val="0"/>
                <w:szCs w:val="21"/>
                <w:highlight w:val="none"/>
              </w:rPr>
            </w:pPr>
          </w:p>
        </w:tc>
      </w:tr>
      <w:tr w14:paraId="05DDA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trPr>
        <w:tc>
          <w:tcPr>
            <w:tcW w:w="852" w:type="dxa"/>
            <w:vMerge w:val="continue"/>
            <w:vAlign w:val="center"/>
          </w:tcPr>
          <w:p w14:paraId="70E4624C">
            <w:pPr>
              <w:snapToGrid w:val="0"/>
              <w:rPr>
                <w:highlight w:val="none"/>
              </w:rPr>
            </w:pPr>
          </w:p>
        </w:tc>
        <w:tc>
          <w:tcPr>
            <w:tcW w:w="1842" w:type="dxa"/>
            <w:vMerge w:val="continue"/>
            <w:vAlign w:val="center"/>
          </w:tcPr>
          <w:p w14:paraId="108F0CA1">
            <w:pPr>
              <w:snapToGrid w:val="0"/>
              <w:rPr>
                <w:highlight w:val="none"/>
              </w:rPr>
            </w:pPr>
          </w:p>
        </w:tc>
        <w:tc>
          <w:tcPr>
            <w:tcW w:w="3402" w:type="dxa"/>
            <w:vAlign w:val="center"/>
          </w:tcPr>
          <w:p w14:paraId="6120FAF8">
            <w:pPr>
              <w:snapToGrid w:val="0"/>
              <w:rPr>
                <w:rFonts w:ascii="宋体" w:hAnsi="宋体" w:eastAsia="宋体" w:cs="宋体"/>
                <w:kern w:val="0"/>
                <w:szCs w:val="21"/>
                <w:highlight w:val="none"/>
              </w:rPr>
            </w:pPr>
            <w:r>
              <w:rPr>
                <w:rFonts w:hint="eastAsia" w:ascii="宋体" w:hAnsi="宋体" w:eastAsia="宋体" w:cs="宋体"/>
                <w:kern w:val="0"/>
                <w:szCs w:val="21"/>
                <w:highlight w:val="none"/>
              </w:rPr>
              <w:t>支持集中对所有防火墙安全策略进行冗余分析，可分析出安全策略是否为不必要的冗余配置.</w:t>
            </w:r>
          </w:p>
        </w:tc>
        <w:tc>
          <w:tcPr>
            <w:tcW w:w="1276" w:type="dxa"/>
            <w:vMerge w:val="continue"/>
            <w:vAlign w:val="center"/>
          </w:tcPr>
          <w:p w14:paraId="3067408F">
            <w:pPr>
              <w:snapToGrid w:val="0"/>
              <w:rPr>
                <w:rFonts w:ascii="宋体" w:hAnsi="宋体" w:eastAsia="宋体" w:cs="宋体"/>
                <w:kern w:val="0"/>
                <w:szCs w:val="21"/>
                <w:highlight w:val="none"/>
              </w:rPr>
            </w:pPr>
          </w:p>
        </w:tc>
        <w:tc>
          <w:tcPr>
            <w:tcW w:w="1701" w:type="dxa"/>
            <w:vMerge w:val="continue"/>
            <w:vAlign w:val="center"/>
          </w:tcPr>
          <w:p w14:paraId="67F498BC">
            <w:pPr>
              <w:snapToGrid w:val="0"/>
              <w:rPr>
                <w:rFonts w:ascii="宋体" w:hAnsi="宋体" w:eastAsia="宋体" w:cs="宋体"/>
                <w:kern w:val="0"/>
                <w:szCs w:val="21"/>
                <w:highlight w:val="none"/>
              </w:rPr>
            </w:pPr>
          </w:p>
        </w:tc>
      </w:tr>
      <w:tr w14:paraId="7F0E21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trPr>
        <w:tc>
          <w:tcPr>
            <w:tcW w:w="852" w:type="dxa"/>
            <w:vMerge w:val="continue"/>
            <w:vAlign w:val="center"/>
          </w:tcPr>
          <w:p w14:paraId="35C9E81F">
            <w:pPr>
              <w:snapToGrid w:val="0"/>
              <w:rPr>
                <w:rFonts w:ascii="宋体" w:hAnsi="宋体" w:eastAsia="宋体" w:cs="宋体"/>
                <w:kern w:val="0"/>
                <w:szCs w:val="21"/>
                <w:highlight w:val="none"/>
              </w:rPr>
            </w:pPr>
          </w:p>
        </w:tc>
        <w:tc>
          <w:tcPr>
            <w:tcW w:w="1842" w:type="dxa"/>
            <w:vMerge w:val="continue"/>
            <w:vAlign w:val="center"/>
          </w:tcPr>
          <w:p w14:paraId="104EABBD">
            <w:pPr>
              <w:snapToGrid w:val="0"/>
              <w:rPr>
                <w:rFonts w:ascii="宋体" w:hAnsi="宋体" w:eastAsia="宋体" w:cs="宋体"/>
                <w:kern w:val="0"/>
                <w:szCs w:val="21"/>
                <w:highlight w:val="none"/>
              </w:rPr>
            </w:pPr>
          </w:p>
        </w:tc>
        <w:tc>
          <w:tcPr>
            <w:tcW w:w="3402" w:type="dxa"/>
            <w:vAlign w:val="center"/>
          </w:tcPr>
          <w:p w14:paraId="4F48AA6B">
            <w:pPr>
              <w:snapToGrid w:val="0"/>
              <w:rPr>
                <w:rFonts w:ascii="宋体" w:hAnsi="宋体" w:eastAsia="宋体" w:cs="宋体"/>
                <w:kern w:val="0"/>
                <w:szCs w:val="21"/>
                <w:highlight w:val="none"/>
              </w:rPr>
            </w:pPr>
            <w:r>
              <w:rPr>
                <w:rFonts w:hint="eastAsia" w:ascii="宋体" w:hAnsi="宋体" w:eastAsia="宋体" w:cs="宋体"/>
                <w:kern w:val="0"/>
                <w:szCs w:val="21"/>
                <w:highlight w:val="none"/>
              </w:rPr>
              <w:t>支持黑名单多种类型导入，如通过文件上传增量添加黑名单、支持页面复制粘贴方式添加黑名单、支持API接口下发黑名单。</w:t>
            </w:r>
          </w:p>
        </w:tc>
        <w:tc>
          <w:tcPr>
            <w:tcW w:w="1276" w:type="dxa"/>
            <w:vMerge w:val="continue"/>
            <w:vAlign w:val="center"/>
          </w:tcPr>
          <w:p w14:paraId="1A7C977D">
            <w:pPr>
              <w:snapToGrid w:val="0"/>
              <w:rPr>
                <w:rFonts w:ascii="宋体" w:hAnsi="宋体" w:eastAsia="宋体" w:cs="宋体"/>
                <w:kern w:val="0"/>
                <w:szCs w:val="21"/>
                <w:highlight w:val="none"/>
              </w:rPr>
            </w:pPr>
          </w:p>
        </w:tc>
        <w:tc>
          <w:tcPr>
            <w:tcW w:w="1701" w:type="dxa"/>
            <w:vMerge w:val="continue"/>
            <w:vAlign w:val="center"/>
          </w:tcPr>
          <w:p w14:paraId="548C893F">
            <w:pPr>
              <w:snapToGrid w:val="0"/>
              <w:rPr>
                <w:rFonts w:ascii="宋体" w:hAnsi="宋体" w:eastAsia="宋体" w:cs="宋体"/>
                <w:kern w:val="0"/>
                <w:szCs w:val="21"/>
                <w:highlight w:val="none"/>
              </w:rPr>
            </w:pPr>
          </w:p>
        </w:tc>
      </w:tr>
    </w:tbl>
    <w:p w14:paraId="4FE589D9">
      <w:pPr>
        <w:spacing w:line="360" w:lineRule="auto"/>
        <w:ind w:firstLine="440" w:firstLineChars="200"/>
        <w:rPr>
          <w:rFonts w:ascii="宋体" w:hAnsi="宋体" w:eastAsia="宋体" w:cs="宋体"/>
          <w:sz w:val="22"/>
          <w:szCs w:val="21"/>
          <w:highlight w:val="none"/>
        </w:rPr>
      </w:pPr>
    </w:p>
    <w:p w14:paraId="2E1C92A6">
      <w:pPr>
        <w:pStyle w:val="8"/>
        <w:rPr>
          <w:rFonts w:ascii="宋体" w:hAnsi="宋体" w:eastAsia="宋体"/>
          <w:highlight w:val="none"/>
        </w:rPr>
      </w:pPr>
      <w:r>
        <w:rPr>
          <w:rFonts w:hint="eastAsia" w:ascii="宋体" w:hAnsi="宋体" w:eastAsia="宋体"/>
          <w:highlight w:val="none"/>
        </w:rPr>
        <w:t>4.3 光纤线路</w:t>
      </w:r>
    </w:p>
    <w:tbl>
      <w:tblPr>
        <w:tblStyle w:val="18"/>
        <w:tblW w:w="9923" w:type="dxa"/>
        <w:tblInd w:w="-5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4"/>
        <w:gridCol w:w="1560"/>
        <w:gridCol w:w="1559"/>
        <w:gridCol w:w="4819"/>
        <w:gridCol w:w="851"/>
      </w:tblGrid>
      <w:tr w14:paraId="30E918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134" w:type="dxa"/>
            <w:vAlign w:val="center"/>
          </w:tcPr>
          <w:p w14:paraId="1932ADE5">
            <w:pPr>
              <w:snapToGrid w:val="0"/>
              <w:jc w:val="center"/>
              <w:rPr>
                <w:rFonts w:ascii="宋体" w:hAnsi="宋体" w:eastAsia="宋体" w:cs="宋体"/>
                <w:kern w:val="0"/>
                <w:szCs w:val="21"/>
                <w:highlight w:val="none"/>
              </w:rPr>
            </w:pPr>
            <w:r>
              <w:rPr>
                <w:rFonts w:hint="eastAsia" w:ascii="宋体" w:hAnsi="宋体" w:eastAsia="宋体" w:cs="宋体"/>
                <w:kern w:val="0"/>
                <w:szCs w:val="21"/>
                <w:highlight w:val="none"/>
              </w:rPr>
              <w:t>分类</w:t>
            </w:r>
          </w:p>
        </w:tc>
        <w:tc>
          <w:tcPr>
            <w:tcW w:w="1560" w:type="dxa"/>
            <w:vAlign w:val="center"/>
          </w:tcPr>
          <w:p w14:paraId="4845D786">
            <w:pPr>
              <w:snapToGrid w:val="0"/>
              <w:jc w:val="center"/>
              <w:rPr>
                <w:rFonts w:ascii="宋体" w:hAnsi="宋体" w:eastAsia="宋体" w:cs="宋体"/>
                <w:kern w:val="0"/>
                <w:szCs w:val="21"/>
                <w:highlight w:val="none"/>
              </w:rPr>
            </w:pPr>
            <w:r>
              <w:rPr>
                <w:rFonts w:hint="eastAsia" w:ascii="宋体" w:hAnsi="宋体" w:eastAsia="宋体" w:cs="宋体"/>
                <w:kern w:val="0"/>
                <w:szCs w:val="21"/>
                <w:highlight w:val="none"/>
              </w:rPr>
              <w:t>产品名称</w:t>
            </w:r>
          </w:p>
        </w:tc>
        <w:tc>
          <w:tcPr>
            <w:tcW w:w="1559" w:type="dxa"/>
            <w:vAlign w:val="center"/>
          </w:tcPr>
          <w:p w14:paraId="3A6A0566">
            <w:pPr>
              <w:snapToGrid w:val="0"/>
              <w:jc w:val="center"/>
              <w:rPr>
                <w:rFonts w:ascii="宋体" w:hAnsi="宋体" w:eastAsia="宋体" w:cs="宋体"/>
                <w:kern w:val="0"/>
                <w:szCs w:val="21"/>
                <w:highlight w:val="none"/>
              </w:rPr>
            </w:pPr>
            <w:r>
              <w:rPr>
                <w:rFonts w:hint="eastAsia" w:ascii="宋体" w:hAnsi="宋体" w:eastAsia="宋体" w:cs="宋体"/>
                <w:kern w:val="0"/>
                <w:szCs w:val="21"/>
                <w:highlight w:val="none"/>
              </w:rPr>
              <w:t>线路连接端点</w:t>
            </w:r>
          </w:p>
        </w:tc>
        <w:tc>
          <w:tcPr>
            <w:tcW w:w="4819" w:type="dxa"/>
            <w:vAlign w:val="center"/>
          </w:tcPr>
          <w:p w14:paraId="105DEC1B">
            <w:pPr>
              <w:snapToGrid w:val="0"/>
              <w:jc w:val="center"/>
              <w:rPr>
                <w:rFonts w:ascii="宋体" w:hAnsi="宋体" w:eastAsia="宋体" w:cs="宋体"/>
                <w:kern w:val="0"/>
                <w:szCs w:val="21"/>
                <w:highlight w:val="none"/>
              </w:rPr>
            </w:pPr>
            <w:r>
              <w:rPr>
                <w:rFonts w:hint="eastAsia" w:ascii="宋体" w:hAnsi="宋体" w:eastAsia="宋体" w:cs="宋体"/>
                <w:kern w:val="0"/>
                <w:szCs w:val="21"/>
                <w:highlight w:val="none"/>
              </w:rPr>
              <w:t>规格</w:t>
            </w:r>
          </w:p>
        </w:tc>
        <w:tc>
          <w:tcPr>
            <w:tcW w:w="851" w:type="dxa"/>
            <w:vAlign w:val="center"/>
          </w:tcPr>
          <w:p w14:paraId="7E37774F">
            <w:pPr>
              <w:snapToGrid w:val="0"/>
              <w:jc w:val="center"/>
              <w:rPr>
                <w:rFonts w:ascii="宋体" w:hAnsi="宋体" w:eastAsia="宋体" w:cs="宋体"/>
                <w:kern w:val="0"/>
                <w:szCs w:val="21"/>
                <w:highlight w:val="none"/>
              </w:rPr>
            </w:pPr>
            <w:r>
              <w:rPr>
                <w:rFonts w:hint="eastAsia" w:ascii="宋体" w:hAnsi="宋体" w:eastAsia="宋体" w:cs="宋体"/>
                <w:kern w:val="0"/>
                <w:szCs w:val="21"/>
                <w:highlight w:val="none"/>
              </w:rPr>
              <w:t>数量（条）</w:t>
            </w:r>
          </w:p>
        </w:tc>
      </w:tr>
      <w:tr w14:paraId="557991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134" w:type="dxa"/>
            <w:vMerge w:val="restart"/>
            <w:vAlign w:val="center"/>
          </w:tcPr>
          <w:p w14:paraId="794C520F">
            <w:pPr>
              <w:snapToGrid w:val="0"/>
              <w:jc w:val="center"/>
              <w:rPr>
                <w:rFonts w:ascii="宋体" w:hAnsi="宋体" w:eastAsia="宋体" w:cs="宋体"/>
                <w:kern w:val="0"/>
                <w:szCs w:val="21"/>
                <w:highlight w:val="none"/>
              </w:rPr>
            </w:pPr>
            <w:r>
              <w:rPr>
                <w:rFonts w:hint="eastAsia" w:ascii="宋体" w:hAnsi="宋体" w:eastAsia="宋体" w:cs="宋体"/>
                <w:kern w:val="0"/>
                <w:szCs w:val="21"/>
                <w:highlight w:val="none"/>
              </w:rPr>
              <w:t>光纤线路</w:t>
            </w:r>
          </w:p>
        </w:tc>
        <w:tc>
          <w:tcPr>
            <w:tcW w:w="1560" w:type="dxa"/>
            <w:vAlign w:val="center"/>
          </w:tcPr>
          <w:p w14:paraId="7FF4F125">
            <w:pPr>
              <w:snapToGrid w:val="0"/>
              <w:jc w:val="center"/>
              <w:rPr>
                <w:rFonts w:ascii="宋体" w:hAnsi="宋体" w:eastAsia="宋体" w:cs="宋体"/>
                <w:kern w:val="0"/>
                <w:szCs w:val="21"/>
                <w:highlight w:val="none"/>
              </w:rPr>
            </w:pPr>
            <w:r>
              <w:rPr>
                <w:rFonts w:hint="eastAsia" w:ascii="宋体" w:hAnsi="宋体" w:eastAsia="宋体" w:cs="宋体"/>
                <w:kern w:val="0"/>
                <w:szCs w:val="21"/>
                <w:highlight w:val="none"/>
              </w:rPr>
              <w:t>容灾机房专线</w:t>
            </w:r>
          </w:p>
        </w:tc>
        <w:tc>
          <w:tcPr>
            <w:tcW w:w="1559" w:type="dxa"/>
            <w:vAlign w:val="center"/>
          </w:tcPr>
          <w:p w14:paraId="72D427A0">
            <w:pPr>
              <w:snapToGrid w:val="0"/>
              <w:jc w:val="center"/>
              <w:rPr>
                <w:rFonts w:ascii="宋体" w:hAnsi="宋体" w:eastAsia="宋体" w:cs="宋体"/>
                <w:kern w:val="0"/>
                <w:szCs w:val="21"/>
                <w:highlight w:val="none"/>
              </w:rPr>
            </w:pPr>
            <w:r>
              <w:rPr>
                <w:rFonts w:hint="eastAsia" w:ascii="宋体" w:hAnsi="宋体" w:eastAsia="宋体" w:cs="宋体"/>
                <w:kern w:val="0"/>
                <w:szCs w:val="21"/>
                <w:highlight w:val="none"/>
              </w:rPr>
              <w:t>容灾机房</w:t>
            </w:r>
            <w:r>
              <w:rPr>
                <w:rFonts w:ascii="宋体" w:hAnsi="宋体" w:eastAsia="宋体" w:cs="宋体"/>
                <w:kern w:val="0"/>
                <w:szCs w:val="21"/>
                <w:highlight w:val="none"/>
              </w:rPr>
              <w:t>&lt;-&gt;院方中心机房</w:t>
            </w:r>
          </w:p>
        </w:tc>
        <w:tc>
          <w:tcPr>
            <w:tcW w:w="4819" w:type="dxa"/>
            <w:vAlign w:val="center"/>
          </w:tcPr>
          <w:p w14:paraId="0AE60830">
            <w:pPr>
              <w:snapToGrid w:val="0"/>
              <w:rPr>
                <w:rFonts w:ascii="宋体" w:hAnsi="宋体" w:eastAsia="宋体" w:cs="宋体"/>
                <w:kern w:val="0"/>
                <w:szCs w:val="21"/>
                <w:highlight w:val="none"/>
              </w:rPr>
            </w:pPr>
            <w:r>
              <w:rPr>
                <w:rFonts w:ascii="宋体" w:hAnsi="宋体" w:eastAsia="宋体" w:cs="宋体"/>
                <w:kern w:val="0"/>
                <w:szCs w:val="21"/>
                <w:highlight w:val="none"/>
              </w:rPr>
              <w:t>1</w:t>
            </w:r>
            <w:r>
              <w:rPr>
                <w:rFonts w:hint="eastAsia" w:ascii="宋体" w:hAnsi="宋体" w:eastAsia="宋体" w:cs="宋体"/>
                <w:kern w:val="0"/>
                <w:szCs w:val="21"/>
                <w:highlight w:val="none"/>
              </w:rPr>
              <w:t>、</w:t>
            </w:r>
            <w:r>
              <w:rPr>
                <w:rFonts w:ascii="宋体" w:hAnsi="宋体" w:eastAsia="宋体" w:cs="宋体"/>
                <w:kern w:val="0"/>
                <w:szCs w:val="21"/>
                <w:highlight w:val="none"/>
              </w:rPr>
              <w:t>1条逻辑高可用专线（底层物理双路由冗余，主备自动倒换）</w:t>
            </w:r>
          </w:p>
          <w:p w14:paraId="35D4C246">
            <w:pPr>
              <w:snapToGrid w:val="0"/>
              <w:rPr>
                <w:rFonts w:ascii="宋体" w:hAnsi="宋体" w:eastAsia="宋体" w:cs="宋体"/>
                <w:kern w:val="0"/>
                <w:szCs w:val="21"/>
                <w:highlight w:val="none"/>
              </w:rPr>
            </w:pPr>
            <w:r>
              <w:rPr>
                <w:rFonts w:hint="eastAsia" w:ascii="宋体" w:hAnsi="宋体" w:eastAsia="宋体" w:cs="宋体"/>
                <w:kern w:val="0"/>
                <w:szCs w:val="21"/>
                <w:highlight w:val="none"/>
              </w:rPr>
              <w:t>2、</w:t>
            </w:r>
            <w:r>
              <w:rPr>
                <w:rFonts w:ascii="宋体" w:hAnsi="宋体" w:eastAsia="宋体" w:cs="宋体"/>
                <w:kern w:val="0"/>
                <w:szCs w:val="21"/>
                <w:highlight w:val="none"/>
              </w:rPr>
              <w:t>带宽：独享≥1000Mbps，上下行对等，非共享复用</w:t>
            </w:r>
          </w:p>
          <w:p w14:paraId="3E2DD10B">
            <w:pPr>
              <w:snapToGrid w:val="0"/>
              <w:rPr>
                <w:rFonts w:ascii="宋体" w:hAnsi="宋体" w:eastAsia="宋体" w:cs="宋体"/>
                <w:kern w:val="0"/>
                <w:szCs w:val="21"/>
                <w:highlight w:val="none"/>
              </w:rPr>
            </w:pPr>
            <w:r>
              <w:rPr>
                <w:rFonts w:hint="eastAsia" w:ascii="宋体" w:hAnsi="宋体" w:eastAsia="宋体" w:cs="宋体"/>
                <w:kern w:val="0"/>
                <w:szCs w:val="21"/>
                <w:highlight w:val="none"/>
              </w:rPr>
              <w:t>3、</w:t>
            </w:r>
            <w:r>
              <w:rPr>
                <w:rFonts w:ascii="宋体" w:hAnsi="宋体" w:eastAsia="宋体" w:cs="宋体"/>
                <w:kern w:val="0"/>
                <w:szCs w:val="21"/>
                <w:highlight w:val="none"/>
              </w:rPr>
              <w:t>时延：端到端单向≤50ms，时延抖动≤</w:t>
            </w:r>
            <w:r>
              <w:rPr>
                <w:rFonts w:hint="eastAsia" w:ascii="宋体" w:hAnsi="宋体" w:eastAsia="宋体" w:cs="宋体"/>
                <w:kern w:val="0"/>
                <w:szCs w:val="21"/>
                <w:highlight w:val="none"/>
              </w:rPr>
              <w:t>10</w:t>
            </w:r>
            <w:r>
              <w:rPr>
                <w:rFonts w:ascii="宋体" w:hAnsi="宋体" w:eastAsia="宋体" w:cs="宋体"/>
                <w:kern w:val="0"/>
                <w:szCs w:val="21"/>
                <w:highlight w:val="none"/>
              </w:rPr>
              <w:t>ms（同城</w:t>
            </w:r>
            <w:r>
              <w:rPr>
                <w:rFonts w:hint="eastAsia" w:ascii="宋体" w:hAnsi="宋体" w:eastAsia="宋体" w:cs="宋体"/>
                <w:kern w:val="0"/>
                <w:szCs w:val="21"/>
                <w:highlight w:val="none"/>
              </w:rPr>
              <w:t>10</w:t>
            </w:r>
            <w:r>
              <w:rPr>
                <w:rFonts w:ascii="宋体" w:hAnsi="宋体" w:eastAsia="宋体" w:cs="宋体"/>
                <w:kern w:val="0"/>
                <w:szCs w:val="21"/>
                <w:highlight w:val="none"/>
              </w:rPr>
              <w:t>km场景）</w:t>
            </w:r>
          </w:p>
          <w:p w14:paraId="7EB9761F">
            <w:pPr>
              <w:snapToGrid w:val="0"/>
              <w:rPr>
                <w:rFonts w:ascii="宋体" w:hAnsi="宋体" w:eastAsia="宋体" w:cs="宋体"/>
                <w:kern w:val="0"/>
                <w:szCs w:val="21"/>
                <w:highlight w:val="none"/>
              </w:rPr>
            </w:pPr>
            <w:r>
              <w:rPr>
                <w:rFonts w:hint="eastAsia" w:ascii="宋体" w:hAnsi="宋体" w:eastAsia="宋体" w:cs="宋体"/>
                <w:kern w:val="0"/>
                <w:szCs w:val="21"/>
                <w:highlight w:val="none"/>
              </w:rPr>
              <w:t>4、</w:t>
            </w:r>
            <w:r>
              <w:rPr>
                <w:rFonts w:ascii="宋体" w:hAnsi="宋体" w:eastAsia="宋体" w:cs="宋体"/>
                <w:kern w:val="0"/>
                <w:szCs w:val="21"/>
                <w:highlight w:val="none"/>
              </w:rPr>
              <w:t>切换能力：主备路由故障自动切换≤50ms，切换过程零丢包/业务零感知</w:t>
            </w:r>
          </w:p>
          <w:p w14:paraId="2BF58F61">
            <w:pPr>
              <w:snapToGrid w:val="0"/>
              <w:rPr>
                <w:rFonts w:ascii="宋体" w:hAnsi="宋体" w:eastAsia="宋体" w:cs="宋体"/>
                <w:kern w:val="0"/>
                <w:szCs w:val="21"/>
                <w:highlight w:val="none"/>
              </w:rPr>
            </w:pPr>
            <w:r>
              <w:rPr>
                <w:rFonts w:hint="eastAsia" w:ascii="宋体" w:hAnsi="宋体" w:eastAsia="宋体" w:cs="宋体"/>
                <w:kern w:val="0"/>
                <w:szCs w:val="21"/>
                <w:highlight w:val="none"/>
              </w:rPr>
              <w:t>5、</w:t>
            </w:r>
            <w:r>
              <w:rPr>
                <w:rFonts w:ascii="宋体" w:hAnsi="宋体" w:eastAsia="宋体" w:cs="宋体"/>
                <w:kern w:val="0"/>
                <w:szCs w:val="21"/>
                <w:highlight w:val="none"/>
              </w:rPr>
              <w:t>传输质量：月度可用性≥99.9%，丢包率≤0.1%</w:t>
            </w:r>
          </w:p>
          <w:p w14:paraId="500129D3">
            <w:pPr>
              <w:snapToGrid w:val="0"/>
              <w:rPr>
                <w:rFonts w:ascii="宋体" w:hAnsi="宋体" w:eastAsia="宋体" w:cs="宋体"/>
                <w:kern w:val="0"/>
                <w:szCs w:val="21"/>
                <w:highlight w:val="none"/>
              </w:rPr>
            </w:pPr>
            <w:r>
              <w:rPr>
                <w:rFonts w:ascii="宋体" w:hAnsi="宋体" w:eastAsia="宋体" w:cs="宋体"/>
                <w:kern w:val="0"/>
                <w:szCs w:val="21"/>
                <w:highlight w:val="none"/>
              </w:rPr>
              <w:t>QoS策略：支持802.1p优先级标记，优先保障容灾同步流量（数据库/存储复制）</w:t>
            </w:r>
          </w:p>
        </w:tc>
        <w:tc>
          <w:tcPr>
            <w:tcW w:w="851" w:type="dxa"/>
            <w:vAlign w:val="center"/>
          </w:tcPr>
          <w:p w14:paraId="57AE5180">
            <w:pPr>
              <w:snapToGrid w:val="0"/>
              <w:jc w:val="center"/>
              <w:rPr>
                <w:rFonts w:ascii="宋体" w:hAnsi="宋体" w:eastAsia="宋体" w:cs="宋体"/>
                <w:kern w:val="0"/>
                <w:szCs w:val="21"/>
                <w:highlight w:val="none"/>
              </w:rPr>
            </w:pPr>
            <w:r>
              <w:rPr>
                <w:rFonts w:hint="eastAsia" w:ascii="宋体" w:hAnsi="宋体" w:eastAsia="宋体" w:cs="宋体"/>
                <w:kern w:val="0"/>
                <w:szCs w:val="21"/>
                <w:highlight w:val="none"/>
              </w:rPr>
              <w:t>1</w:t>
            </w:r>
          </w:p>
        </w:tc>
      </w:tr>
      <w:tr w14:paraId="5D5166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134" w:type="dxa"/>
            <w:vMerge w:val="continue"/>
            <w:vAlign w:val="center"/>
          </w:tcPr>
          <w:p w14:paraId="33C1CC4C">
            <w:pPr>
              <w:snapToGrid w:val="0"/>
              <w:jc w:val="center"/>
              <w:rPr>
                <w:rFonts w:ascii="宋体" w:hAnsi="宋体" w:eastAsia="宋体" w:cs="宋体"/>
                <w:kern w:val="0"/>
                <w:szCs w:val="21"/>
                <w:highlight w:val="none"/>
              </w:rPr>
            </w:pPr>
          </w:p>
        </w:tc>
        <w:tc>
          <w:tcPr>
            <w:tcW w:w="1560" w:type="dxa"/>
            <w:vAlign w:val="center"/>
          </w:tcPr>
          <w:p w14:paraId="2CC75E9F">
            <w:pPr>
              <w:snapToGrid w:val="0"/>
              <w:jc w:val="center"/>
              <w:rPr>
                <w:rFonts w:ascii="宋体" w:hAnsi="宋体" w:eastAsia="宋体" w:cs="宋体"/>
                <w:kern w:val="0"/>
                <w:szCs w:val="21"/>
                <w:highlight w:val="none"/>
              </w:rPr>
            </w:pPr>
            <w:r>
              <w:rPr>
                <w:rFonts w:hint="eastAsia" w:ascii="宋体" w:hAnsi="宋体" w:eastAsia="宋体" w:cs="宋体"/>
                <w:kern w:val="0"/>
                <w:szCs w:val="21"/>
                <w:highlight w:val="none"/>
              </w:rPr>
              <w:t>云主机专线</w:t>
            </w:r>
          </w:p>
        </w:tc>
        <w:tc>
          <w:tcPr>
            <w:tcW w:w="1559" w:type="dxa"/>
            <w:vAlign w:val="center"/>
          </w:tcPr>
          <w:p w14:paraId="7785B986">
            <w:pPr>
              <w:snapToGrid w:val="0"/>
              <w:jc w:val="center"/>
              <w:rPr>
                <w:rFonts w:ascii="宋体" w:hAnsi="宋体" w:eastAsia="宋体" w:cs="宋体"/>
                <w:kern w:val="0"/>
                <w:szCs w:val="21"/>
                <w:highlight w:val="none"/>
              </w:rPr>
            </w:pPr>
            <w:r>
              <w:rPr>
                <w:rFonts w:hint="eastAsia" w:ascii="宋体" w:hAnsi="宋体" w:eastAsia="宋体" w:cs="宋体"/>
                <w:kern w:val="0"/>
                <w:szCs w:val="21"/>
                <w:highlight w:val="none"/>
              </w:rPr>
              <w:t>云主机-</w:t>
            </w:r>
            <w:r>
              <w:rPr>
                <w:rFonts w:ascii="宋体" w:hAnsi="宋体" w:eastAsia="宋体" w:cs="宋体"/>
                <w:kern w:val="0"/>
                <w:szCs w:val="21"/>
                <w:highlight w:val="none"/>
              </w:rPr>
              <w:t>&gt;</w:t>
            </w:r>
            <w:r>
              <w:rPr>
                <w:rFonts w:hint="eastAsia" w:ascii="宋体" w:hAnsi="宋体" w:eastAsia="宋体" w:cs="宋体"/>
                <w:kern w:val="0"/>
                <w:szCs w:val="21"/>
                <w:highlight w:val="none"/>
              </w:rPr>
              <w:t>互联网</w:t>
            </w:r>
          </w:p>
        </w:tc>
        <w:tc>
          <w:tcPr>
            <w:tcW w:w="4819" w:type="dxa"/>
            <w:vAlign w:val="center"/>
          </w:tcPr>
          <w:p w14:paraId="6FFC6791">
            <w:pPr>
              <w:snapToGrid w:val="0"/>
              <w:rPr>
                <w:rFonts w:ascii="宋体" w:hAnsi="宋体" w:eastAsia="宋体" w:cs="宋体"/>
                <w:kern w:val="0"/>
                <w:szCs w:val="21"/>
                <w:highlight w:val="none"/>
              </w:rPr>
            </w:pPr>
            <w:r>
              <w:rPr>
                <w:rFonts w:hint="eastAsia" w:ascii="宋体" w:hAnsi="宋体" w:eastAsia="宋体" w:cs="宋体"/>
                <w:kern w:val="0"/>
                <w:szCs w:val="21"/>
                <w:highlight w:val="none"/>
              </w:rPr>
              <w:t>1、带宽：</w:t>
            </w:r>
            <w:r>
              <w:rPr>
                <w:rFonts w:hint="eastAsia" w:ascii="宋体" w:hAnsi="宋体" w:eastAsia="宋体" w:cs="宋体"/>
                <w:kern w:val="0"/>
                <w:szCs w:val="21"/>
                <w:highlight w:val="none"/>
              </w:rPr>
              <w:t>独享≥</w:t>
            </w:r>
            <w:r>
              <w:rPr>
                <w:rFonts w:ascii="宋体" w:hAnsi="宋体" w:eastAsia="宋体" w:cs="宋体"/>
                <w:kern w:val="0"/>
                <w:szCs w:val="21"/>
                <w:highlight w:val="none"/>
              </w:rPr>
              <w:t>250Mbps，</w:t>
            </w:r>
            <w:r>
              <w:rPr>
                <w:rFonts w:ascii="宋体" w:hAnsi="宋体" w:eastAsia="宋体" w:cs="宋体"/>
                <w:kern w:val="0"/>
                <w:szCs w:val="21"/>
                <w:highlight w:val="none"/>
              </w:rPr>
              <w:t>上下行对等</w:t>
            </w:r>
          </w:p>
          <w:p w14:paraId="411E08A8">
            <w:pPr>
              <w:snapToGrid w:val="0"/>
              <w:rPr>
                <w:rFonts w:ascii="宋体" w:hAnsi="宋体" w:eastAsia="宋体" w:cs="宋体"/>
                <w:kern w:val="0"/>
                <w:szCs w:val="21"/>
                <w:highlight w:val="none"/>
              </w:rPr>
            </w:pPr>
            <w:r>
              <w:rPr>
                <w:rFonts w:hint="eastAsia" w:ascii="宋体" w:hAnsi="宋体" w:eastAsia="宋体" w:cs="宋体"/>
                <w:kern w:val="0"/>
                <w:szCs w:val="21"/>
                <w:highlight w:val="none"/>
              </w:rPr>
              <w:t>2、</w:t>
            </w:r>
            <w:r>
              <w:rPr>
                <w:rFonts w:ascii="宋体" w:hAnsi="宋体" w:eastAsia="宋体" w:cs="宋体"/>
                <w:kern w:val="0"/>
                <w:szCs w:val="21"/>
                <w:highlight w:val="none"/>
              </w:rPr>
              <w:t>时延：端到端单向≤20ms</w:t>
            </w:r>
          </w:p>
          <w:p w14:paraId="383EECEC">
            <w:pPr>
              <w:snapToGrid w:val="0"/>
              <w:rPr>
                <w:rFonts w:ascii="宋体" w:hAnsi="宋体" w:eastAsia="宋体" w:cs="宋体"/>
                <w:kern w:val="0"/>
                <w:szCs w:val="21"/>
                <w:highlight w:val="none"/>
              </w:rPr>
            </w:pPr>
            <w:r>
              <w:rPr>
                <w:rFonts w:hint="eastAsia" w:ascii="宋体" w:hAnsi="宋体" w:eastAsia="宋体" w:cs="宋体"/>
                <w:kern w:val="0"/>
                <w:szCs w:val="21"/>
                <w:highlight w:val="none"/>
              </w:rPr>
              <w:t>3、</w:t>
            </w:r>
            <w:r>
              <w:rPr>
                <w:rFonts w:ascii="宋体" w:hAnsi="宋体" w:eastAsia="宋体" w:cs="宋体"/>
                <w:kern w:val="0"/>
                <w:szCs w:val="21"/>
                <w:highlight w:val="none"/>
              </w:rPr>
              <w:t>可靠性：支持环网保护或链路聚合（LACP），关键板卡/电源冗余</w:t>
            </w:r>
          </w:p>
          <w:p w14:paraId="6113F60B">
            <w:pPr>
              <w:snapToGrid w:val="0"/>
              <w:rPr>
                <w:rFonts w:ascii="宋体" w:hAnsi="宋体" w:eastAsia="宋体" w:cs="宋体"/>
                <w:kern w:val="0"/>
                <w:szCs w:val="21"/>
                <w:highlight w:val="none"/>
              </w:rPr>
            </w:pPr>
            <w:r>
              <w:rPr>
                <w:rFonts w:ascii="宋体" w:hAnsi="宋体" w:eastAsia="宋体" w:cs="宋体"/>
                <w:kern w:val="0"/>
                <w:szCs w:val="21"/>
                <w:highlight w:val="none"/>
              </w:rPr>
              <w:t>4</w:t>
            </w:r>
            <w:r>
              <w:rPr>
                <w:rFonts w:hint="eastAsia" w:ascii="宋体" w:hAnsi="宋体" w:eastAsia="宋体" w:cs="宋体"/>
                <w:kern w:val="0"/>
                <w:szCs w:val="21"/>
                <w:highlight w:val="none"/>
              </w:rPr>
              <w:t>、</w:t>
            </w:r>
            <w:r>
              <w:rPr>
                <w:rFonts w:ascii="宋体" w:hAnsi="宋体" w:eastAsia="宋体" w:cs="宋体"/>
                <w:kern w:val="0"/>
                <w:szCs w:val="21"/>
                <w:highlight w:val="none"/>
              </w:rPr>
              <w:t>传输质量：丢包率≤0.1%，支持流量整形与基础DDoS防护</w:t>
            </w:r>
          </w:p>
          <w:p w14:paraId="55D2FBCE">
            <w:pPr>
              <w:snapToGrid w:val="0"/>
              <w:rPr>
                <w:rFonts w:ascii="宋体" w:hAnsi="宋体" w:eastAsia="宋体" w:cs="宋体"/>
                <w:kern w:val="0"/>
                <w:szCs w:val="21"/>
                <w:highlight w:val="none"/>
              </w:rPr>
            </w:pPr>
            <w:r>
              <w:rPr>
                <w:rFonts w:hint="eastAsia" w:ascii="宋体" w:hAnsi="宋体" w:eastAsia="宋体" w:cs="宋体"/>
                <w:kern w:val="0"/>
                <w:szCs w:val="21"/>
                <w:highlight w:val="none"/>
              </w:rPr>
              <w:t>5、</w:t>
            </w:r>
            <w:r>
              <w:rPr>
                <w:rFonts w:ascii="宋体" w:hAnsi="宋体" w:eastAsia="宋体" w:cs="宋体"/>
                <w:kern w:val="0"/>
                <w:szCs w:val="21"/>
                <w:highlight w:val="none"/>
              </w:rPr>
              <w:t>安全要求：与生产/容灾网络逻辑隔离，支持访问控制策略下发</w:t>
            </w:r>
          </w:p>
          <w:p w14:paraId="602B399F">
            <w:pPr>
              <w:snapToGrid w:val="0"/>
              <w:rPr>
                <w:rFonts w:ascii="宋体" w:hAnsi="宋体" w:eastAsia="宋体" w:cs="宋体"/>
                <w:kern w:val="0"/>
                <w:szCs w:val="21"/>
                <w:highlight w:val="none"/>
              </w:rPr>
            </w:pPr>
            <w:r>
              <w:rPr>
                <w:rFonts w:hint="eastAsia" w:ascii="宋体" w:hAnsi="宋体" w:eastAsia="宋体" w:cs="宋体"/>
                <w:kern w:val="0"/>
                <w:szCs w:val="21"/>
                <w:highlight w:val="none"/>
              </w:rPr>
              <w:t>6、</w:t>
            </w:r>
            <w:r>
              <w:rPr>
                <w:rFonts w:ascii="宋体" w:hAnsi="宋体" w:eastAsia="宋体" w:cs="宋体"/>
                <w:kern w:val="0"/>
                <w:szCs w:val="21"/>
                <w:highlight w:val="none"/>
              </w:rPr>
              <w:t>扩展性：支持按需扩容至1Gbps，扩容流程≤3个工作日</w:t>
            </w:r>
          </w:p>
        </w:tc>
        <w:tc>
          <w:tcPr>
            <w:tcW w:w="851" w:type="dxa"/>
            <w:vAlign w:val="center"/>
          </w:tcPr>
          <w:p w14:paraId="754E70FC">
            <w:pPr>
              <w:snapToGrid w:val="0"/>
              <w:jc w:val="center"/>
              <w:rPr>
                <w:rFonts w:ascii="宋体" w:hAnsi="宋体" w:eastAsia="宋体" w:cs="宋体"/>
                <w:kern w:val="0"/>
                <w:szCs w:val="21"/>
                <w:highlight w:val="none"/>
              </w:rPr>
            </w:pPr>
            <w:r>
              <w:rPr>
                <w:rFonts w:hint="eastAsia" w:ascii="宋体" w:hAnsi="宋体" w:eastAsia="宋体" w:cs="宋体"/>
                <w:kern w:val="0"/>
                <w:szCs w:val="21"/>
                <w:highlight w:val="none"/>
              </w:rPr>
              <w:t>1</w:t>
            </w:r>
          </w:p>
        </w:tc>
      </w:tr>
    </w:tbl>
    <w:p w14:paraId="40F33AAB">
      <w:pPr>
        <w:pStyle w:val="7"/>
        <w:numPr>
          <w:ilvl w:val="0"/>
          <w:numId w:val="3"/>
        </w:numPr>
        <w:rPr>
          <w:rFonts w:ascii="宋体" w:hAnsi="宋体" w:eastAsia="宋体" w:cs="宋体"/>
          <w:highlight w:val="none"/>
        </w:rPr>
      </w:pPr>
      <w:r>
        <w:rPr>
          <w:rFonts w:hint="eastAsia" w:ascii="宋体" w:hAnsi="宋体" w:eastAsia="宋体" w:cs="宋体"/>
          <w:highlight w:val="none"/>
        </w:rPr>
        <w:t>容灾机房环境需求</w:t>
      </w:r>
    </w:p>
    <w:p w14:paraId="15157F2B">
      <w:pPr>
        <w:keepNext/>
        <w:keepLines/>
        <w:spacing w:before="260" w:after="260" w:line="416" w:lineRule="auto"/>
        <w:outlineLvl w:val="1"/>
        <w:rPr>
          <w:rFonts w:ascii="宋体" w:hAnsi="宋体" w:eastAsia="宋体" w:cs="Times New Roman"/>
          <w:b/>
          <w:bCs/>
          <w:sz w:val="32"/>
          <w:szCs w:val="32"/>
          <w:highlight w:val="none"/>
        </w:rPr>
      </w:pPr>
      <w:r>
        <w:rPr>
          <w:rFonts w:ascii="宋体" w:hAnsi="宋体" w:eastAsia="宋体" w:cs="Times New Roman"/>
          <w:b/>
          <w:bCs/>
          <w:sz w:val="32"/>
          <w:szCs w:val="32"/>
          <w:highlight w:val="none"/>
        </w:rPr>
        <w:t>5.1 总体要求</w:t>
      </w:r>
    </w:p>
    <w:p w14:paraId="12CEA7F5">
      <w:pPr>
        <w:spacing w:line="360" w:lineRule="auto"/>
        <w:ind w:firstLine="480" w:firstLineChars="200"/>
        <w:rPr>
          <w:rFonts w:ascii="宋体" w:hAnsi="宋体" w:eastAsia="宋体" w:cs="宋体"/>
          <w:sz w:val="24"/>
          <w:highlight w:val="none"/>
        </w:rPr>
      </w:pPr>
      <w:r>
        <w:rPr>
          <w:rFonts w:hint="eastAsia" w:ascii="宋体" w:hAnsi="宋体" w:eastAsia="宋体" w:cs="宋体"/>
          <w:sz w:val="24"/>
          <w:highlight w:val="none"/>
        </w:rPr>
        <w:t>供应商须提供高等级数据中心机房，生产中心与容灾中心须位于同一城市，物理直线距离不少于1</w:t>
      </w:r>
      <w:r>
        <w:rPr>
          <w:rFonts w:ascii="宋体" w:hAnsi="宋体" w:eastAsia="宋体" w:cs="宋体"/>
          <w:sz w:val="24"/>
          <w:highlight w:val="none"/>
        </w:rPr>
        <w:t>0公里。供应商须为使用方提供可围栏的独立区域、独立机柜建立容灾中心，并满足本章全部要求。</w:t>
      </w:r>
    </w:p>
    <w:p w14:paraId="3B7154DB">
      <w:pPr>
        <w:keepNext/>
        <w:keepLines/>
        <w:spacing w:before="260" w:after="260" w:line="416" w:lineRule="auto"/>
        <w:outlineLvl w:val="1"/>
        <w:rPr>
          <w:rFonts w:ascii="宋体" w:hAnsi="宋体" w:eastAsia="宋体" w:cs="Times New Roman"/>
          <w:b/>
          <w:bCs/>
          <w:sz w:val="32"/>
          <w:szCs w:val="32"/>
          <w:highlight w:val="none"/>
        </w:rPr>
      </w:pPr>
      <w:r>
        <w:rPr>
          <w:rFonts w:hint="eastAsia" w:ascii="宋体" w:hAnsi="宋体" w:eastAsia="宋体" w:cs="Times New Roman"/>
          <w:b/>
          <w:bCs/>
          <w:sz w:val="32"/>
          <w:szCs w:val="32"/>
          <w:highlight w:val="none"/>
        </w:rPr>
        <w:t>5</w:t>
      </w:r>
      <w:r>
        <w:rPr>
          <w:rFonts w:ascii="宋体" w:hAnsi="宋体" w:eastAsia="宋体" w:cs="Times New Roman"/>
          <w:b/>
          <w:bCs/>
          <w:sz w:val="32"/>
          <w:szCs w:val="32"/>
          <w:highlight w:val="none"/>
        </w:rPr>
        <w:t xml:space="preserve">.2 </w:t>
      </w:r>
      <w:r>
        <w:rPr>
          <w:rFonts w:hint="eastAsia" w:ascii="宋体" w:hAnsi="宋体" w:eastAsia="宋体" w:cs="Times New Roman"/>
          <w:b/>
          <w:bCs/>
          <w:sz w:val="32"/>
          <w:szCs w:val="32"/>
          <w:highlight w:val="none"/>
        </w:rPr>
        <w:t>机房位置要求</w:t>
      </w:r>
    </w:p>
    <w:tbl>
      <w:tblPr>
        <w:tblStyle w:val="18"/>
        <w:tblW w:w="86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6804"/>
      </w:tblGrid>
      <w:tr w14:paraId="36D2D9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838" w:type="dxa"/>
            <w:tcBorders>
              <w:top w:val="single" w:color="auto" w:sz="4" w:space="0"/>
              <w:left w:val="single" w:color="auto" w:sz="4" w:space="0"/>
              <w:bottom w:val="single" w:color="auto" w:sz="4" w:space="0"/>
              <w:right w:val="single" w:color="auto" w:sz="4" w:space="0"/>
            </w:tcBorders>
            <w:vAlign w:val="center"/>
          </w:tcPr>
          <w:p w14:paraId="15338645">
            <w:pPr>
              <w:snapToGrid w:val="0"/>
              <w:spacing w:line="360" w:lineRule="auto"/>
              <w:jc w:val="center"/>
              <w:rPr>
                <w:rFonts w:ascii="宋体" w:hAnsi="宋体" w:eastAsia="宋体" w:cs="Times New Roman"/>
                <w:szCs w:val="21"/>
                <w:highlight w:val="none"/>
              </w:rPr>
            </w:pPr>
            <w:r>
              <w:rPr>
                <w:rFonts w:hint="eastAsia" w:ascii="宋体" w:hAnsi="宋体" w:eastAsia="宋体" w:cs="Times New Roman"/>
                <w:highlight w:val="none"/>
              </w:rPr>
              <w:t>指标项</w:t>
            </w:r>
          </w:p>
        </w:tc>
        <w:tc>
          <w:tcPr>
            <w:tcW w:w="6804" w:type="dxa"/>
            <w:tcBorders>
              <w:top w:val="single" w:color="auto" w:sz="4" w:space="0"/>
              <w:left w:val="single" w:color="auto" w:sz="4" w:space="0"/>
              <w:bottom w:val="single" w:color="auto" w:sz="4" w:space="0"/>
              <w:right w:val="single" w:color="auto" w:sz="4" w:space="0"/>
            </w:tcBorders>
            <w:vAlign w:val="center"/>
          </w:tcPr>
          <w:p w14:paraId="6B35ED00">
            <w:pPr>
              <w:snapToGrid w:val="0"/>
              <w:spacing w:line="360" w:lineRule="auto"/>
              <w:jc w:val="center"/>
              <w:rPr>
                <w:rFonts w:ascii="宋体" w:hAnsi="宋体" w:eastAsia="宋体" w:cs="Times New Roman"/>
                <w:highlight w:val="none"/>
              </w:rPr>
            </w:pPr>
            <w:r>
              <w:rPr>
                <w:rFonts w:hint="eastAsia" w:ascii="宋体" w:hAnsi="宋体" w:eastAsia="宋体" w:cs="Times New Roman"/>
                <w:highlight w:val="none"/>
              </w:rPr>
              <w:t>指标要求</w:t>
            </w:r>
          </w:p>
        </w:tc>
      </w:tr>
      <w:tr w14:paraId="7A80A6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838" w:type="dxa"/>
            <w:tcBorders>
              <w:top w:val="single" w:color="auto" w:sz="4" w:space="0"/>
              <w:left w:val="single" w:color="auto" w:sz="4" w:space="0"/>
              <w:bottom w:val="single" w:color="auto" w:sz="4" w:space="0"/>
              <w:right w:val="single" w:color="auto" w:sz="4" w:space="0"/>
            </w:tcBorders>
            <w:vAlign w:val="center"/>
          </w:tcPr>
          <w:p w14:paraId="52829CD5">
            <w:pPr>
              <w:snapToGrid w:val="0"/>
              <w:spacing w:line="360" w:lineRule="auto"/>
              <w:jc w:val="center"/>
              <w:rPr>
                <w:rFonts w:ascii="宋体" w:hAnsi="宋体" w:eastAsia="宋体" w:cs="Times New Roman"/>
                <w:highlight w:val="none"/>
              </w:rPr>
            </w:pPr>
            <w:r>
              <w:rPr>
                <w:rFonts w:hint="eastAsia" w:ascii="宋体" w:hAnsi="宋体" w:eastAsia="宋体" w:cs="Times New Roman"/>
                <w:highlight w:val="none"/>
              </w:rPr>
              <w:t>位置</w:t>
            </w:r>
          </w:p>
        </w:tc>
        <w:tc>
          <w:tcPr>
            <w:tcW w:w="6804" w:type="dxa"/>
            <w:tcBorders>
              <w:top w:val="single" w:color="auto" w:sz="4" w:space="0"/>
              <w:left w:val="single" w:color="auto" w:sz="4" w:space="0"/>
              <w:bottom w:val="single" w:color="auto" w:sz="4" w:space="0"/>
              <w:right w:val="single" w:color="auto" w:sz="4" w:space="0"/>
            </w:tcBorders>
            <w:vAlign w:val="center"/>
          </w:tcPr>
          <w:p w14:paraId="330340F7">
            <w:pPr>
              <w:snapToGrid w:val="0"/>
              <w:rPr>
                <w:rFonts w:ascii="宋体" w:hAnsi="宋体" w:eastAsia="宋体" w:cs="Times New Roman"/>
                <w:highlight w:val="none"/>
              </w:rPr>
            </w:pPr>
            <w:r>
              <w:rPr>
                <w:rFonts w:hint="eastAsia" w:ascii="宋体" w:hAnsi="宋体" w:eastAsia="宋体" w:cs="宋体"/>
                <w:kern w:val="0"/>
                <w:szCs w:val="21"/>
                <w:highlight w:val="none"/>
              </w:rPr>
              <w:t>数据中心附近</w:t>
            </w:r>
            <w:r>
              <w:rPr>
                <w:rFonts w:ascii="宋体" w:hAnsi="宋体" w:eastAsia="宋体" w:cs="宋体"/>
                <w:kern w:val="0"/>
                <w:szCs w:val="21"/>
                <w:highlight w:val="none"/>
              </w:rPr>
              <w:t>400米内无任何产生腐蚀性气体、粉尘、噪音、强震动的厂矿企业和易燃易爆危险品或化学品的生产存放单位，800米内无铁路或高速公路。不属于地震断层附近、有滑坡危险区域和有可能发生洪水区域。数据中心位置不在建筑物的顶层或地下室，以及用水设备的下层。</w:t>
            </w:r>
          </w:p>
        </w:tc>
      </w:tr>
    </w:tbl>
    <w:p w14:paraId="239A4DBA">
      <w:pPr>
        <w:keepNext/>
        <w:keepLines/>
        <w:spacing w:before="260" w:after="260" w:line="416" w:lineRule="auto"/>
        <w:outlineLvl w:val="1"/>
        <w:rPr>
          <w:rFonts w:ascii="宋体" w:hAnsi="宋体" w:eastAsia="宋体" w:cs="Times New Roman"/>
          <w:b/>
          <w:bCs/>
          <w:sz w:val="32"/>
          <w:szCs w:val="32"/>
          <w:highlight w:val="none"/>
        </w:rPr>
      </w:pPr>
      <w:r>
        <w:rPr>
          <w:rFonts w:hint="eastAsia" w:ascii="宋体" w:hAnsi="宋体" w:eastAsia="宋体" w:cs="Times New Roman"/>
          <w:b/>
          <w:bCs/>
          <w:sz w:val="32"/>
          <w:szCs w:val="32"/>
          <w:highlight w:val="none"/>
        </w:rPr>
        <w:t>5</w:t>
      </w:r>
      <w:r>
        <w:rPr>
          <w:rFonts w:ascii="宋体" w:hAnsi="宋体" w:eastAsia="宋体" w:cs="Times New Roman"/>
          <w:b/>
          <w:bCs/>
          <w:sz w:val="32"/>
          <w:szCs w:val="32"/>
          <w:highlight w:val="none"/>
        </w:rPr>
        <w:t xml:space="preserve">.3 </w:t>
      </w:r>
      <w:r>
        <w:rPr>
          <w:rFonts w:hint="eastAsia" w:ascii="宋体" w:hAnsi="宋体" w:eastAsia="宋体" w:cs="Times New Roman"/>
          <w:b/>
          <w:bCs/>
          <w:sz w:val="32"/>
          <w:szCs w:val="32"/>
          <w:highlight w:val="none"/>
        </w:rPr>
        <w:t>机房标准</w:t>
      </w:r>
    </w:p>
    <w:p w14:paraId="47679A19">
      <w:pPr>
        <w:spacing w:line="360" w:lineRule="auto"/>
        <w:ind w:firstLine="480" w:firstLineChars="200"/>
        <w:rPr>
          <w:rFonts w:ascii="宋体" w:hAnsi="宋体" w:eastAsia="宋体" w:cs="Times New Roman"/>
          <w:sz w:val="24"/>
          <w:highlight w:val="none"/>
        </w:rPr>
      </w:pPr>
      <w:r>
        <w:rPr>
          <w:rFonts w:hint="eastAsia" w:ascii="宋体" w:hAnsi="宋体" w:eastAsia="宋体" w:cs="Times New Roman"/>
          <w:sz w:val="24"/>
          <w:highlight w:val="none"/>
        </w:rPr>
        <w:t>机房应满足网络等级保护</w:t>
      </w:r>
      <w:r>
        <w:rPr>
          <w:rFonts w:hint="eastAsia" w:ascii="宋体" w:hAnsi="宋体" w:eastAsia="宋体" w:cs="Times New Roman"/>
          <w:sz w:val="24"/>
          <w:highlight w:val="none"/>
          <w:lang w:val="en-US" w:eastAsia="zh-CN"/>
        </w:rPr>
        <w:t>2</w:t>
      </w:r>
      <w:r>
        <w:rPr>
          <w:rFonts w:hint="eastAsia" w:ascii="宋体" w:hAnsi="宋体" w:eastAsia="宋体" w:cs="Times New Roman"/>
          <w:sz w:val="24"/>
          <w:highlight w:val="none"/>
        </w:rPr>
        <w:t>.0标准的三级认证</w:t>
      </w:r>
      <w:r>
        <w:rPr>
          <w:rFonts w:hint="eastAsia" w:ascii="宋体" w:hAnsi="宋体" w:eastAsia="宋体" w:cs="Times New Roman"/>
          <w:sz w:val="24"/>
          <w:highlight w:val="none"/>
          <w:lang w:eastAsia="zh-CN"/>
        </w:rPr>
        <w:t>，</w:t>
      </w:r>
      <w:r>
        <w:rPr>
          <w:rFonts w:hint="eastAsia" w:ascii="宋体" w:hAnsi="宋体" w:eastAsia="宋体" w:cs="Times New Roman"/>
          <w:sz w:val="24"/>
          <w:highlight w:val="none"/>
          <w:lang w:val="en-US" w:eastAsia="zh-CN"/>
        </w:rPr>
        <w:t>并</w:t>
      </w:r>
      <w:r>
        <w:rPr>
          <w:rFonts w:hint="eastAsia" w:ascii="宋体" w:hAnsi="宋体" w:eastAsia="宋体" w:cs="Times New Roman"/>
          <w:sz w:val="24"/>
          <w:highlight w:val="none"/>
        </w:rPr>
        <w:t>满足以下</w:t>
      </w:r>
      <w:r>
        <w:rPr>
          <w:rFonts w:ascii="宋体" w:hAnsi="宋体" w:eastAsia="宋体" w:cs="Times New Roman"/>
          <w:sz w:val="24"/>
          <w:highlight w:val="none"/>
        </w:rPr>
        <w:t>指标</w:t>
      </w:r>
      <w:r>
        <w:rPr>
          <w:rFonts w:hint="eastAsia" w:ascii="宋体" w:hAnsi="宋体" w:eastAsia="宋体" w:cs="Times New Roman"/>
          <w:sz w:val="24"/>
          <w:highlight w:val="none"/>
          <w:lang w:val="en-US" w:eastAsia="zh-CN"/>
        </w:rPr>
        <w:t>要求</w:t>
      </w:r>
      <w:r>
        <w:rPr>
          <w:rFonts w:ascii="宋体" w:hAnsi="宋体" w:eastAsia="宋体" w:cs="Times New Roman"/>
          <w:sz w:val="24"/>
          <w:highlight w:val="none"/>
        </w:rPr>
        <w:t>：</w:t>
      </w:r>
    </w:p>
    <w:tbl>
      <w:tblPr>
        <w:tblStyle w:val="18"/>
        <w:tblW w:w="86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6804"/>
      </w:tblGrid>
      <w:tr w14:paraId="537D62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838" w:type="dxa"/>
            <w:tcBorders>
              <w:top w:val="single" w:color="auto" w:sz="4" w:space="0"/>
              <w:left w:val="single" w:color="auto" w:sz="4" w:space="0"/>
              <w:bottom w:val="single" w:color="auto" w:sz="4" w:space="0"/>
              <w:right w:val="single" w:color="auto" w:sz="4" w:space="0"/>
            </w:tcBorders>
            <w:vAlign w:val="center"/>
          </w:tcPr>
          <w:p w14:paraId="78A5613C">
            <w:pPr>
              <w:snapToGrid w:val="0"/>
              <w:jc w:val="center"/>
              <w:rPr>
                <w:rFonts w:ascii="宋体" w:hAnsi="宋体" w:eastAsia="宋体" w:cs="Times New Roman"/>
                <w:szCs w:val="21"/>
                <w:highlight w:val="none"/>
              </w:rPr>
            </w:pPr>
            <w:r>
              <w:rPr>
                <w:rFonts w:hint="eastAsia" w:ascii="宋体" w:hAnsi="宋体" w:eastAsia="宋体" w:cs="Times New Roman"/>
                <w:szCs w:val="21"/>
                <w:highlight w:val="none"/>
              </w:rPr>
              <w:t>指标项</w:t>
            </w:r>
          </w:p>
        </w:tc>
        <w:tc>
          <w:tcPr>
            <w:tcW w:w="6804" w:type="dxa"/>
            <w:tcBorders>
              <w:top w:val="single" w:color="auto" w:sz="4" w:space="0"/>
              <w:left w:val="single" w:color="auto" w:sz="4" w:space="0"/>
              <w:bottom w:val="single" w:color="auto" w:sz="4" w:space="0"/>
              <w:right w:val="single" w:color="auto" w:sz="4" w:space="0"/>
            </w:tcBorders>
            <w:vAlign w:val="center"/>
          </w:tcPr>
          <w:p w14:paraId="3C722C6C">
            <w:pPr>
              <w:snapToGrid w:val="0"/>
              <w:jc w:val="center"/>
              <w:rPr>
                <w:rFonts w:ascii="宋体" w:hAnsi="宋体" w:eastAsia="宋体" w:cs="Times New Roman"/>
                <w:szCs w:val="21"/>
                <w:highlight w:val="none"/>
              </w:rPr>
            </w:pPr>
            <w:r>
              <w:rPr>
                <w:rFonts w:hint="eastAsia" w:ascii="宋体" w:hAnsi="宋体" w:eastAsia="宋体" w:cs="Times New Roman"/>
                <w:szCs w:val="21"/>
                <w:highlight w:val="none"/>
              </w:rPr>
              <w:t>指标要求</w:t>
            </w:r>
          </w:p>
        </w:tc>
      </w:tr>
      <w:tr w14:paraId="41B9F0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838" w:type="dxa"/>
            <w:tcBorders>
              <w:top w:val="single" w:color="auto" w:sz="4" w:space="0"/>
              <w:left w:val="single" w:color="auto" w:sz="4" w:space="0"/>
              <w:bottom w:val="single" w:color="auto" w:sz="4" w:space="0"/>
              <w:right w:val="single" w:color="auto" w:sz="4" w:space="0"/>
            </w:tcBorders>
            <w:vAlign w:val="center"/>
          </w:tcPr>
          <w:p w14:paraId="3C3D087E">
            <w:pPr>
              <w:snapToGrid w:val="0"/>
              <w:jc w:val="center"/>
              <w:rPr>
                <w:rFonts w:ascii="宋体" w:hAnsi="宋体" w:eastAsia="宋体" w:cs="Times New Roman"/>
                <w:szCs w:val="21"/>
                <w:highlight w:val="none"/>
              </w:rPr>
            </w:pPr>
            <w:r>
              <w:rPr>
                <w:rFonts w:hint="eastAsia" w:ascii="宋体" w:hAnsi="宋体" w:eastAsia="宋体" w:cs="Times New Roman"/>
                <w:szCs w:val="21"/>
                <w:highlight w:val="none"/>
              </w:rPr>
              <w:t>产权要求</w:t>
            </w:r>
          </w:p>
        </w:tc>
        <w:tc>
          <w:tcPr>
            <w:tcW w:w="6804" w:type="dxa"/>
            <w:tcBorders>
              <w:top w:val="single" w:color="auto" w:sz="4" w:space="0"/>
              <w:left w:val="single" w:color="auto" w:sz="4" w:space="0"/>
              <w:bottom w:val="single" w:color="auto" w:sz="4" w:space="0"/>
              <w:right w:val="single" w:color="auto" w:sz="4" w:space="0"/>
            </w:tcBorders>
            <w:vAlign w:val="center"/>
          </w:tcPr>
          <w:p w14:paraId="1AF294B2">
            <w:pPr>
              <w:snapToGrid w:val="0"/>
              <w:rPr>
                <w:rFonts w:ascii="宋体" w:hAnsi="宋体" w:eastAsia="宋体" w:cs="Times New Roman"/>
                <w:kern w:val="0"/>
                <w:szCs w:val="21"/>
                <w:highlight w:val="none"/>
              </w:rPr>
            </w:pPr>
            <w:r>
              <w:rPr>
                <w:rFonts w:hint="eastAsia" w:ascii="宋体" w:hAnsi="宋体" w:eastAsia="宋体" w:cs="Times New Roman"/>
                <w:kern w:val="0"/>
                <w:szCs w:val="21"/>
                <w:highlight w:val="none"/>
              </w:rPr>
              <w:t>投标人所提供数据中心应具有合法的运营权或租赁使用权，并能提供与产权方签订的有效租赁合同或授权证明，确保在服务期内稳定使用。</w:t>
            </w:r>
          </w:p>
        </w:tc>
      </w:tr>
      <w:tr w14:paraId="0FA896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838" w:type="dxa"/>
            <w:tcBorders>
              <w:top w:val="single" w:color="auto" w:sz="4" w:space="0"/>
              <w:left w:val="single" w:color="auto" w:sz="4" w:space="0"/>
              <w:bottom w:val="single" w:color="auto" w:sz="4" w:space="0"/>
              <w:right w:val="single" w:color="auto" w:sz="4" w:space="0"/>
            </w:tcBorders>
            <w:vAlign w:val="center"/>
          </w:tcPr>
          <w:p w14:paraId="1408434E">
            <w:pPr>
              <w:snapToGrid w:val="0"/>
              <w:jc w:val="center"/>
              <w:rPr>
                <w:rFonts w:ascii="宋体" w:hAnsi="宋体" w:eastAsia="宋体" w:cs="Times New Roman"/>
                <w:szCs w:val="21"/>
                <w:highlight w:val="none"/>
              </w:rPr>
            </w:pPr>
            <w:r>
              <w:rPr>
                <w:rFonts w:hint="eastAsia" w:ascii="宋体" w:hAnsi="宋体" w:eastAsia="宋体" w:cs="Times New Roman"/>
                <w:szCs w:val="21"/>
                <w:highlight w:val="none"/>
              </w:rPr>
              <w:t>认证要求</w:t>
            </w:r>
          </w:p>
        </w:tc>
        <w:tc>
          <w:tcPr>
            <w:tcW w:w="6804" w:type="dxa"/>
            <w:tcBorders>
              <w:top w:val="single" w:color="auto" w:sz="4" w:space="0"/>
              <w:left w:val="nil"/>
              <w:bottom w:val="single" w:color="auto" w:sz="4" w:space="0"/>
              <w:right w:val="single" w:color="auto" w:sz="4" w:space="0"/>
            </w:tcBorders>
            <w:vAlign w:val="center"/>
          </w:tcPr>
          <w:p w14:paraId="233EE1E8">
            <w:pPr>
              <w:snapToGrid w:val="0"/>
              <w:rPr>
                <w:rFonts w:ascii="宋体" w:hAnsi="宋体" w:eastAsia="宋体" w:cs="Times New Roman"/>
                <w:kern w:val="0"/>
                <w:szCs w:val="21"/>
                <w:highlight w:val="none"/>
              </w:rPr>
            </w:pPr>
            <w:r>
              <w:rPr>
                <w:rFonts w:hint="eastAsia" w:ascii="宋体" w:hAnsi="宋体" w:eastAsia="宋体" w:cs="Times New Roman"/>
                <w:kern w:val="0"/>
                <w:szCs w:val="21"/>
                <w:highlight w:val="none"/>
              </w:rPr>
              <w:t>数据中心应通过</w:t>
            </w:r>
            <w:r>
              <w:rPr>
                <w:rFonts w:ascii="宋体" w:hAnsi="宋体" w:eastAsia="宋体" w:cs="Times New Roman"/>
                <w:kern w:val="0"/>
                <w:szCs w:val="21"/>
                <w:highlight w:val="none"/>
              </w:rPr>
              <w:t>ISO 27001信息安全管理体系认证</w:t>
            </w:r>
            <w:r>
              <w:rPr>
                <w:rFonts w:hint="eastAsia" w:ascii="宋体" w:hAnsi="宋体" w:eastAsia="宋体" w:cs="Times New Roman"/>
                <w:szCs w:val="21"/>
                <w:highlight w:val="none"/>
              </w:rPr>
              <w:t>、</w:t>
            </w:r>
            <w:r>
              <w:rPr>
                <w:rFonts w:ascii="宋体" w:hAnsi="宋体" w:eastAsia="宋体" w:cs="Times New Roman"/>
                <w:szCs w:val="21"/>
                <w:highlight w:val="none"/>
              </w:rPr>
              <w:t>ISO 20000 IT服务管理体系认证、ISO 22301业务连续性管理体系</w:t>
            </w:r>
            <w:r>
              <w:rPr>
                <w:rFonts w:ascii="宋体" w:hAnsi="宋体" w:eastAsia="宋体" w:cs="Times New Roman"/>
                <w:kern w:val="0"/>
                <w:szCs w:val="21"/>
                <w:highlight w:val="none"/>
              </w:rPr>
              <w:t>。</w:t>
            </w:r>
          </w:p>
        </w:tc>
      </w:tr>
      <w:tr w14:paraId="073169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838" w:type="dxa"/>
            <w:tcBorders>
              <w:top w:val="single" w:color="auto" w:sz="4" w:space="0"/>
              <w:left w:val="single" w:color="auto" w:sz="4" w:space="0"/>
              <w:bottom w:val="single" w:color="auto" w:sz="4" w:space="0"/>
              <w:right w:val="single" w:color="auto" w:sz="4" w:space="0"/>
            </w:tcBorders>
            <w:vAlign w:val="center"/>
          </w:tcPr>
          <w:p w14:paraId="0B234821">
            <w:pPr>
              <w:snapToGrid w:val="0"/>
              <w:jc w:val="center"/>
              <w:rPr>
                <w:rFonts w:ascii="宋体" w:hAnsi="宋体" w:eastAsia="宋体" w:cs="Times New Roman"/>
                <w:szCs w:val="21"/>
                <w:highlight w:val="none"/>
              </w:rPr>
            </w:pPr>
            <w:r>
              <w:rPr>
                <w:rFonts w:ascii="宋体" w:hAnsi="宋体" w:eastAsia="宋体" w:cs="Segoe UI"/>
                <w:color w:val="0F1115"/>
                <w:szCs w:val="21"/>
                <w:highlight w:val="none"/>
                <w:shd w:val="clear" w:color="auto" w:fill="FFFFFF"/>
              </w:rPr>
              <w:t>建筑与抗震</w:t>
            </w:r>
          </w:p>
        </w:tc>
        <w:tc>
          <w:tcPr>
            <w:tcW w:w="6804" w:type="dxa"/>
            <w:tcBorders>
              <w:top w:val="single" w:color="auto" w:sz="4" w:space="0"/>
              <w:left w:val="nil"/>
              <w:bottom w:val="single" w:color="auto" w:sz="4" w:space="0"/>
              <w:right w:val="single" w:color="auto" w:sz="4" w:space="0"/>
            </w:tcBorders>
            <w:vAlign w:val="center"/>
          </w:tcPr>
          <w:p w14:paraId="1563C92A">
            <w:pPr>
              <w:snapToGrid w:val="0"/>
              <w:rPr>
                <w:rFonts w:ascii="宋体" w:hAnsi="宋体" w:eastAsia="宋体" w:cs="Times New Roman"/>
                <w:kern w:val="0"/>
                <w:szCs w:val="21"/>
                <w:highlight w:val="none"/>
              </w:rPr>
            </w:pPr>
            <w:r>
              <w:rPr>
                <w:rFonts w:hint="eastAsia" w:ascii="宋体" w:hAnsi="宋体" w:eastAsia="宋体" w:cs="Times New Roman"/>
                <w:kern w:val="0"/>
                <w:szCs w:val="21"/>
                <w:highlight w:val="none"/>
              </w:rPr>
              <w:t>建筑等级不低于乙级，抗震烈度≥</w:t>
            </w:r>
            <w:r>
              <w:rPr>
                <w:rFonts w:ascii="宋体" w:hAnsi="宋体" w:eastAsia="宋体" w:cs="Times New Roman"/>
                <w:kern w:val="0"/>
                <w:szCs w:val="21"/>
                <w:highlight w:val="none"/>
              </w:rPr>
              <w:t>8度。</w:t>
            </w:r>
          </w:p>
        </w:tc>
      </w:tr>
      <w:tr w14:paraId="4BA640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838" w:type="dxa"/>
            <w:tcBorders>
              <w:top w:val="single" w:color="auto" w:sz="4" w:space="0"/>
              <w:left w:val="single" w:color="auto" w:sz="4" w:space="0"/>
              <w:bottom w:val="single" w:color="auto" w:sz="4" w:space="0"/>
              <w:right w:val="single" w:color="auto" w:sz="4" w:space="0"/>
            </w:tcBorders>
            <w:vAlign w:val="center"/>
          </w:tcPr>
          <w:p w14:paraId="7620DF07">
            <w:pPr>
              <w:snapToGrid w:val="0"/>
              <w:jc w:val="center"/>
              <w:rPr>
                <w:rFonts w:ascii="宋体" w:hAnsi="宋体" w:eastAsia="宋体" w:cs="Times New Roman"/>
                <w:szCs w:val="21"/>
                <w:highlight w:val="none"/>
              </w:rPr>
            </w:pPr>
            <w:r>
              <w:rPr>
                <w:rFonts w:hint="eastAsia" w:ascii="宋体" w:hAnsi="宋体" w:eastAsia="宋体" w:cs="Times New Roman"/>
                <w:szCs w:val="21"/>
                <w:highlight w:val="none"/>
              </w:rPr>
              <w:t>承重要求</w:t>
            </w:r>
          </w:p>
        </w:tc>
        <w:tc>
          <w:tcPr>
            <w:tcW w:w="6804" w:type="dxa"/>
            <w:tcBorders>
              <w:top w:val="single" w:color="auto" w:sz="4" w:space="0"/>
              <w:left w:val="nil"/>
              <w:bottom w:val="single" w:color="auto" w:sz="4" w:space="0"/>
              <w:right w:val="single" w:color="auto" w:sz="4" w:space="0"/>
            </w:tcBorders>
            <w:vAlign w:val="center"/>
          </w:tcPr>
          <w:p w14:paraId="43C10EBB">
            <w:pPr>
              <w:tabs>
                <w:tab w:val="left" w:pos="8640"/>
              </w:tabs>
              <w:rPr>
                <w:rFonts w:ascii="宋体" w:hAnsi="宋体" w:eastAsia="宋体" w:cs="Times New Roman"/>
                <w:szCs w:val="21"/>
                <w:highlight w:val="none"/>
              </w:rPr>
            </w:pPr>
            <w:r>
              <w:rPr>
                <w:rFonts w:hint="eastAsia" w:ascii="宋体" w:hAnsi="宋体" w:eastAsia="宋体" w:cs="Times New Roman"/>
                <w:szCs w:val="21"/>
                <w:highlight w:val="none"/>
              </w:rPr>
              <w:t>机柜部署区域楼面活荷载≥</w:t>
            </w:r>
            <w:r>
              <w:rPr>
                <w:rFonts w:ascii="宋体" w:hAnsi="宋体" w:eastAsia="宋体" w:cs="Times New Roman"/>
                <w:szCs w:val="21"/>
                <w:highlight w:val="none"/>
              </w:rPr>
              <w:t>1000kg/m²，电力电池区域≥1600kg/m²。非机柜区域（走廊、办公区等）应满足设备运输要求。</w:t>
            </w:r>
          </w:p>
        </w:tc>
      </w:tr>
      <w:tr w14:paraId="0ABA21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838" w:type="dxa"/>
            <w:tcBorders>
              <w:top w:val="single" w:color="auto" w:sz="4" w:space="0"/>
              <w:left w:val="single" w:color="auto" w:sz="4" w:space="0"/>
              <w:bottom w:val="single" w:color="auto" w:sz="4" w:space="0"/>
              <w:right w:val="single" w:color="auto" w:sz="4" w:space="0"/>
            </w:tcBorders>
            <w:vAlign w:val="center"/>
          </w:tcPr>
          <w:p w14:paraId="6E134C15">
            <w:pPr>
              <w:snapToGrid w:val="0"/>
              <w:jc w:val="center"/>
              <w:rPr>
                <w:rFonts w:ascii="宋体" w:hAnsi="宋体" w:eastAsia="宋体" w:cs="Times New Roman"/>
                <w:szCs w:val="21"/>
                <w:highlight w:val="none"/>
              </w:rPr>
            </w:pPr>
            <w:r>
              <w:rPr>
                <w:rFonts w:hint="eastAsia" w:ascii="宋体" w:hAnsi="宋体" w:eastAsia="宋体" w:cs="Times New Roman"/>
                <w:szCs w:val="21"/>
                <w:highlight w:val="none"/>
              </w:rPr>
              <w:t>净空层高</w:t>
            </w:r>
          </w:p>
        </w:tc>
        <w:tc>
          <w:tcPr>
            <w:tcW w:w="6804" w:type="dxa"/>
            <w:tcBorders>
              <w:top w:val="single" w:color="auto" w:sz="4" w:space="0"/>
              <w:left w:val="nil"/>
              <w:bottom w:val="single" w:color="auto" w:sz="4" w:space="0"/>
              <w:right w:val="single" w:color="auto" w:sz="4" w:space="0"/>
            </w:tcBorders>
            <w:vAlign w:val="center"/>
          </w:tcPr>
          <w:p w14:paraId="6E134BAE">
            <w:pPr>
              <w:snapToGrid w:val="0"/>
              <w:rPr>
                <w:rFonts w:ascii="宋体" w:hAnsi="宋体" w:eastAsia="宋体" w:cs="Times New Roman"/>
                <w:kern w:val="0"/>
                <w:szCs w:val="21"/>
                <w:highlight w:val="none"/>
              </w:rPr>
            </w:pPr>
            <w:r>
              <w:rPr>
                <w:rFonts w:hint="eastAsia" w:ascii="宋体" w:hAnsi="宋体" w:eastAsia="宋体" w:cs="Times New Roman"/>
                <w:kern w:val="0"/>
                <w:szCs w:val="21"/>
                <w:highlight w:val="none"/>
              </w:rPr>
              <w:t>≥</w:t>
            </w:r>
            <w:r>
              <w:rPr>
                <w:rFonts w:ascii="宋体" w:hAnsi="宋体" w:eastAsia="宋体" w:cs="Times New Roman"/>
                <w:kern w:val="0"/>
                <w:szCs w:val="21"/>
                <w:highlight w:val="none"/>
              </w:rPr>
              <w:t>3.0米（指静空间净高）。</w:t>
            </w:r>
          </w:p>
        </w:tc>
      </w:tr>
      <w:tr w14:paraId="39DDDC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838" w:type="dxa"/>
            <w:tcBorders>
              <w:top w:val="single" w:color="auto" w:sz="4" w:space="0"/>
              <w:left w:val="single" w:color="auto" w:sz="4" w:space="0"/>
              <w:bottom w:val="single" w:color="auto" w:sz="4" w:space="0"/>
              <w:right w:val="single" w:color="auto" w:sz="4" w:space="0"/>
            </w:tcBorders>
            <w:vAlign w:val="center"/>
          </w:tcPr>
          <w:p w14:paraId="4BDDA8D5">
            <w:pPr>
              <w:snapToGrid w:val="0"/>
              <w:jc w:val="center"/>
              <w:rPr>
                <w:rFonts w:ascii="宋体" w:hAnsi="宋体" w:eastAsia="宋体" w:cs="Times New Roman"/>
                <w:szCs w:val="21"/>
                <w:highlight w:val="none"/>
              </w:rPr>
            </w:pPr>
            <w:r>
              <w:rPr>
                <w:rFonts w:hint="eastAsia" w:ascii="宋体" w:hAnsi="宋体" w:eastAsia="宋体" w:cs="Times New Roman"/>
                <w:szCs w:val="21"/>
                <w:highlight w:val="none"/>
              </w:rPr>
              <w:t>电梯要求</w:t>
            </w:r>
          </w:p>
        </w:tc>
        <w:tc>
          <w:tcPr>
            <w:tcW w:w="6804" w:type="dxa"/>
            <w:tcBorders>
              <w:top w:val="single" w:color="auto" w:sz="4" w:space="0"/>
              <w:left w:val="nil"/>
              <w:bottom w:val="single" w:color="auto" w:sz="4" w:space="0"/>
              <w:right w:val="single" w:color="auto" w:sz="4" w:space="0"/>
            </w:tcBorders>
            <w:vAlign w:val="center"/>
          </w:tcPr>
          <w:p w14:paraId="7B6E580E">
            <w:pPr>
              <w:snapToGrid w:val="0"/>
              <w:rPr>
                <w:rFonts w:ascii="宋体" w:hAnsi="宋体" w:eastAsia="宋体" w:cs="Times New Roman"/>
                <w:kern w:val="0"/>
                <w:szCs w:val="21"/>
                <w:highlight w:val="none"/>
              </w:rPr>
            </w:pPr>
            <w:r>
              <w:rPr>
                <w:rFonts w:hint="eastAsia" w:ascii="宋体" w:hAnsi="宋体" w:eastAsia="宋体" w:cs="Times New Roman"/>
                <w:szCs w:val="21"/>
                <w:highlight w:val="none"/>
              </w:rPr>
              <w:t>数据中心具有完备的客梯和货梯，其中货梯载重量≥2.0吨</w:t>
            </w:r>
          </w:p>
        </w:tc>
      </w:tr>
      <w:tr w14:paraId="5EED84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838" w:type="dxa"/>
            <w:tcBorders>
              <w:top w:val="single" w:color="auto" w:sz="4" w:space="0"/>
              <w:left w:val="single" w:color="auto" w:sz="4" w:space="0"/>
              <w:bottom w:val="single" w:color="auto" w:sz="4" w:space="0"/>
              <w:right w:val="single" w:color="auto" w:sz="4" w:space="0"/>
            </w:tcBorders>
            <w:vAlign w:val="center"/>
          </w:tcPr>
          <w:p w14:paraId="21CD3C44">
            <w:pPr>
              <w:snapToGrid w:val="0"/>
              <w:jc w:val="center"/>
              <w:rPr>
                <w:rFonts w:ascii="宋体" w:hAnsi="宋体" w:eastAsia="宋体" w:cs="Times New Roman"/>
                <w:szCs w:val="21"/>
                <w:highlight w:val="none"/>
              </w:rPr>
            </w:pPr>
            <w:r>
              <w:rPr>
                <w:rFonts w:hint="eastAsia" w:ascii="宋体" w:hAnsi="宋体" w:eastAsia="宋体" w:cs="Times New Roman"/>
                <w:szCs w:val="21"/>
                <w:highlight w:val="none"/>
              </w:rPr>
              <w:t>防水</w:t>
            </w:r>
            <w:r>
              <w:rPr>
                <w:rFonts w:ascii="宋体" w:hAnsi="宋体" w:eastAsia="宋体" w:cs="Times New Roman"/>
                <w:szCs w:val="21"/>
                <w:highlight w:val="none"/>
              </w:rPr>
              <w:t>/漏水检测</w:t>
            </w:r>
          </w:p>
        </w:tc>
        <w:tc>
          <w:tcPr>
            <w:tcW w:w="6804" w:type="dxa"/>
            <w:tcBorders>
              <w:top w:val="single" w:color="auto" w:sz="4" w:space="0"/>
              <w:left w:val="nil"/>
              <w:bottom w:val="single" w:color="auto" w:sz="4" w:space="0"/>
              <w:right w:val="single" w:color="auto" w:sz="4" w:space="0"/>
            </w:tcBorders>
            <w:vAlign w:val="center"/>
          </w:tcPr>
          <w:p w14:paraId="3B49AE85">
            <w:pPr>
              <w:tabs>
                <w:tab w:val="left" w:pos="8640"/>
              </w:tabs>
              <w:rPr>
                <w:rFonts w:ascii="宋体" w:hAnsi="宋体" w:eastAsia="宋体" w:cs="Times New Roman"/>
                <w:szCs w:val="21"/>
                <w:highlight w:val="none"/>
              </w:rPr>
            </w:pPr>
            <w:r>
              <w:rPr>
                <w:rFonts w:hint="eastAsia" w:ascii="宋体" w:hAnsi="宋体" w:eastAsia="宋体" w:cs="Times New Roman"/>
                <w:szCs w:val="21"/>
                <w:highlight w:val="none"/>
              </w:rPr>
              <w:t>配置漏水检测系统，对空调区域、水管进出口、窗户等可能漏水点进行实时监测，并接入动环监控系统，发生漏水时即刻告警。</w:t>
            </w:r>
          </w:p>
        </w:tc>
      </w:tr>
      <w:tr w14:paraId="7912E8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838" w:type="dxa"/>
            <w:tcBorders>
              <w:top w:val="single" w:color="auto" w:sz="4" w:space="0"/>
              <w:left w:val="single" w:color="auto" w:sz="4" w:space="0"/>
              <w:bottom w:val="single" w:color="auto" w:sz="4" w:space="0"/>
              <w:right w:val="single" w:color="auto" w:sz="4" w:space="0"/>
            </w:tcBorders>
            <w:vAlign w:val="center"/>
          </w:tcPr>
          <w:p w14:paraId="508E920D">
            <w:pPr>
              <w:snapToGrid w:val="0"/>
              <w:jc w:val="center"/>
              <w:rPr>
                <w:rFonts w:ascii="宋体" w:hAnsi="宋体" w:eastAsia="宋体" w:cs="Times New Roman"/>
                <w:szCs w:val="21"/>
                <w:highlight w:val="none"/>
              </w:rPr>
            </w:pPr>
            <w:r>
              <w:rPr>
                <w:rFonts w:hint="eastAsia" w:ascii="宋体" w:hAnsi="宋体" w:eastAsia="宋体" w:cs="Times New Roman"/>
                <w:szCs w:val="21"/>
                <w:highlight w:val="none"/>
              </w:rPr>
              <w:t>防雷要求</w:t>
            </w:r>
          </w:p>
        </w:tc>
        <w:tc>
          <w:tcPr>
            <w:tcW w:w="6804" w:type="dxa"/>
            <w:tcBorders>
              <w:top w:val="single" w:color="auto" w:sz="4" w:space="0"/>
              <w:left w:val="nil"/>
              <w:bottom w:val="single" w:color="auto" w:sz="4" w:space="0"/>
              <w:right w:val="single" w:color="auto" w:sz="4" w:space="0"/>
            </w:tcBorders>
            <w:vAlign w:val="center"/>
          </w:tcPr>
          <w:p w14:paraId="4F064FB2">
            <w:pPr>
              <w:snapToGrid w:val="0"/>
              <w:rPr>
                <w:rFonts w:ascii="宋体" w:hAnsi="宋体" w:eastAsia="宋体" w:cs="Times New Roman"/>
                <w:kern w:val="0"/>
                <w:szCs w:val="21"/>
                <w:highlight w:val="none"/>
              </w:rPr>
            </w:pPr>
            <w:r>
              <w:rPr>
                <w:rFonts w:hint="eastAsia" w:ascii="宋体" w:hAnsi="宋体" w:eastAsia="宋体" w:cs="Times New Roman"/>
                <w:kern w:val="0"/>
                <w:szCs w:val="21"/>
                <w:highlight w:val="none"/>
              </w:rPr>
              <w:t>满足</w:t>
            </w:r>
            <w:r>
              <w:rPr>
                <w:rFonts w:ascii="宋体" w:hAnsi="宋体" w:eastAsia="宋体" w:cs="Times New Roman"/>
                <w:kern w:val="0"/>
                <w:szCs w:val="21"/>
                <w:highlight w:val="none"/>
              </w:rPr>
              <w:t>《建筑物防雷设计规范》GB50057和《建筑物电子信息系统防雷技术规范》GB50343的有关规定。</w:t>
            </w:r>
          </w:p>
        </w:tc>
      </w:tr>
      <w:tr w14:paraId="7AA942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838" w:type="dxa"/>
            <w:tcBorders>
              <w:top w:val="single" w:color="auto" w:sz="4" w:space="0"/>
              <w:left w:val="single" w:color="auto" w:sz="4" w:space="0"/>
              <w:bottom w:val="single" w:color="auto" w:sz="4" w:space="0"/>
              <w:right w:val="single" w:color="auto" w:sz="4" w:space="0"/>
            </w:tcBorders>
            <w:vAlign w:val="center"/>
          </w:tcPr>
          <w:p w14:paraId="20EA85AA">
            <w:pPr>
              <w:snapToGrid w:val="0"/>
              <w:jc w:val="center"/>
              <w:rPr>
                <w:rFonts w:ascii="宋体" w:hAnsi="宋体" w:eastAsia="宋体" w:cs="Times New Roman"/>
                <w:szCs w:val="21"/>
                <w:highlight w:val="none"/>
              </w:rPr>
            </w:pPr>
            <w:r>
              <w:rPr>
                <w:rFonts w:hint="eastAsia" w:ascii="宋体" w:hAnsi="宋体" w:eastAsia="宋体" w:cs="Times New Roman"/>
                <w:szCs w:val="21"/>
                <w:highlight w:val="none"/>
              </w:rPr>
              <w:t>综合布线要求</w:t>
            </w:r>
          </w:p>
        </w:tc>
        <w:tc>
          <w:tcPr>
            <w:tcW w:w="6804" w:type="dxa"/>
            <w:tcBorders>
              <w:top w:val="single" w:color="auto" w:sz="4" w:space="0"/>
              <w:left w:val="nil"/>
              <w:bottom w:val="single" w:color="auto" w:sz="4" w:space="0"/>
              <w:right w:val="single" w:color="auto" w:sz="4" w:space="0"/>
            </w:tcBorders>
            <w:vAlign w:val="center"/>
          </w:tcPr>
          <w:p w14:paraId="0D330514">
            <w:pPr>
              <w:tabs>
                <w:tab w:val="left" w:pos="8640"/>
              </w:tabs>
              <w:rPr>
                <w:rFonts w:ascii="宋体" w:hAnsi="宋体" w:eastAsia="宋体" w:cs="Times New Roman"/>
                <w:szCs w:val="21"/>
                <w:highlight w:val="none"/>
              </w:rPr>
            </w:pPr>
            <w:r>
              <w:rPr>
                <w:rFonts w:hint="eastAsia" w:ascii="宋体" w:hAnsi="宋体" w:eastAsia="宋体" w:cs="Times New Roman"/>
                <w:szCs w:val="21"/>
                <w:highlight w:val="none"/>
              </w:rPr>
              <w:t>按照现行国家标准《综合布线系统工程设计规范》</w:t>
            </w:r>
            <w:r>
              <w:rPr>
                <w:rFonts w:ascii="宋体" w:hAnsi="宋体" w:eastAsia="宋体" w:cs="Times New Roman"/>
                <w:szCs w:val="21"/>
                <w:highlight w:val="none"/>
              </w:rPr>
              <w:t>GB50311-2016的规定执行。机房布局采用下送风、上走线方式。强电、弱电分走不同的桥架。所有设备与网络配线柜之间互联以及网络配线柜之间互联的尾纤、双绞线等由成交供应商提供，并按招标人要求进行布线实施。</w:t>
            </w:r>
          </w:p>
        </w:tc>
      </w:tr>
      <w:tr w14:paraId="664AC4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838" w:type="dxa"/>
            <w:tcBorders>
              <w:top w:val="single" w:color="auto" w:sz="4" w:space="0"/>
              <w:left w:val="single" w:color="auto" w:sz="4" w:space="0"/>
              <w:bottom w:val="single" w:color="auto" w:sz="4" w:space="0"/>
              <w:right w:val="single" w:color="auto" w:sz="4" w:space="0"/>
            </w:tcBorders>
            <w:vAlign w:val="center"/>
          </w:tcPr>
          <w:p w14:paraId="7BFE8612">
            <w:pPr>
              <w:snapToGrid w:val="0"/>
              <w:jc w:val="center"/>
              <w:rPr>
                <w:rFonts w:ascii="宋体" w:hAnsi="宋体" w:eastAsia="宋体" w:cs="Times New Roman"/>
                <w:szCs w:val="21"/>
                <w:highlight w:val="none"/>
              </w:rPr>
            </w:pPr>
            <w:r>
              <w:rPr>
                <w:rFonts w:hint="eastAsia" w:ascii="宋体" w:hAnsi="宋体" w:eastAsia="宋体" w:cs="Times New Roman"/>
                <w:szCs w:val="21"/>
                <w:highlight w:val="none"/>
              </w:rPr>
              <w:t>供电要求</w:t>
            </w:r>
          </w:p>
        </w:tc>
        <w:tc>
          <w:tcPr>
            <w:tcW w:w="6804" w:type="dxa"/>
            <w:tcBorders>
              <w:top w:val="single" w:color="auto" w:sz="4" w:space="0"/>
              <w:left w:val="nil"/>
              <w:bottom w:val="single" w:color="auto" w:sz="4" w:space="0"/>
              <w:right w:val="single" w:color="auto" w:sz="4" w:space="0"/>
            </w:tcBorders>
            <w:vAlign w:val="center"/>
          </w:tcPr>
          <w:p w14:paraId="1D6ABA51">
            <w:pPr>
              <w:tabs>
                <w:tab w:val="left" w:pos="8640"/>
              </w:tabs>
              <w:rPr>
                <w:rFonts w:ascii="宋体" w:hAnsi="宋体" w:eastAsia="宋体" w:cs="Times New Roman"/>
                <w:szCs w:val="21"/>
                <w:highlight w:val="none"/>
              </w:rPr>
            </w:pPr>
            <w:r>
              <w:rPr>
                <w:rFonts w:hint="eastAsia" w:ascii="宋体" w:hAnsi="宋体" w:eastAsia="宋体" w:cs="Times New Roman"/>
                <w:szCs w:val="21"/>
                <w:highlight w:val="none"/>
              </w:rPr>
              <w:t>双路独立市电接入（来自不同变电站）</w:t>
            </w:r>
            <w:r>
              <w:rPr>
                <w:rFonts w:ascii="宋体" w:hAnsi="宋体" w:eastAsia="宋体" w:cs="Times New Roman"/>
                <w:szCs w:val="21"/>
                <w:highlight w:val="none"/>
              </w:rPr>
              <w:t xml:space="preserve">。油机满足数据中心整体功率要求，UPS采用 </w:t>
            </w:r>
            <w:r>
              <w:rPr>
                <w:rFonts w:hint="eastAsia" w:ascii="宋体" w:hAnsi="宋体" w:eastAsia="宋体" w:cs="Times New Roman"/>
                <w:szCs w:val="21"/>
                <w:highlight w:val="none"/>
              </w:rPr>
              <w:t>3N</w:t>
            </w:r>
            <w:r>
              <w:rPr>
                <w:rFonts w:ascii="宋体" w:hAnsi="宋体" w:eastAsia="宋体" w:cs="Times New Roman"/>
                <w:szCs w:val="21"/>
                <w:highlight w:val="none"/>
              </w:rPr>
              <w:t xml:space="preserve"> 备份模式，UPS输出功率满足整体功率要求，电池满载备用时间≥30分钟。数据中心内电源列头柜和服务器机架为双路UPS电源输入；标准机柜和非标准机柜应能根据招标人设备需求进行供电改造。</w:t>
            </w:r>
          </w:p>
        </w:tc>
      </w:tr>
      <w:tr w14:paraId="3CA9F3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838" w:type="dxa"/>
            <w:tcBorders>
              <w:top w:val="single" w:color="auto" w:sz="4" w:space="0"/>
              <w:left w:val="single" w:color="auto" w:sz="4" w:space="0"/>
              <w:bottom w:val="single" w:color="auto" w:sz="4" w:space="0"/>
              <w:right w:val="single" w:color="auto" w:sz="4" w:space="0"/>
            </w:tcBorders>
            <w:vAlign w:val="center"/>
          </w:tcPr>
          <w:p w14:paraId="066937DB">
            <w:pPr>
              <w:snapToGrid w:val="0"/>
              <w:jc w:val="center"/>
              <w:rPr>
                <w:rFonts w:ascii="宋体" w:hAnsi="宋体" w:eastAsia="宋体" w:cs="Times New Roman"/>
                <w:szCs w:val="21"/>
                <w:highlight w:val="none"/>
              </w:rPr>
            </w:pPr>
            <w:r>
              <w:rPr>
                <w:rFonts w:hint="eastAsia" w:ascii="宋体" w:hAnsi="宋体" w:eastAsia="宋体" w:cs="Times New Roman"/>
                <w:szCs w:val="21"/>
                <w:highlight w:val="none"/>
              </w:rPr>
              <w:t>制冷能力要求</w:t>
            </w:r>
          </w:p>
        </w:tc>
        <w:tc>
          <w:tcPr>
            <w:tcW w:w="6804" w:type="dxa"/>
            <w:tcBorders>
              <w:top w:val="single" w:color="auto" w:sz="4" w:space="0"/>
              <w:left w:val="nil"/>
              <w:bottom w:val="single" w:color="auto" w:sz="4" w:space="0"/>
              <w:right w:val="single" w:color="auto" w:sz="4" w:space="0"/>
            </w:tcBorders>
            <w:vAlign w:val="center"/>
          </w:tcPr>
          <w:p w14:paraId="3A731073">
            <w:pPr>
              <w:tabs>
                <w:tab w:val="left" w:pos="8640"/>
              </w:tabs>
              <w:rPr>
                <w:rFonts w:ascii="宋体" w:hAnsi="宋体" w:eastAsia="宋体" w:cs="Times New Roman"/>
                <w:szCs w:val="21"/>
                <w:highlight w:val="none"/>
              </w:rPr>
            </w:pPr>
            <w:r>
              <w:rPr>
                <w:rFonts w:hint="eastAsia" w:ascii="宋体" w:hAnsi="宋体" w:eastAsia="宋体" w:cs="Times New Roman"/>
                <w:szCs w:val="21"/>
                <w:highlight w:val="none"/>
              </w:rPr>
              <w:t>采用数据中心专用空调，下送风方式，可精确控制各空间的温度及湿度，并配有冗余空调设备（</w:t>
            </w:r>
            <w:r>
              <w:rPr>
                <w:rFonts w:ascii="宋体" w:hAnsi="宋体" w:eastAsia="宋体" w:cs="Times New Roman"/>
                <w:szCs w:val="21"/>
                <w:highlight w:val="none"/>
              </w:rPr>
              <w:t>N+1）。新风系统高压输入洁净的新鲜空气，保证数据中心常年恒温恒湿：温度21-25℃，相对湿度40%-60%。</w:t>
            </w:r>
          </w:p>
        </w:tc>
      </w:tr>
      <w:tr w14:paraId="24EBBF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838" w:type="dxa"/>
            <w:tcBorders>
              <w:top w:val="single" w:color="auto" w:sz="4" w:space="0"/>
              <w:left w:val="single" w:color="auto" w:sz="4" w:space="0"/>
              <w:bottom w:val="single" w:color="auto" w:sz="4" w:space="0"/>
              <w:right w:val="single" w:color="auto" w:sz="4" w:space="0"/>
            </w:tcBorders>
            <w:vAlign w:val="center"/>
          </w:tcPr>
          <w:p w14:paraId="6EB4799B">
            <w:pPr>
              <w:snapToGrid w:val="0"/>
              <w:jc w:val="center"/>
              <w:rPr>
                <w:rFonts w:ascii="宋体" w:hAnsi="宋体" w:eastAsia="宋体" w:cs="Times New Roman"/>
                <w:szCs w:val="21"/>
                <w:highlight w:val="none"/>
              </w:rPr>
            </w:pPr>
            <w:r>
              <w:rPr>
                <w:rFonts w:hint="eastAsia" w:ascii="宋体" w:hAnsi="宋体" w:eastAsia="宋体" w:cs="Times New Roman"/>
                <w:szCs w:val="21"/>
                <w:highlight w:val="none"/>
              </w:rPr>
              <w:t>消防要求</w:t>
            </w:r>
          </w:p>
        </w:tc>
        <w:tc>
          <w:tcPr>
            <w:tcW w:w="6804" w:type="dxa"/>
            <w:tcBorders>
              <w:top w:val="single" w:color="auto" w:sz="4" w:space="0"/>
              <w:left w:val="nil"/>
              <w:bottom w:val="single" w:color="auto" w:sz="4" w:space="0"/>
              <w:right w:val="single" w:color="auto" w:sz="4" w:space="0"/>
            </w:tcBorders>
            <w:vAlign w:val="center"/>
          </w:tcPr>
          <w:p w14:paraId="3AF2F4CE">
            <w:pPr>
              <w:tabs>
                <w:tab w:val="left" w:pos="8640"/>
              </w:tabs>
              <w:rPr>
                <w:rFonts w:ascii="宋体" w:hAnsi="宋体" w:eastAsia="宋体" w:cs="Times New Roman"/>
                <w:szCs w:val="21"/>
                <w:highlight w:val="none"/>
              </w:rPr>
            </w:pPr>
            <w:r>
              <w:rPr>
                <w:rFonts w:hint="eastAsia" w:ascii="宋体" w:hAnsi="宋体" w:eastAsia="宋体" w:cs="Times New Roman"/>
                <w:szCs w:val="21"/>
                <w:highlight w:val="none"/>
              </w:rPr>
              <w:t>满足国家消防有关规定和数据机房建筑的特殊功能和技术要求，通过消防验收。采用高灵敏度烟雾探测系统和气体灭火系统（七氟丙烷或</w:t>
            </w:r>
            <w:r>
              <w:rPr>
                <w:rFonts w:ascii="宋体" w:hAnsi="宋体" w:eastAsia="宋体" w:cs="Times New Roman"/>
                <w:szCs w:val="21"/>
                <w:highlight w:val="none"/>
              </w:rPr>
              <w:t>IG541，不得使用对电子设备有害的介质），能在不停电的情况下实施灭火。机房墙壁、门、天花板采用防火建材；具备完备的安全走火通道和逃生门，并按照规范布置相关安全指示。提供消防验收合格证明。</w:t>
            </w:r>
          </w:p>
        </w:tc>
      </w:tr>
      <w:tr w14:paraId="73F92D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838" w:type="dxa"/>
            <w:tcBorders>
              <w:top w:val="single" w:color="auto" w:sz="4" w:space="0"/>
              <w:left w:val="single" w:color="auto" w:sz="4" w:space="0"/>
              <w:bottom w:val="single" w:color="auto" w:sz="4" w:space="0"/>
              <w:right w:val="single" w:color="auto" w:sz="4" w:space="0"/>
            </w:tcBorders>
            <w:vAlign w:val="center"/>
          </w:tcPr>
          <w:p w14:paraId="5B79E123">
            <w:pPr>
              <w:snapToGrid w:val="0"/>
              <w:jc w:val="center"/>
              <w:rPr>
                <w:rFonts w:ascii="宋体" w:hAnsi="宋体" w:eastAsia="宋体" w:cs="Times New Roman"/>
                <w:szCs w:val="21"/>
                <w:highlight w:val="none"/>
              </w:rPr>
            </w:pPr>
            <w:r>
              <w:rPr>
                <w:rFonts w:hint="eastAsia" w:ascii="宋体" w:hAnsi="宋体" w:eastAsia="宋体" w:cs="Times New Roman"/>
                <w:szCs w:val="21"/>
                <w:highlight w:val="none"/>
              </w:rPr>
              <w:t>安防要求</w:t>
            </w:r>
          </w:p>
        </w:tc>
        <w:tc>
          <w:tcPr>
            <w:tcW w:w="6804" w:type="dxa"/>
            <w:tcBorders>
              <w:top w:val="single" w:color="auto" w:sz="4" w:space="0"/>
              <w:left w:val="nil"/>
              <w:bottom w:val="single" w:color="auto" w:sz="4" w:space="0"/>
              <w:right w:val="single" w:color="auto" w:sz="4" w:space="0"/>
            </w:tcBorders>
            <w:vAlign w:val="center"/>
          </w:tcPr>
          <w:p w14:paraId="3FBE55C7">
            <w:pPr>
              <w:snapToGrid w:val="0"/>
              <w:rPr>
                <w:rFonts w:ascii="宋体" w:hAnsi="宋体" w:eastAsia="宋体" w:cs="Times New Roman"/>
                <w:kern w:val="0"/>
                <w:szCs w:val="21"/>
                <w:highlight w:val="none"/>
              </w:rPr>
            </w:pPr>
            <w:r>
              <w:rPr>
                <w:rFonts w:hint="eastAsia" w:ascii="宋体" w:hAnsi="宋体" w:eastAsia="宋体" w:cs="Times New Roman"/>
                <w:kern w:val="0"/>
                <w:szCs w:val="21"/>
                <w:highlight w:val="none"/>
              </w:rPr>
              <w:t>提供</w:t>
            </w:r>
            <w:r>
              <w:rPr>
                <w:rFonts w:ascii="宋体" w:hAnsi="宋体" w:eastAsia="宋体" w:cs="Times New Roman"/>
                <w:kern w:val="0"/>
                <w:szCs w:val="21"/>
                <w:highlight w:val="none"/>
              </w:rPr>
              <w:t>7×24小时的安保服务，机楼外围设置有专用安保执勤。机房门采用门禁卡、授权密码等方式控制人员出入，确保非授权人不得进入设备运行区域。</w:t>
            </w:r>
          </w:p>
        </w:tc>
      </w:tr>
      <w:tr w14:paraId="60ECE1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838" w:type="dxa"/>
            <w:tcBorders>
              <w:top w:val="single" w:color="auto" w:sz="4" w:space="0"/>
              <w:left w:val="single" w:color="auto" w:sz="4" w:space="0"/>
              <w:bottom w:val="single" w:color="auto" w:sz="4" w:space="0"/>
              <w:right w:val="single" w:color="auto" w:sz="4" w:space="0"/>
            </w:tcBorders>
            <w:vAlign w:val="center"/>
          </w:tcPr>
          <w:p w14:paraId="5341DA76">
            <w:pPr>
              <w:snapToGrid w:val="0"/>
              <w:jc w:val="center"/>
              <w:rPr>
                <w:rFonts w:ascii="宋体" w:hAnsi="宋体" w:eastAsia="宋体" w:cs="Times New Roman"/>
                <w:szCs w:val="21"/>
                <w:highlight w:val="none"/>
              </w:rPr>
            </w:pPr>
            <w:r>
              <w:rPr>
                <w:rFonts w:hint="eastAsia" w:ascii="宋体" w:hAnsi="宋体" w:eastAsia="宋体" w:cs="Times New Roman"/>
                <w:szCs w:val="21"/>
                <w:highlight w:val="none"/>
              </w:rPr>
              <w:t>防静电及电磁防护</w:t>
            </w:r>
          </w:p>
        </w:tc>
        <w:tc>
          <w:tcPr>
            <w:tcW w:w="6804" w:type="dxa"/>
            <w:tcBorders>
              <w:top w:val="single" w:color="auto" w:sz="4" w:space="0"/>
              <w:left w:val="nil"/>
              <w:bottom w:val="single" w:color="auto" w:sz="4" w:space="0"/>
              <w:right w:val="single" w:color="auto" w:sz="4" w:space="0"/>
            </w:tcBorders>
            <w:vAlign w:val="center"/>
          </w:tcPr>
          <w:p w14:paraId="00D77B83">
            <w:pPr>
              <w:snapToGrid w:val="0"/>
              <w:rPr>
                <w:rFonts w:ascii="宋体" w:hAnsi="宋体" w:eastAsia="宋体" w:cs="Times New Roman"/>
                <w:kern w:val="0"/>
                <w:szCs w:val="21"/>
                <w:highlight w:val="none"/>
              </w:rPr>
            </w:pPr>
            <w:r>
              <w:rPr>
                <w:rFonts w:hint="eastAsia" w:ascii="宋体" w:hAnsi="宋体" w:eastAsia="宋体" w:cs="Times New Roman"/>
                <w:kern w:val="0"/>
                <w:szCs w:val="21"/>
                <w:highlight w:val="none"/>
              </w:rPr>
              <w:t>参考《税务系统信息安全等级保护基本要求》中第三级安全技术要求的物理安全技术要求中的相关规定</w:t>
            </w:r>
            <w:r>
              <w:rPr>
                <w:rFonts w:ascii="宋体" w:hAnsi="宋体" w:eastAsia="宋体" w:cs="Times New Roman"/>
                <w:kern w:val="0"/>
                <w:szCs w:val="21"/>
                <w:highlight w:val="none"/>
              </w:rPr>
              <w:t>。</w:t>
            </w:r>
          </w:p>
        </w:tc>
      </w:tr>
      <w:tr w14:paraId="301969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838" w:type="dxa"/>
            <w:tcBorders>
              <w:top w:val="single" w:color="auto" w:sz="4" w:space="0"/>
              <w:left w:val="single" w:color="auto" w:sz="4" w:space="0"/>
              <w:bottom w:val="single" w:color="auto" w:sz="4" w:space="0"/>
              <w:right w:val="single" w:color="auto" w:sz="4" w:space="0"/>
            </w:tcBorders>
            <w:vAlign w:val="center"/>
          </w:tcPr>
          <w:p w14:paraId="2B5D8415">
            <w:pPr>
              <w:snapToGrid w:val="0"/>
              <w:jc w:val="center"/>
              <w:rPr>
                <w:rFonts w:ascii="宋体" w:hAnsi="宋体" w:eastAsia="宋体" w:cs="Times New Roman"/>
                <w:szCs w:val="21"/>
                <w:highlight w:val="none"/>
              </w:rPr>
            </w:pPr>
            <w:r>
              <w:rPr>
                <w:rFonts w:hint="eastAsia" w:ascii="宋体" w:hAnsi="宋体" w:eastAsia="宋体" w:cs="Times New Roman"/>
                <w:szCs w:val="21"/>
                <w:highlight w:val="none"/>
              </w:rPr>
              <w:t>其它</w:t>
            </w:r>
          </w:p>
        </w:tc>
        <w:tc>
          <w:tcPr>
            <w:tcW w:w="6804" w:type="dxa"/>
            <w:tcBorders>
              <w:top w:val="single" w:color="auto" w:sz="4" w:space="0"/>
              <w:left w:val="nil"/>
              <w:bottom w:val="single" w:color="auto" w:sz="4" w:space="0"/>
              <w:right w:val="single" w:color="auto" w:sz="4" w:space="0"/>
            </w:tcBorders>
            <w:vAlign w:val="center"/>
          </w:tcPr>
          <w:p w14:paraId="1069BBF2">
            <w:pPr>
              <w:snapToGrid w:val="0"/>
              <w:rPr>
                <w:rFonts w:ascii="宋体" w:hAnsi="宋体" w:eastAsia="宋体" w:cs="Times New Roman"/>
                <w:kern w:val="0"/>
                <w:szCs w:val="21"/>
                <w:highlight w:val="none"/>
              </w:rPr>
            </w:pPr>
            <w:r>
              <w:rPr>
                <w:rFonts w:hint="eastAsia" w:ascii="宋体" w:hAnsi="宋体" w:eastAsia="宋体" w:cs="Times New Roman"/>
                <w:kern w:val="0"/>
                <w:szCs w:val="21"/>
                <w:highlight w:val="none"/>
              </w:rPr>
              <w:t>完全满足防虫、防鼠要求。在静态条件下测试，每升空气中大于或等于</w:t>
            </w:r>
            <w:r>
              <w:rPr>
                <w:rFonts w:ascii="宋体" w:hAnsi="宋体" w:eastAsia="宋体" w:cs="Times New Roman"/>
                <w:kern w:val="0"/>
                <w:szCs w:val="21"/>
                <w:highlight w:val="none"/>
              </w:rPr>
              <w:t>0.5μm的尘粒数少于15000粒。</w:t>
            </w:r>
          </w:p>
        </w:tc>
      </w:tr>
      <w:tr w14:paraId="2333D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838" w:type="dxa"/>
            <w:tcBorders>
              <w:top w:val="single" w:color="auto" w:sz="4" w:space="0"/>
              <w:left w:val="single" w:color="auto" w:sz="4" w:space="0"/>
              <w:bottom w:val="single" w:color="auto" w:sz="4" w:space="0"/>
              <w:right w:val="single" w:color="auto" w:sz="4" w:space="0"/>
            </w:tcBorders>
            <w:vAlign w:val="center"/>
          </w:tcPr>
          <w:p w14:paraId="098A7077">
            <w:pPr>
              <w:snapToGrid w:val="0"/>
              <w:jc w:val="center"/>
              <w:rPr>
                <w:rFonts w:ascii="宋体" w:hAnsi="宋体" w:eastAsia="宋体" w:cs="Times New Roman"/>
                <w:szCs w:val="21"/>
                <w:highlight w:val="none"/>
              </w:rPr>
            </w:pPr>
            <w:r>
              <w:rPr>
                <w:rFonts w:ascii="宋体" w:hAnsi="宋体" w:eastAsia="宋体" w:cs="Segoe UI"/>
                <w:color w:val="0F1115"/>
                <w:szCs w:val="21"/>
                <w:highlight w:val="none"/>
                <w:shd w:val="clear" w:color="auto" w:fill="FFFFFF"/>
              </w:rPr>
              <w:t>可用性SLA</w:t>
            </w:r>
          </w:p>
        </w:tc>
        <w:tc>
          <w:tcPr>
            <w:tcW w:w="6804" w:type="dxa"/>
            <w:tcBorders>
              <w:top w:val="single" w:color="auto" w:sz="4" w:space="0"/>
              <w:left w:val="nil"/>
              <w:bottom w:val="single" w:color="auto" w:sz="4" w:space="0"/>
              <w:right w:val="single" w:color="auto" w:sz="4" w:space="0"/>
            </w:tcBorders>
            <w:vAlign w:val="center"/>
          </w:tcPr>
          <w:p w14:paraId="4B9045F5">
            <w:pPr>
              <w:snapToGrid w:val="0"/>
              <w:rPr>
                <w:rFonts w:ascii="宋体" w:hAnsi="宋体" w:eastAsia="宋体" w:cs="Times New Roman"/>
                <w:kern w:val="0"/>
                <w:szCs w:val="21"/>
                <w:highlight w:val="none"/>
              </w:rPr>
            </w:pPr>
            <w:r>
              <w:rPr>
                <w:rFonts w:ascii="宋体" w:hAnsi="宋体" w:eastAsia="宋体" w:cs="Segoe UI"/>
                <w:color w:val="0F1115"/>
                <w:szCs w:val="21"/>
                <w:highlight w:val="none"/>
                <w:shd w:val="clear" w:color="auto" w:fill="FFFFFF"/>
              </w:rPr>
              <w:t>数据中心整体基础设施可用性（含供电、制冷、网络接入）</w:t>
            </w:r>
            <w:r>
              <w:rPr>
                <w:rFonts w:ascii="宋体" w:hAnsi="宋体" w:eastAsia="宋体" w:cs="Segoe UI"/>
                <w:bCs/>
                <w:color w:val="0F1115"/>
                <w:szCs w:val="21"/>
                <w:highlight w:val="none"/>
                <w:shd w:val="clear" w:color="auto" w:fill="FFFFFF"/>
              </w:rPr>
              <w:t>≥99.99%</w:t>
            </w:r>
            <w:r>
              <w:rPr>
                <w:rFonts w:ascii="宋体" w:hAnsi="宋体" w:eastAsia="宋体" w:cs="Segoe UI"/>
                <w:color w:val="0F1115"/>
                <w:szCs w:val="21"/>
                <w:highlight w:val="none"/>
                <w:shd w:val="clear" w:color="auto" w:fill="FFFFFF"/>
              </w:rPr>
              <w:t>。</w:t>
            </w:r>
          </w:p>
        </w:tc>
      </w:tr>
    </w:tbl>
    <w:p w14:paraId="010BA488">
      <w:pPr>
        <w:keepNext/>
        <w:keepLines/>
        <w:spacing w:before="260" w:after="260" w:line="416" w:lineRule="auto"/>
        <w:outlineLvl w:val="1"/>
        <w:rPr>
          <w:rFonts w:ascii="宋体" w:hAnsi="宋体" w:eastAsia="宋体" w:cs="Times New Roman"/>
          <w:b/>
          <w:bCs/>
          <w:sz w:val="32"/>
          <w:szCs w:val="32"/>
          <w:highlight w:val="none"/>
        </w:rPr>
      </w:pPr>
      <w:r>
        <w:rPr>
          <w:rFonts w:hint="eastAsia" w:ascii="宋体" w:hAnsi="宋体" w:eastAsia="宋体" w:cs="Times New Roman"/>
          <w:b/>
          <w:bCs/>
          <w:sz w:val="32"/>
          <w:szCs w:val="32"/>
          <w:highlight w:val="none"/>
        </w:rPr>
        <w:t>5</w:t>
      </w:r>
      <w:r>
        <w:rPr>
          <w:rFonts w:ascii="宋体" w:hAnsi="宋体" w:eastAsia="宋体" w:cs="Times New Roman"/>
          <w:b/>
          <w:bCs/>
          <w:sz w:val="32"/>
          <w:szCs w:val="32"/>
          <w:highlight w:val="none"/>
        </w:rPr>
        <w:t xml:space="preserve">.4 </w:t>
      </w:r>
      <w:r>
        <w:rPr>
          <w:rFonts w:hint="eastAsia" w:ascii="宋体" w:hAnsi="宋体" w:eastAsia="宋体" w:cs="Times New Roman"/>
          <w:b/>
          <w:bCs/>
          <w:sz w:val="32"/>
          <w:szCs w:val="32"/>
          <w:highlight w:val="none"/>
        </w:rPr>
        <w:t>机架及围蔽要求</w:t>
      </w:r>
    </w:p>
    <w:tbl>
      <w:tblPr>
        <w:tblStyle w:val="18"/>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8"/>
        <w:gridCol w:w="7634"/>
      </w:tblGrid>
      <w:tr w14:paraId="4DCCD0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0" w:type="auto"/>
            <w:tcBorders>
              <w:top w:val="single" w:color="auto" w:sz="4" w:space="0"/>
              <w:left w:val="single" w:color="auto" w:sz="4" w:space="0"/>
              <w:bottom w:val="single" w:color="auto" w:sz="4" w:space="0"/>
              <w:right w:val="single" w:color="auto" w:sz="4" w:space="0"/>
            </w:tcBorders>
            <w:vAlign w:val="center"/>
          </w:tcPr>
          <w:p w14:paraId="35450A58">
            <w:pPr>
              <w:snapToGrid w:val="0"/>
              <w:jc w:val="center"/>
              <w:rPr>
                <w:rFonts w:ascii="宋体" w:hAnsi="宋体" w:eastAsia="宋体" w:cs="Times New Roman"/>
                <w:b/>
                <w:kern w:val="0"/>
                <w:szCs w:val="21"/>
                <w:highlight w:val="none"/>
              </w:rPr>
            </w:pPr>
            <w:r>
              <w:rPr>
                <w:rFonts w:hint="eastAsia" w:ascii="宋体" w:hAnsi="宋体" w:eastAsia="宋体" w:cs="Times New Roman"/>
                <w:b/>
                <w:kern w:val="0"/>
                <w:highlight w:val="none"/>
              </w:rPr>
              <w:t>指标项</w:t>
            </w:r>
          </w:p>
        </w:tc>
        <w:tc>
          <w:tcPr>
            <w:tcW w:w="7634" w:type="dxa"/>
            <w:tcBorders>
              <w:top w:val="single" w:color="auto" w:sz="4" w:space="0"/>
              <w:left w:val="single" w:color="auto" w:sz="4" w:space="0"/>
              <w:bottom w:val="single" w:color="auto" w:sz="4" w:space="0"/>
              <w:right w:val="single" w:color="auto" w:sz="4" w:space="0"/>
            </w:tcBorders>
            <w:vAlign w:val="center"/>
          </w:tcPr>
          <w:p w14:paraId="535A83DD">
            <w:pPr>
              <w:snapToGrid w:val="0"/>
              <w:jc w:val="center"/>
              <w:rPr>
                <w:rFonts w:ascii="宋体" w:hAnsi="宋体" w:eastAsia="宋体" w:cs="Times New Roman"/>
                <w:b/>
                <w:kern w:val="0"/>
                <w:highlight w:val="none"/>
              </w:rPr>
            </w:pPr>
            <w:r>
              <w:rPr>
                <w:rFonts w:hint="eastAsia" w:ascii="宋体" w:hAnsi="宋体" w:eastAsia="宋体" w:cs="Times New Roman"/>
                <w:b/>
                <w:kern w:val="0"/>
                <w:highlight w:val="none"/>
              </w:rPr>
              <w:t>指标要求</w:t>
            </w:r>
          </w:p>
        </w:tc>
      </w:tr>
      <w:tr w14:paraId="0FAD6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vAlign w:val="center"/>
          </w:tcPr>
          <w:p w14:paraId="30C0765A">
            <w:pPr>
              <w:snapToGrid w:val="0"/>
              <w:jc w:val="center"/>
              <w:rPr>
                <w:rFonts w:ascii="宋体" w:hAnsi="宋体" w:eastAsia="宋体" w:cs="Times New Roman"/>
                <w:kern w:val="0"/>
                <w:highlight w:val="none"/>
              </w:rPr>
            </w:pPr>
            <w:r>
              <w:rPr>
                <w:rFonts w:hint="eastAsia" w:ascii="宋体" w:hAnsi="宋体" w:eastAsia="宋体" w:cs="Times New Roman"/>
                <w:kern w:val="0"/>
                <w:highlight w:val="none"/>
              </w:rPr>
              <w:t>使用机架数量</w:t>
            </w:r>
          </w:p>
        </w:tc>
        <w:tc>
          <w:tcPr>
            <w:tcW w:w="7634" w:type="dxa"/>
            <w:tcBorders>
              <w:top w:val="single" w:color="auto" w:sz="4" w:space="0"/>
              <w:left w:val="single" w:color="auto" w:sz="4" w:space="0"/>
              <w:bottom w:val="single" w:color="auto" w:sz="4" w:space="0"/>
              <w:right w:val="single" w:color="auto" w:sz="4" w:space="0"/>
            </w:tcBorders>
            <w:vAlign w:val="center"/>
          </w:tcPr>
          <w:p w14:paraId="67A32AA8">
            <w:pPr>
              <w:snapToGrid w:val="0"/>
              <w:jc w:val="left"/>
              <w:rPr>
                <w:rFonts w:ascii="宋体" w:hAnsi="宋体" w:eastAsia="宋体" w:cs="Times New Roman"/>
                <w:kern w:val="0"/>
                <w:highlight w:val="none"/>
              </w:rPr>
            </w:pPr>
            <w:r>
              <w:rPr>
                <w:rFonts w:hint="eastAsia" w:ascii="宋体" w:hAnsi="宋体" w:eastAsia="宋体" w:cs="Times New Roman"/>
                <w:kern w:val="0"/>
                <w:highlight w:val="none"/>
              </w:rPr>
              <w:t>占用≥6个标准机架，总功耗≥18kw</w:t>
            </w:r>
          </w:p>
        </w:tc>
      </w:tr>
      <w:tr w14:paraId="610802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vAlign w:val="center"/>
          </w:tcPr>
          <w:p w14:paraId="69C8BA20">
            <w:pPr>
              <w:snapToGrid w:val="0"/>
              <w:jc w:val="center"/>
              <w:rPr>
                <w:rFonts w:ascii="宋体" w:hAnsi="宋体" w:eastAsia="宋体" w:cs="Times New Roman"/>
                <w:kern w:val="0"/>
                <w:highlight w:val="none"/>
              </w:rPr>
            </w:pPr>
            <w:r>
              <w:rPr>
                <w:rFonts w:hint="eastAsia" w:ascii="宋体" w:hAnsi="宋体" w:eastAsia="宋体" w:cs="Times New Roman"/>
                <w:kern w:val="0"/>
                <w:highlight w:val="none"/>
              </w:rPr>
              <w:t>预留空间要求</w:t>
            </w:r>
          </w:p>
        </w:tc>
        <w:tc>
          <w:tcPr>
            <w:tcW w:w="7634" w:type="dxa"/>
            <w:tcBorders>
              <w:top w:val="single" w:color="auto" w:sz="4" w:space="0"/>
              <w:left w:val="single" w:color="auto" w:sz="4" w:space="0"/>
              <w:bottom w:val="single" w:color="auto" w:sz="4" w:space="0"/>
              <w:right w:val="single" w:color="auto" w:sz="4" w:space="0"/>
            </w:tcBorders>
            <w:vAlign w:val="center"/>
          </w:tcPr>
          <w:p w14:paraId="63606A01">
            <w:pPr>
              <w:snapToGrid w:val="0"/>
              <w:jc w:val="left"/>
              <w:rPr>
                <w:rFonts w:ascii="宋体" w:hAnsi="宋体" w:eastAsia="宋体" w:cs="Times New Roman"/>
                <w:kern w:val="0"/>
                <w:highlight w:val="none"/>
              </w:rPr>
            </w:pPr>
            <w:r>
              <w:rPr>
                <w:rFonts w:hint="eastAsia" w:ascii="宋体" w:hAnsi="宋体" w:eastAsia="宋体" w:cs="宋体"/>
                <w:kern w:val="0"/>
                <w:szCs w:val="21"/>
                <w:highlight w:val="none"/>
              </w:rPr>
              <w:t>须围闭6个或以上的机架，作为招标人未来新增设备所用，投标人应在方案中阐明所额外预留的空间大小、位置等情况。</w:t>
            </w:r>
          </w:p>
        </w:tc>
      </w:tr>
      <w:tr w14:paraId="3109F0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vAlign w:val="center"/>
          </w:tcPr>
          <w:p w14:paraId="6497F819">
            <w:pPr>
              <w:snapToGrid w:val="0"/>
              <w:jc w:val="center"/>
              <w:rPr>
                <w:rFonts w:ascii="宋体" w:hAnsi="宋体" w:eastAsia="宋体" w:cs="Times New Roman"/>
                <w:kern w:val="0"/>
                <w:highlight w:val="none"/>
              </w:rPr>
            </w:pPr>
            <w:r>
              <w:rPr>
                <w:rFonts w:hint="eastAsia" w:ascii="宋体" w:hAnsi="宋体" w:eastAsia="宋体" w:cs="Times New Roman"/>
                <w:kern w:val="0"/>
                <w:highlight w:val="none"/>
              </w:rPr>
              <w:t>标准机柜及</w:t>
            </w:r>
            <w:r>
              <w:rPr>
                <w:rFonts w:ascii="宋体" w:hAnsi="宋体" w:eastAsia="宋体" w:cs="Times New Roman"/>
                <w:kern w:val="0"/>
                <w:highlight w:val="none"/>
              </w:rPr>
              <w:t>PDU要求</w:t>
            </w:r>
          </w:p>
        </w:tc>
        <w:tc>
          <w:tcPr>
            <w:tcW w:w="7634" w:type="dxa"/>
            <w:tcBorders>
              <w:top w:val="single" w:color="auto" w:sz="4" w:space="0"/>
              <w:left w:val="single" w:color="auto" w:sz="4" w:space="0"/>
              <w:bottom w:val="single" w:color="auto" w:sz="4" w:space="0"/>
              <w:right w:val="single" w:color="auto" w:sz="4" w:space="0"/>
            </w:tcBorders>
            <w:vAlign w:val="center"/>
          </w:tcPr>
          <w:p w14:paraId="3AEB51B7">
            <w:pPr>
              <w:snapToGrid w:val="0"/>
              <w:jc w:val="left"/>
              <w:rPr>
                <w:rFonts w:ascii="宋体" w:hAnsi="宋体" w:eastAsia="宋体" w:cs="Times New Roman"/>
                <w:kern w:val="0"/>
                <w:highlight w:val="none"/>
              </w:rPr>
            </w:pPr>
            <w:r>
              <w:rPr>
                <w:rFonts w:hint="eastAsia" w:ascii="宋体" w:hAnsi="宋体" w:eastAsia="宋体" w:cs="Times New Roman"/>
                <w:kern w:val="0"/>
                <w:highlight w:val="none"/>
              </w:rPr>
              <w:t>标准</w:t>
            </w:r>
            <w:r>
              <w:rPr>
                <w:rFonts w:ascii="宋体" w:hAnsi="宋体" w:eastAsia="宋体" w:cs="Times New Roman"/>
                <w:kern w:val="0"/>
                <w:highlight w:val="none"/>
              </w:rPr>
              <w:t>19英寸机柜，机柜承重托盘保证每机柜至少2块。PDU质量可靠，每机柜需提供双路电源，C13、C19或国标口电源插座或接线柱接驳，每机柜不少于20位接入，并配备足够挡板。非标准机柜根据实际情况和招标人要求进行改造。</w:t>
            </w:r>
          </w:p>
        </w:tc>
      </w:tr>
      <w:tr w14:paraId="19F388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8" w:type="dxa"/>
            <w:tcBorders>
              <w:top w:val="single" w:color="auto" w:sz="4" w:space="0"/>
              <w:left w:val="single" w:color="auto" w:sz="4" w:space="0"/>
              <w:bottom w:val="single" w:color="auto" w:sz="4" w:space="0"/>
              <w:right w:val="single" w:color="auto" w:sz="4" w:space="0"/>
            </w:tcBorders>
            <w:vAlign w:val="center"/>
          </w:tcPr>
          <w:p w14:paraId="7B6D88A2">
            <w:pPr>
              <w:snapToGrid w:val="0"/>
              <w:jc w:val="center"/>
              <w:rPr>
                <w:rFonts w:ascii="宋体" w:hAnsi="宋体" w:eastAsia="宋体" w:cs="Times New Roman"/>
                <w:kern w:val="0"/>
                <w:highlight w:val="none"/>
              </w:rPr>
            </w:pPr>
            <w:r>
              <w:rPr>
                <w:rFonts w:hint="eastAsia" w:ascii="宋体" w:hAnsi="宋体" w:eastAsia="宋体" w:cs="Times New Roman"/>
                <w:kern w:val="0"/>
                <w:highlight w:val="none"/>
              </w:rPr>
              <w:t>围蔽要求</w:t>
            </w:r>
          </w:p>
        </w:tc>
        <w:tc>
          <w:tcPr>
            <w:tcW w:w="7634" w:type="dxa"/>
            <w:tcBorders>
              <w:top w:val="single" w:color="auto" w:sz="4" w:space="0"/>
              <w:left w:val="single" w:color="auto" w:sz="4" w:space="0"/>
              <w:bottom w:val="single" w:color="auto" w:sz="4" w:space="0"/>
              <w:right w:val="single" w:color="auto" w:sz="4" w:space="0"/>
            </w:tcBorders>
            <w:vAlign w:val="center"/>
          </w:tcPr>
          <w:p w14:paraId="283351E3">
            <w:pPr>
              <w:snapToGrid w:val="0"/>
              <w:jc w:val="left"/>
              <w:rPr>
                <w:rFonts w:ascii="宋体" w:hAnsi="宋体" w:eastAsia="宋体" w:cs="Times New Roman"/>
                <w:kern w:val="0"/>
                <w:highlight w:val="none"/>
              </w:rPr>
            </w:pPr>
            <w:r>
              <w:rPr>
                <w:rFonts w:hint="eastAsia" w:ascii="宋体" w:hAnsi="宋体" w:eastAsia="宋体" w:cs="Times New Roman"/>
                <w:kern w:val="0"/>
                <w:highlight w:val="none"/>
              </w:rPr>
              <w:t>须具备空调、电源、消防、门禁、安防等基础设施。本项目提供的资源是使用方重要信息化机房，需进行单独物理隔离，防止围蔽外人员触碰设备及机柜。围蔽区域设置门禁系统</w:t>
            </w:r>
            <w:r>
              <w:rPr>
                <w:rFonts w:hint="eastAsia" w:ascii="宋体" w:hAnsi="宋体" w:eastAsia="宋体" w:cs="宋体"/>
                <w:kern w:val="0"/>
                <w:szCs w:val="21"/>
                <w:highlight w:val="none"/>
              </w:rPr>
              <w:t>，门禁系统的权限根据使用方要求配置。</w:t>
            </w:r>
          </w:p>
        </w:tc>
      </w:tr>
    </w:tbl>
    <w:p w14:paraId="58F7776F">
      <w:pPr>
        <w:pStyle w:val="7"/>
        <w:numPr>
          <w:ilvl w:val="0"/>
          <w:numId w:val="3"/>
        </w:numPr>
        <w:ind w:left="0" w:firstLine="0"/>
        <w:rPr>
          <w:rFonts w:ascii="宋体" w:hAnsi="宋体" w:eastAsia="宋体" w:cs="宋体"/>
          <w:highlight w:val="none"/>
        </w:rPr>
      </w:pPr>
      <w:r>
        <w:rPr>
          <w:rFonts w:hint="eastAsia" w:ascii="宋体" w:hAnsi="宋体" w:eastAsia="宋体" w:cs="宋体"/>
          <w:highlight w:val="none"/>
        </w:rPr>
        <w:t>项目实施要求</w:t>
      </w:r>
    </w:p>
    <w:p w14:paraId="02A79857">
      <w:pPr>
        <w:pStyle w:val="8"/>
        <w:rPr>
          <w:rFonts w:ascii="宋体" w:hAnsi="宋体" w:eastAsia="宋体"/>
          <w:highlight w:val="none"/>
        </w:rPr>
      </w:pPr>
      <w:r>
        <w:rPr>
          <w:rFonts w:ascii="宋体" w:hAnsi="宋体" w:eastAsia="宋体"/>
          <w:highlight w:val="none"/>
        </w:rPr>
        <w:t>6.1 总体合规要求</w:t>
      </w:r>
    </w:p>
    <w:p w14:paraId="546D1F0D">
      <w:pPr>
        <w:pStyle w:val="32"/>
        <w:spacing w:beforeLines="0" w:afterLines="0"/>
        <w:ind w:firstLineChars="0"/>
        <w:rPr>
          <w:rFonts w:ascii="宋体" w:hAnsi="宋体" w:eastAsia="宋体" w:cs="宋体"/>
          <w:sz w:val="24"/>
          <w:szCs w:val="24"/>
          <w:highlight w:val="none"/>
        </w:rPr>
      </w:pPr>
      <w:r>
        <w:rPr>
          <w:rFonts w:ascii="宋体" w:hAnsi="宋体" w:eastAsia="宋体" w:cs="宋体"/>
          <w:sz w:val="24"/>
          <w:szCs w:val="24"/>
          <w:highlight w:val="none"/>
        </w:rPr>
        <w:t xml:space="preserve"> </w:t>
      </w:r>
      <w:r>
        <w:rPr>
          <w:rFonts w:hint="eastAsia" w:ascii="宋体" w:hAnsi="宋体" w:eastAsia="宋体" w:cs="宋体"/>
          <w:sz w:val="24"/>
          <w:szCs w:val="24"/>
          <w:highlight w:val="none"/>
        </w:rPr>
        <w:t>（1）</w:t>
      </w:r>
      <w:r>
        <w:rPr>
          <w:rFonts w:ascii="宋体" w:hAnsi="宋体" w:eastAsia="宋体" w:cs="宋体"/>
          <w:sz w:val="24"/>
          <w:szCs w:val="24"/>
          <w:highlight w:val="none"/>
        </w:rPr>
        <w:t>供应商所提供产品中如使用数据库、操作系统及其它第三方软件，必须全部使用正版软件，确保无任何版权纠纷。</w:t>
      </w:r>
    </w:p>
    <w:p w14:paraId="18D8AA18">
      <w:pPr>
        <w:pStyle w:val="8"/>
        <w:rPr>
          <w:rFonts w:ascii="宋体" w:hAnsi="宋体" w:eastAsia="宋体"/>
          <w:highlight w:val="none"/>
        </w:rPr>
      </w:pPr>
      <w:r>
        <w:rPr>
          <w:rFonts w:ascii="宋体" w:hAnsi="宋体" w:eastAsia="宋体"/>
          <w:highlight w:val="none"/>
        </w:rPr>
        <w:t>6.2</w:t>
      </w:r>
      <w:r>
        <w:rPr>
          <w:rFonts w:hint="eastAsia" w:ascii="宋体" w:hAnsi="宋体" w:eastAsia="宋体"/>
          <w:highlight w:val="none"/>
        </w:rPr>
        <w:t>实施交付要求</w:t>
      </w:r>
    </w:p>
    <w:p w14:paraId="0F92F0C1">
      <w:pPr>
        <w:adjustRightInd w:val="0"/>
        <w:spacing w:line="360" w:lineRule="auto"/>
        <w:ind w:firstLine="480" w:firstLineChars="200"/>
        <w:textAlignment w:val="baseline"/>
        <w:rPr>
          <w:rFonts w:ascii="宋体" w:hAnsi="宋体" w:eastAsia="宋体" w:cs="宋体"/>
          <w:bCs/>
          <w:sz w:val="24"/>
          <w:highlight w:val="none"/>
        </w:rPr>
      </w:pPr>
      <w:r>
        <w:rPr>
          <w:rFonts w:hint="eastAsia" w:ascii="宋体" w:hAnsi="宋体" w:eastAsia="宋体" w:cs="宋体"/>
          <w:bCs/>
          <w:sz w:val="24"/>
          <w:highlight w:val="none"/>
        </w:rPr>
        <w:t>（1）</w:t>
      </w:r>
      <w:r>
        <w:rPr>
          <w:rFonts w:ascii="宋体" w:hAnsi="宋体" w:eastAsia="宋体" w:cs="宋体"/>
          <w:bCs/>
          <w:sz w:val="24"/>
          <w:highlight w:val="none"/>
        </w:rPr>
        <w:t>实施方案：供应商须在中标后</w:t>
      </w:r>
      <w:r>
        <w:rPr>
          <w:rFonts w:hint="eastAsia" w:ascii="宋体" w:hAnsi="宋体" w:eastAsia="宋体" w:cs="宋体"/>
          <w:bCs/>
          <w:sz w:val="24"/>
          <w:highlight w:val="none"/>
        </w:rPr>
        <w:t>7</w:t>
      </w:r>
      <w:r>
        <w:rPr>
          <w:rFonts w:ascii="宋体" w:hAnsi="宋体" w:eastAsia="宋体" w:cs="宋体"/>
          <w:bCs/>
          <w:sz w:val="24"/>
          <w:highlight w:val="none"/>
        </w:rPr>
        <w:t>个工作日内，基于本需求书及现场勘查情况，提交一份详细、可落地的《项目设计与实施方案》，内容包括但不限于：网络拓扑规划、IP地址分配、设备上架规划、数据迁移策略、应用切换流程、回退方案等。方案须经院方审核通过后方可实施。</w:t>
      </w:r>
    </w:p>
    <w:p w14:paraId="0F3BF549">
      <w:pPr>
        <w:adjustRightInd w:val="0"/>
        <w:spacing w:line="360" w:lineRule="auto"/>
        <w:ind w:firstLine="480" w:firstLineChars="200"/>
        <w:textAlignment w:val="baseline"/>
        <w:rPr>
          <w:rFonts w:ascii="宋体" w:hAnsi="宋体" w:eastAsia="宋体" w:cs="宋体"/>
          <w:bCs/>
          <w:sz w:val="24"/>
          <w:highlight w:val="none"/>
        </w:rPr>
      </w:pPr>
      <w:r>
        <w:rPr>
          <w:rFonts w:hint="eastAsia" w:ascii="宋体" w:hAnsi="宋体" w:eastAsia="宋体" w:cs="宋体"/>
          <w:bCs/>
          <w:sz w:val="24"/>
          <w:highlight w:val="none"/>
        </w:rPr>
        <w:t>（2）</w:t>
      </w:r>
      <w:r>
        <w:rPr>
          <w:rFonts w:ascii="宋体" w:hAnsi="宋体" w:eastAsia="宋体" w:cs="宋体"/>
          <w:bCs/>
          <w:sz w:val="24"/>
          <w:highlight w:val="none"/>
        </w:rPr>
        <w:t>新旧系统平滑对接：本项目须与院方“2023年信息容灾机房租赁项目”已建成的环境实现无缝对接。供应商须负责完成包括但不限于网络互通、容灾策略迁移、历史数据同步、应用配置调整等所有必要工作，确保业务连续性不受影响。</w:t>
      </w:r>
    </w:p>
    <w:p w14:paraId="63A6ABBD">
      <w:pPr>
        <w:adjustRightInd w:val="0"/>
        <w:spacing w:line="360" w:lineRule="auto"/>
        <w:ind w:firstLine="480" w:firstLineChars="200"/>
        <w:textAlignment w:val="baseline"/>
        <w:rPr>
          <w:rFonts w:ascii="宋体" w:hAnsi="宋体" w:eastAsia="宋体" w:cs="宋体"/>
          <w:bCs/>
          <w:sz w:val="24"/>
          <w:highlight w:val="none"/>
        </w:rPr>
      </w:pPr>
      <w:r>
        <w:rPr>
          <w:rFonts w:ascii="宋体" w:hAnsi="宋体" w:eastAsia="宋体" w:cs="宋体"/>
          <w:bCs/>
          <w:sz w:val="24"/>
          <w:highlight w:val="none"/>
        </w:rPr>
        <w:t>(3) 数据迁移与实施责任：供应商须在项目工期内，完成将所有指定业务系统（HIS、LIS、互联网医院等）的数据从现有环境完整、一致、安全地迁移至本项目环境中。因迁移导致的数据丢失、损坏或业务中断，由供应商承担全部责任。</w:t>
      </w:r>
    </w:p>
    <w:p w14:paraId="161CE4A9">
      <w:pPr>
        <w:pStyle w:val="8"/>
        <w:rPr>
          <w:rFonts w:ascii="宋体" w:hAnsi="宋体" w:eastAsia="宋体"/>
          <w:highlight w:val="none"/>
        </w:rPr>
      </w:pPr>
      <w:r>
        <w:rPr>
          <w:rFonts w:hint="eastAsia" w:ascii="宋体" w:hAnsi="宋体" w:eastAsia="宋体"/>
          <w:highlight w:val="none"/>
        </w:rPr>
        <w:t>6</w:t>
      </w:r>
      <w:r>
        <w:rPr>
          <w:rFonts w:ascii="宋体" w:hAnsi="宋体" w:eastAsia="宋体"/>
          <w:highlight w:val="none"/>
        </w:rPr>
        <w:t xml:space="preserve">.3 </w:t>
      </w:r>
      <w:r>
        <w:rPr>
          <w:rFonts w:hint="eastAsia" w:ascii="宋体" w:hAnsi="宋体" w:eastAsia="宋体"/>
          <w:highlight w:val="none"/>
        </w:rPr>
        <w:t>项目周期与交付</w:t>
      </w:r>
    </w:p>
    <w:p w14:paraId="100EF8C1">
      <w:pPr>
        <w:adjustRightInd w:val="0"/>
        <w:spacing w:line="360" w:lineRule="auto"/>
        <w:ind w:firstLine="480" w:firstLineChars="200"/>
        <w:textAlignment w:val="baseline"/>
        <w:rPr>
          <w:rFonts w:ascii="宋体" w:hAnsi="宋体" w:eastAsia="宋体" w:cs="宋体"/>
          <w:bCs/>
          <w:sz w:val="24"/>
          <w:highlight w:val="none"/>
        </w:rPr>
      </w:pPr>
      <w:r>
        <w:rPr>
          <w:rFonts w:hint="eastAsia" w:ascii="宋体" w:hAnsi="宋体" w:eastAsia="宋体" w:cs="宋体"/>
          <w:bCs/>
          <w:sz w:val="24"/>
          <w:highlight w:val="none"/>
        </w:rPr>
        <w:t>乙方需在合同签订后，并在使用方</w:t>
      </w:r>
      <w:r>
        <w:rPr>
          <w:rFonts w:ascii="宋体" w:hAnsi="宋体" w:eastAsia="宋体" w:cs="宋体"/>
          <w:bCs/>
          <w:sz w:val="24"/>
          <w:highlight w:val="none"/>
        </w:rPr>
        <w:t>2023年信息容灾机房租赁项目合同结束（2026年10月10日）之后的三个月内，完成该项目采购清单的建设内容，并交付给使用方使用。本项目租赁期限为1年，以使用方确认交付内容的日期，作为租赁结算的起始时间。</w:t>
      </w:r>
    </w:p>
    <w:p w14:paraId="4E251E7D">
      <w:pPr>
        <w:pStyle w:val="7"/>
        <w:numPr>
          <w:ilvl w:val="0"/>
          <w:numId w:val="3"/>
        </w:numPr>
        <w:ind w:left="420" w:hanging="420"/>
        <w:rPr>
          <w:rFonts w:ascii="宋体" w:hAnsi="宋体" w:eastAsia="宋体" w:cs="宋体"/>
          <w:highlight w:val="none"/>
        </w:rPr>
      </w:pPr>
      <w:r>
        <w:rPr>
          <w:rFonts w:hint="eastAsia" w:ascii="宋体" w:hAnsi="宋体" w:eastAsia="宋体" w:cs="宋体"/>
          <w:highlight w:val="none"/>
        </w:rPr>
        <w:t>项目团队人员配置要求</w:t>
      </w:r>
    </w:p>
    <w:p w14:paraId="500EEC13">
      <w:pPr>
        <w:pStyle w:val="34"/>
        <w:numPr>
          <w:ilvl w:val="0"/>
          <w:numId w:val="5"/>
        </w:numPr>
        <w:spacing w:line="360" w:lineRule="auto"/>
        <w:ind w:left="0" w:firstLine="482" w:firstLineChars="200"/>
        <w:rPr>
          <w:rFonts w:hAnsi="宋体" w:eastAsia="宋体" w:cs="宋体"/>
          <w:b/>
          <w:sz w:val="24"/>
          <w:highlight w:val="none"/>
        </w:rPr>
      </w:pPr>
      <w:r>
        <w:rPr>
          <w:rFonts w:hint="eastAsia" w:hAnsi="宋体" w:eastAsia="宋体" w:cs="宋体"/>
          <w:b/>
          <w:sz w:val="24"/>
          <w:highlight w:val="none"/>
        </w:rPr>
        <w:t>驻场人员要求</w:t>
      </w:r>
    </w:p>
    <w:p w14:paraId="735866D8">
      <w:pPr>
        <w:pStyle w:val="2"/>
        <w:spacing w:after="0" w:line="360" w:lineRule="auto"/>
        <w:ind w:left="0" w:leftChars="0" w:firstLine="480"/>
        <w:rPr>
          <w:rFonts w:ascii="宋体" w:hAnsi="宋体" w:eastAsia="宋体" w:cs="宋体"/>
          <w:sz w:val="24"/>
          <w:highlight w:val="none"/>
        </w:rPr>
      </w:pPr>
      <w:r>
        <w:rPr>
          <w:rFonts w:hint="eastAsia" w:ascii="宋体" w:hAnsi="宋体" w:eastAsia="宋体" w:cs="宋体"/>
          <w:sz w:val="24"/>
          <w:highlight w:val="none"/>
        </w:rPr>
        <w:t>合同期内，供应商须提供</w:t>
      </w:r>
      <w:r>
        <w:rPr>
          <w:rFonts w:hint="eastAsia" w:ascii="宋体" w:hAnsi="宋体" w:eastAsia="宋体" w:cs="宋体"/>
          <w:sz w:val="24"/>
          <w:highlight w:val="none"/>
        </w:rPr>
        <w:t>一名驻场人员</w:t>
      </w:r>
      <w:r>
        <w:rPr>
          <w:rFonts w:hint="eastAsia" w:ascii="宋体" w:hAnsi="宋体" w:eastAsia="宋体" w:cs="宋体"/>
          <w:sz w:val="24"/>
          <w:highlight w:val="none"/>
        </w:rPr>
        <w:t>，人员要求如下：</w:t>
      </w:r>
    </w:p>
    <w:p w14:paraId="340DF52A">
      <w:pPr>
        <w:spacing w:line="360" w:lineRule="auto"/>
        <w:ind w:firstLine="480" w:firstLineChars="200"/>
        <w:rPr>
          <w:rFonts w:ascii="宋体" w:hAnsi="宋体" w:eastAsia="宋体" w:cs="宋体"/>
          <w:sz w:val="24"/>
          <w:highlight w:val="none"/>
        </w:rPr>
      </w:pPr>
      <w:r>
        <w:rPr>
          <w:rFonts w:hint="eastAsia" w:ascii="宋体" w:hAnsi="宋体" w:eastAsia="宋体" w:cs="宋体"/>
          <w:sz w:val="24"/>
          <w:highlight w:val="none"/>
        </w:rPr>
        <w:t>（</w:t>
      </w:r>
      <w:r>
        <w:rPr>
          <w:rFonts w:ascii="宋体" w:hAnsi="宋体" w:eastAsia="宋体" w:cs="宋体"/>
          <w:sz w:val="24"/>
          <w:highlight w:val="none"/>
        </w:rPr>
        <w:t>1）人员资质与能力要求</w:t>
      </w:r>
    </w:p>
    <w:p w14:paraId="16832474">
      <w:pPr>
        <w:spacing w:line="360" w:lineRule="auto"/>
        <w:ind w:firstLine="480" w:firstLineChars="200"/>
        <w:rPr>
          <w:rFonts w:ascii="宋体" w:hAnsi="宋体" w:eastAsia="宋体" w:cs="宋体"/>
          <w:sz w:val="24"/>
          <w:highlight w:val="none"/>
        </w:rPr>
      </w:pPr>
      <w:r>
        <w:rPr>
          <w:rFonts w:hint="eastAsia" w:ascii="宋体" w:hAnsi="宋体" w:eastAsia="宋体" w:cs="宋体"/>
          <w:sz w:val="24"/>
          <w:highlight w:val="none"/>
        </w:rPr>
        <w:t>学历要求：计算机</w:t>
      </w:r>
      <w:r>
        <w:rPr>
          <w:rFonts w:ascii="宋体" w:hAnsi="宋体" w:eastAsia="宋体" w:cs="宋体"/>
          <w:sz w:val="24"/>
          <w:highlight w:val="none"/>
        </w:rPr>
        <w:t>/信息类专</w:t>
      </w:r>
      <w:r>
        <w:rPr>
          <w:rFonts w:ascii="宋体" w:hAnsi="宋体" w:eastAsia="宋体" w:cs="宋体"/>
          <w:sz w:val="24"/>
          <w:highlight w:val="none"/>
        </w:rPr>
        <w:t>业</w:t>
      </w:r>
      <w:r>
        <w:rPr>
          <w:rFonts w:hint="eastAsia" w:ascii="宋体" w:hAnsi="宋体" w:eastAsia="宋体" w:cs="宋体"/>
          <w:sz w:val="24"/>
          <w:highlight w:val="none"/>
        </w:rPr>
        <w:t>专科</w:t>
      </w:r>
      <w:r>
        <w:rPr>
          <w:rFonts w:ascii="宋体" w:hAnsi="宋体" w:eastAsia="宋体" w:cs="宋体"/>
          <w:sz w:val="24"/>
          <w:highlight w:val="none"/>
        </w:rPr>
        <w:t>及以</w:t>
      </w:r>
      <w:r>
        <w:rPr>
          <w:rFonts w:ascii="宋体" w:hAnsi="宋体" w:eastAsia="宋体" w:cs="宋体"/>
          <w:sz w:val="24"/>
          <w:highlight w:val="none"/>
        </w:rPr>
        <w:t>上；</w:t>
      </w:r>
    </w:p>
    <w:p w14:paraId="401A2199">
      <w:pPr>
        <w:spacing w:line="360" w:lineRule="auto"/>
        <w:ind w:firstLine="480" w:firstLineChars="200"/>
        <w:rPr>
          <w:rFonts w:ascii="宋体" w:hAnsi="宋体" w:eastAsia="宋体" w:cs="宋体"/>
          <w:sz w:val="24"/>
          <w:highlight w:val="none"/>
        </w:rPr>
      </w:pPr>
      <w:r>
        <w:rPr>
          <w:rFonts w:hint="eastAsia" w:ascii="宋体" w:hAnsi="宋体" w:eastAsia="宋体" w:cs="宋体"/>
          <w:sz w:val="24"/>
          <w:highlight w:val="none"/>
        </w:rPr>
        <w:t>技术能力：具备主流数据库（</w:t>
      </w:r>
      <w:r>
        <w:rPr>
          <w:rFonts w:ascii="宋体" w:hAnsi="宋体" w:eastAsia="宋体" w:cs="宋体"/>
          <w:sz w:val="24"/>
          <w:highlight w:val="none"/>
        </w:rPr>
        <w:t>Oracle/SQL Server）、虚拟化平台（VMware/KVM）、网络设备的独立运维与故障处置能力，能独立完成数据库性能调优、容灾切换配合等关键操作；</w:t>
      </w:r>
    </w:p>
    <w:p w14:paraId="4587D1E8">
      <w:pPr>
        <w:spacing w:line="360" w:lineRule="auto"/>
        <w:ind w:firstLine="480" w:firstLineChars="200"/>
        <w:rPr>
          <w:rFonts w:ascii="宋体" w:hAnsi="宋体" w:eastAsia="宋体" w:cs="宋体"/>
          <w:sz w:val="24"/>
          <w:highlight w:val="none"/>
        </w:rPr>
      </w:pPr>
      <w:r>
        <w:rPr>
          <w:rFonts w:hint="eastAsia" w:ascii="宋体" w:hAnsi="宋体" w:eastAsia="宋体" w:cs="宋体"/>
          <w:sz w:val="24"/>
          <w:highlight w:val="none"/>
        </w:rPr>
        <w:t>行业经验：≥</w:t>
      </w:r>
      <w:r>
        <w:rPr>
          <w:rFonts w:ascii="宋体" w:hAnsi="宋体" w:eastAsia="宋体" w:cs="宋体"/>
          <w:sz w:val="24"/>
          <w:highlight w:val="none"/>
        </w:rPr>
        <w:t>1年医疗行业运维经验，熟悉HIS/LIS等核心系统架构与业务逻辑；</w:t>
      </w:r>
    </w:p>
    <w:p w14:paraId="09F4D636">
      <w:pPr>
        <w:spacing w:line="360" w:lineRule="auto"/>
        <w:ind w:firstLine="480" w:firstLineChars="200"/>
        <w:rPr>
          <w:rFonts w:ascii="宋体" w:hAnsi="宋体" w:eastAsia="宋体" w:cs="宋体"/>
          <w:sz w:val="24"/>
          <w:highlight w:val="none"/>
        </w:rPr>
      </w:pPr>
      <w:r>
        <w:rPr>
          <w:rFonts w:hint="eastAsia" w:ascii="宋体" w:hAnsi="宋体" w:eastAsia="宋体" w:cs="宋体"/>
          <w:sz w:val="24"/>
          <w:highlight w:val="none"/>
        </w:rPr>
        <w:t>（</w:t>
      </w:r>
      <w:r>
        <w:rPr>
          <w:rFonts w:ascii="宋体" w:hAnsi="宋体" w:eastAsia="宋体" w:cs="宋体"/>
          <w:sz w:val="24"/>
          <w:highlight w:val="none"/>
        </w:rPr>
        <w:t>2）工作时间与响应要求</w:t>
      </w:r>
    </w:p>
    <w:p w14:paraId="10CA8D4B">
      <w:pPr>
        <w:spacing w:line="360" w:lineRule="auto"/>
        <w:ind w:firstLine="480" w:firstLineChars="200"/>
        <w:rPr>
          <w:rFonts w:ascii="宋体" w:hAnsi="宋体" w:eastAsia="宋体" w:cs="宋体"/>
          <w:sz w:val="24"/>
          <w:highlight w:val="none"/>
        </w:rPr>
      </w:pPr>
      <w:r>
        <w:rPr>
          <w:rFonts w:hint="eastAsia" w:ascii="宋体" w:hAnsi="宋体" w:eastAsia="宋体" w:cs="宋体"/>
          <w:sz w:val="24"/>
          <w:highlight w:val="none"/>
        </w:rPr>
        <w:t>实行</w:t>
      </w:r>
      <w:r>
        <w:rPr>
          <w:rFonts w:ascii="宋体" w:hAnsi="宋体" w:eastAsia="宋体" w:cs="宋体"/>
          <w:sz w:val="24"/>
          <w:highlight w:val="none"/>
        </w:rPr>
        <w:t>5×8小时现场值守+7×24小时远程待命工作制，非工作时段须保持手机/即时通讯工具畅通；</w:t>
      </w:r>
    </w:p>
    <w:p w14:paraId="459B2826">
      <w:pPr>
        <w:spacing w:line="360" w:lineRule="auto"/>
        <w:ind w:firstLine="480" w:firstLineChars="200"/>
        <w:rPr>
          <w:rFonts w:ascii="宋体" w:hAnsi="宋体" w:eastAsia="宋体" w:cs="宋体"/>
          <w:sz w:val="24"/>
          <w:highlight w:val="none"/>
        </w:rPr>
      </w:pPr>
      <w:r>
        <w:rPr>
          <w:rFonts w:hint="eastAsia" w:ascii="宋体" w:hAnsi="宋体" w:eastAsia="宋体" w:cs="宋体"/>
          <w:sz w:val="24"/>
          <w:highlight w:val="none"/>
        </w:rPr>
        <w:t>故障响应时效：</w:t>
      </w:r>
    </w:p>
    <w:p w14:paraId="6C601298">
      <w:pPr>
        <w:spacing w:line="360" w:lineRule="auto"/>
        <w:ind w:firstLine="480" w:firstLineChars="200"/>
        <w:rPr>
          <w:rFonts w:ascii="宋体" w:hAnsi="宋体" w:eastAsia="宋体" w:cs="宋体"/>
          <w:sz w:val="24"/>
          <w:highlight w:val="none"/>
        </w:rPr>
      </w:pPr>
      <w:r>
        <w:rPr>
          <w:rFonts w:hint="eastAsia" w:ascii="宋体" w:hAnsi="宋体" w:eastAsia="宋体" w:cs="宋体"/>
          <w:sz w:val="24"/>
          <w:highlight w:val="none"/>
        </w:rPr>
        <w:t>核心业务系统故障：</w:t>
      </w:r>
      <w:r>
        <w:rPr>
          <w:rFonts w:ascii="宋体" w:hAnsi="宋体" w:eastAsia="宋体" w:cs="宋体"/>
          <w:sz w:val="24"/>
          <w:highlight w:val="none"/>
        </w:rPr>
        <w:t>15分钟内响应，30分钟内提供临时处置方案；</w:t>
      </w:r>
    </w:p>
    <w:p w14:paraId="3CB6346D">
      <w:pPr>
        <w:spacing w:line="360" w:lineRule="auto"/>
        <w:ind w:firstLine="480" w:firstLineChars="200"/>
        <w:rPr>
          <w:rFonts w:ascii="宋体" w:hAnsi="宋体" w:eastAsia="宋体" w:cs="宋体"/>
          <w:sz w:val="24"/>
          <w:highlight w:val="none"/>
        </w:rPr>
      </w:pPr>
      <w:r>
        <w:rPr>
          <w:rFonts w:hint="eastAsia" w:ascii="宋体" w:hAnsi="宋体" w:eastAsia="宋体" w:cs="宋体"/>
          <w:sz w:val="24"/>
          <w:highlight w:val="none"/>
        </w:rPr>
        <w:t>一般故障：</w:t>
      </w:r>
      <w:r>
        <w:rPr>
          <w:rFonts w:ascii="宋体" w:hAnsi="宋体" w:eastAsia="宋体" w:cs="宋体"/>
          <w:sz w:val="24"/>
          <w:highlight w:val="none"/>
        </w:rPr>
        <w:t>30分钟内响应，2小时内修复；</w:t>
      </w:r>
    </w:p>
    <w:p w14:paraId="3505FFF5">
      <w:pPr>
        <w:spacing w:line="360" w:lineRule="auto"/>
        <w:ind w:firstLine="480" w:firstLineChars="200"/>
        <w:rPr>
          <w:rFonts w:ascii="宋体" w:hAnsi="宋体" w:eastAsia="宋体" w:cs="宋体"/>
          <w:sz w:val="24"/>
          <w:highlight w:val="none"/>
        </w:rPr>
      </w:pPr>
      <w:r>
        <w:rPr>
          <w:rFonts w:hint="eastAsia" w:ascii="宋体" w:hAnsi="宋体" w:eastAsia="宋体" w:cs="宋体"/>
          <w:sz w:val="24"/>
          <w:highlight w:val="none"/>
        </w:rPr>
        <w:t>驻场人员无法现场处置时，须</w:t>
      </w:r>
      <w:r>
        <w:rPr>
          <w:rFonts w:ascii="宋体" w:hAnsi="宋体" w:eastAsia="宋体" w:cs="宋体"/>
          <w:sz w:val="24"/>
          <w:highlight w:val="none"/>
        </w:rPr>
        <w:t>10分钟内升级至后台支撑团队，并全程跟踪直至闭环。</w:t>
      </w:r>
    </w:p>
    <w:p w14:paraId="423922FC">
      <w:pPr>
        <w:spacing w:line="360" w:lineRule="auto"/>
        <w:ind w:firstLine="480" w:firstLineChars="200"/>
        <w:rPr>
          <w:rFonts w:ascii="宋体" w:hAnsi="宋体" w:eastAsia="宋体" w:cs="宋体"/>
          <w:sz w:val="24"/>
          <w:highlight w:val="none"/>
        </w:rPr>
      </w:pPr>
      <w:r>
        <w:rPr>
          <w:rFonts w:hint="eastAsia" w:ascii="宋体" w:hAnsi="宋体" w:eastAsia="宋体" w:cs="宋体"/>
          <w:sz w:val="24"/>
          <w:highlight w:val="none"/>
        </w:rPr>
        <w:t>（</w:t>
      </w:r>
      <w:r>
        <w:rPr>
          <w:rFonts w:ascii="宋体" w:hAnsi="宋体" w:eastAsia="宋体" w:cs="宋体"/>
          <w:sz w:val="24"/>
          <w:highlight w:val="none"/>
        </w:rPr>
        <w:t>3）人员稳定性管理</w:t>
      </w:r>
    </w:p>
    <w:p w14:paraId="24FFF43E">
      <w:pPr>
        <w:spacing w:line="360" w:lineRule="auto"/>
        <w:ind w:firstLine="480" w:firstLineChars="200"/>
        <w:rPr>
          <w:rFonts w:ascii="宋体" w:hAnsi="宋体" w:eastAsia="宋体" w:cs="宋体"/>
          <w:sz w:val="24"/>
          <w:highlight w:val="none"/>
        </w:rPr>
      </w:pPr>
      <w:r>
        <w:rPr>
          <w:rFonts w:hint="eastAsia" w:ascii="宋体" w:hAnsi="宋体" w:eastAsia="宋体" w:cs="宋体"/>
          <w:sz w:val="24"/>
          <w:highlight w:val="none"/>
        </w:rPr>
        <w:t>合同期内原则上不更换驻场人员；确需更换时：</w:t>
      </w:r>
    </w:p>
    <w:p w14:paraId="0A49A812">
      <w:pPr>
        <w:spacing w:line="360" w:lineRule="auto"/>
        <w:ind w:firstLine="480" w:firstLineChars="200"/>
        <w:rPr>
          <w:rFonts w:ascii="宋体" w:hAnsi="宋体" w:eastAsia="宋体" w:cs="宋体"/>
          <w:sz w:val="24"/>
          <w:highlight w:val="none"/>
        </w:rPr>
      </w:pPr>
      <w:r>
        <w:rPr>
          <w:rFonts w:hint="eastAsia" w:ascii="宋体" w:hAnsi="宋体" w:eastAsia="宋体" w:cs="宋体"/>
          <w:sz w:val="24"/>
          <w:highlight w:val="none"/>
        </w:rPr>
        <w:t>须提前</w:t>
      </w:r>
      <w:r>
        <w:rPr>
          <w:rFonts w:ascii="宋体" w:hAnsi="宋体" w:eastAsia="宋体" w:cs="宋体"/>
          <w:sz w:val="24"/>
          <w:highlight w:val="none"/>
        </w:rPr>
        <w:t>7个工作日书面申请，附替换人员简历、能力说明、行业</w:t>
      </w:r>
      <w:r>
        <w:rPr>
          <w:rFonts w:hint="eastAsia" w:ascii="宋体" w:hAnsi="宋体" w:eastAsia="宋体" w:cs="宋体"/>
          <w:sz w:val="24"/>
          <w:highlight w:val="none"/>
        </w:rPr>
        <w:t>经验</w:t>
      </w:r>
      <w:r>
        <w:rPr>
          <w:rFonts w:ascii="宋体" w:hAnsi="宋体" w:eastAsia="宋体" w:cs="宋体"/>
          <w:sz w:val="24"/>
          <w:highlight w:val="none"/>
        </w:rPr>
        <w:t>；</w:t>
      </w:r>
    </w:p>
    <w:p w14:paraId="46C18132">
      <w:pPr>
        <w:spacing w:line="360" w:lineRule="auto"/>
        <w:ind w:firstLine="480" w:firstLineChars="200"/>
        <w:rPr>
          <w:rFonts w:ascii="宋体" w:hAnsi="宋体" w:eastAsia="宋体" w:cs="宋体"/>
          <w:sz w:val="24"/>
          <w:highlight w:val="none"/>
        </w:rPr>
      </w:pPr>
      <w:r>
        <w:rPr>
          <w:rFonts w:hint="eastAsia" w:ascii="宋体" w:hAnsi="宋体" w:eastAsia="宋体" w:cs="宋体"/>
          <w:sz w:val="24"/>
          <w:highlight w:val="none"/>
        </w:rPr>
        <w:t>替换人员能力不得低于原人员；</w:t>
      </w:r>
    </w:p>
    <w:p w14:paraId="08864005">
      <w:pPr>
        <w:spacing w:line="360" w:lineRule="auto"/>
        <w:ind w:firstLine="480" w:firstLineChars="200"/>
        <w:rPr>
          <w:rFonts w:ascii="宋体" w:hAnsi="宋体" w:eastAsia="宋体" w:cs="宋体"/>
          <w:sz w:val="24"/>
          <w:highlight w:val="none"/>
        </w:rPr>
      </w:pPr>
      <w:r>
        <w:rPr>
          <w:rFonts w:hint="eastAsia" w:ascii="宋体" w:hAnsi="宋体" w:eastAsia="宋体" w:cs="宋体"/>
          <w:sz w:val="24"/>
          <w:highlight w:val="none"/>
        </w:rPr>
        <w:t>设置≥</w:t>
      </w:r>
      <w:r>
        <w:rPr>
          <w:rFonts w:ascii="宋体" w:hAnsi="宋体" w:eastAsia="宋体" w:cs="宋体"/>
          <w:sz w:val="24"/>
          <w:highlight w:val="none"/>
        </w:rPr>
        <w:t>5个工作日的交接过渡期，原人员须完成知识转移并签署《工作交接确认单》；</w:t>
      </w:r>
    </w:p>
    <w:p w14:paraId="2152C607">
      <w:pPr>
        <w:spacing w:line="360" w:lineRule="auto"/>
        <w:ind w:firstLine="480" w:firstLineChars="200"/>
        <w:rPr>
          <w:rFonts w:ascii="宋体" w:hAnsi="宋体" w:eastAsia="宋体" w:cs="宋体"/>
          <w:sz w:val="24"/>
          <w:highlight w:val="none"/>
        </w:rPr>
      </w:pPr>
      <w:r>
        <w:rPr>
          <w:rFonts w:hint="eastAsia" w:ascii="宋体" w:hAnsi="宋体" w:eastAsia="宋体" w:cs="宋体"/>
          <w:sz w:val="24"/>
          <w:highlight w:val="none"/>
        </w:rPr>
        <w:t>未经院方同意擅自更换，或替换人员能力</w:t>
      </w:r>
      <w:r>
        <w:rPr>
          <w:rFonts w:ascii="宋体" w:hAnsi="宋体" w:eastAsia="宋体" w:cs="宋体"/>
          <w:sz w:val="24"/>
          <w:highlight w:val="none"/>
        </w:rPr>
        <w:t>/面试不达标，纳入供应商服务考核，按合同约定处理。</w:t>
      </w:r>
    </w:p>
    <w:p w14:paraId="7F83B595">
      <w:pPr>
        <w:spacing w:line="360" w:lineRule="auto"/>
        <w:ind w:firstLine="480" w:firstLineChars="200"/>
        <w:rPr>
          <w:rFonts w:ascii="宋体" w:hAnsi="宋体" w:eastAsia="宋体" w:cs="宋体"/>
          <w:sz w:val="24"/>
          <w:highlight w:val="none"/>
        </w:rPr>
      </w:pPr>
      <w:r>
        <w:rPr>
          <w:rFonts w:hint="eastAsia" w:ascii="宋体" w:hAnsi="宋体" w:eastAsia="宋体" w:cs="宋体"/>
          <w:sz w:val="24"/>
          <w:highlight w:val="none"/>
        </w:rPr>
        <w:t>（</w:t>
      </w:r>
      <w:r>
        <w:rPr>
          <w:rFonts w:ascii="宋体" w:hAnsi="宋体" w:eastAsia="宋体" w:cs="宋体"/>
          <w:sz w:val="24"/>
          <w:highlight w:val="none"/>
        </w:rPr>
        <w:t>4）工作内容与边界</w:t>
      </w:r>
    </w:p>
    <w:p w14:paraId="7ADA1A6C">
      <w:pPr>
        <w:spacing w:line="360" w:lineRule="auto"/>
        <w:ind w:firstLine="480" w:firstLineChars="200"/>
        <w:rPr>
          <w:rFonts w:ascii="宋体" w:hAnsi="宋体" w:eastAsia="宋体" w:cs="宋体"/>
          <w:sz w:val="24"/>
          <w:highlight w:val="none"/>
        </w:rPr>
      </w:pPr>
      <w:r>
        <w:rPr>
          <w:rFonts w:hint="eastAsia" w:ascii="宋体" w:hAnsi="宋体" w:eastAsia="宋体" w:cs="宋体"/>
          <w:sz w:val="24"/>
          <w:highlight w:val="none"/>
        </w:rPr>
        <w:t>日常监控：对主机、存储、网络、安全、虚拟化平台实施</w:t>
      </w:r>
      <w:r>
        <w:rPr>
          <w:rFonts w:ascii="宋体" w:hAnsi="宋体" w:eastAsia="宋体" w:cs="宋体"/>
          <w:sz w:val="24"/>
          <w:highlight w:val="none"/>
        </w:rPr>
        <w:t>7×24小时监控，核心指标异常15分钟内告警并启动处置；</w:t>
      </w:r>
    </w:p>
    <w:p w14:paraId="2AF10E20">
      <w:pPr>
        <w:spacing w:line="360" w:lineRule="auto"/>
        <w:ind w:firstLine="480" w:firstLineChars="200"/>
        <w:rPr>
          <w:rFonts w:ascii="宋体" w:hAnsi="宋体" w:eastAsia="宋体" w:cs="宋体"/>
          <w:sz w:val="24"/>
          <w:highlight w:val="none"/>
        </w:rPr>
      </w:pPr>
      <w:r>
        <w:rPr>
          <w:rFonts w:hint="eastAsia" w:ascii="宋体" w:hAnsi="宋体" w:eastAsia="宋体" w:cs="宋体"/>
          <w:sz w:val="24"/>
          <w:highlight w:val="none"/>
        </w:rPr>
        <w:t>定期汇报：每月提交《运维月报》，含资源使用趋势、风险预警、优化建议；</w:t>
      </w:r>
    </w:p>
    <w:p w14:paraId="7CB7A5CE">
      <w:pPr>
        <w:spacing w:line="360" w:lineRule="auto"/>
        <w:ind w:firstLine="480" w:firstLineChars="200"/>
        <w:rPr>
          <w:rFonts w:ascii="宋体" w:hAnsi="宋体" w:eastAsia="宋体" w:cs="宋体"/>
          <w:sz w:val="24"/>
          <w:highlight w:val="none"/>
        </w:rPr>
      </w:pPr>
      <w:r>
        <w:rPr>
          <w:rFonts w:hint="eastAsia" w:ascii="宋体" w:hAnsi="宋体" w:eastAsia="宋体" w:cs="宋体"/>
          <w:sz w:val="24"/>
          <w:highlight w:val="none"/>
        </w:rPr>
        <w:t>禁止行为：未经授权不得操作生产数据库、不得批量导出患者数据、不得使用非院方批准的运维工具。</w:t>
      </w:r>
    </w:p>
    <w:p w14:paraId="2C60DB47">
      <w:pPr>
        <w:spacing w:line="360" w:lineRule="auto"/>
        <w:ind w:firstLine="480" w:firstLineChars="200"/>
        <w:rPr>
          <w:rFonts w:ascii="宋体" w:hAnsi="宋体" w:eastAsia="宋体" w:cs="宋体"/>
          <w:sz w:val="24"/>
          <w:highlight w:val="none"/>
        </w:rPr>
      </w:pPr>
      <w:r>
        <w:rPr>
          <w:rFonts w:hint="eastAsia" w:ascii="宋体" w:hAnsi="宋体" w:eastAsia="宋体" w:cs="宋体"/>
          <w:sz w:val="24"/>
          <w:highlight w:val="none"/>
        </w:rPr>
        <w:t>（</w:t>
      </w:r>
      <w:r>
        <w:rPr>
          <w:rFonts w:ascii="宋体" w:hAnsi="宋体" w:eastAsia="宋体" w:cs="宋体"/>
          <w:sz w:val="24"/>
          <w:highlight w:val="none"/>
        </w:rPr>
        <w:t>5）安全与合规要求</w:t>
      </w:r>
    </w:p>
    <w:p w14:paraId="1AC90DFC">
      <w:pPr>
        <w:spacing w:line="360" w:lineRule="auto"/>
        <w:ind w:firstLine="480" w:firstLineChars="200"/>
        <w:rPr>
          <w:rFonts w:ascii="宋体" w:hAnsi="宋体" w:eastAsia="宋体" w:cs="宋体"/>
          <w:sz w:val="24"/>
          <w:highlight w:val="none"/>
        </w:rPr>
      </w:pPr>
      <w:r>
        <w:rPr>
          <w:rFonts w:hint="eastAsia" w:ascii="宋体" w:hAnsi="宋体" w:eastAsia="宋体" w:cs="宋体"/>
          <w:sz w:val="24"/>
          <w:highlight w:val="none"/>
        </w:rPr>
        <w:t>驻场人员须签署《保密协议》《数据安全承诺书》；</w:t>
      </w:r>
    </w:p>
    <w:p w14:paraId="2E2A3232">
      <w:pPr>
        <w:spacing w:line="360" w:lineRule="auto"/>
        <w:ind w:firstLine="480" w:firstLineChars="200"/>
        <w:rPr>
          <w:rFonts w:ascii="宋体" w:hAnsi="宋体" w:eastAsia="宋体" w:cs="宋体"/>
          <w:sz w:val="24"/>
          <w:highlight w:val="none"/>
        </w:rPr>
      </w:pPr>
      <w:r>
        <w:rPr>
          <w:rFonts w:hint="eastAsia" w:ascii="宋体" w:hAnsi="宋体" w:eastAsia="宋体" w:cs="宋体"/>
          <w:sz w:val="24"/>
          <w:highlight w:val="none"/>
        </w:rPr>
        <w:t>所有运维操作须通过堡垒机执行，操作日志留存≥</w:t>
      </w:r>
      <w:r>
        <w:rPr>
          <w:rFonts w:ascii="宋体" w:hAnsi="宋体" w:eastAsia="宋体" w:cs="宋体"/>
          <w:sz w:val="24"/>
          <w:highlight w:val="none"/>
        </w:rPr>
        <w:t>180天，支持审计追溯；</w:t>
      </w:r>
    </w:p>
    <w:p w14:paraId="0E7D0C8E">
      <w:pPr>
        <w:spacing w:line="360" w:lineRule="auto"/>
        <w:ind w:firstLine="480" w:firstLineChars="200"/>
        <w:rPr>
          <w:rFonts w:ascii="宋体" w:hAnsi="宋体" w:eastAsia="宋体" w:cs="宋体"/>
          <w:sz w:val="24"/>
          <w:highlight w:val="none"/>
        </w:rPr>
      </w:pPr>
      <w:r>
        <w:rPr>
          <w:rFonts w:hint="eastAsia" w:ascii="宋体" w:hAnsi="宋体" w:eastAsia="宋体" w:cs="宋体"/>
          <w:sz w:val="24"/>
          <w:highlight w:val="none"/>
        </w:rPr>
        <w:t>严格执行等保</w:t>
      </w:r>
      <w:r>
        <w:rPr>
          <w:rFonts w:ascii="宋体" w:hAnsi="宋体" w:eastAsia="宋体" w:cs="宋体"/>
          <w:sz w:val="24"/>
          <w:highlight w:val="none"/>
        </w:rPr>
        <w:t>2.0三级"安全运维"要求，禁止使用默认账号、弱口令。</w:t>
      </w:r>
    </w:p>
    <w:p w14:paraId="17E07BBD">
      <w:pPr>
        <w:numPr>
          <w:ilvl w:val="0"/>
          <w:numId w:val="5"/>
        </w:numPr>
        <w:spacing w:line="360" w:lineRule="auto"/>
        <w:ind w:left="0" w:firstLine="482" w:firstLineChars="200"/>
        <w:rPr>
          <w:rFonts w:ascii="宋体" w:hAnsi="宋体" w:eastAsia="宋体" w:cs="宋体"/>
          <w:b/>
          <w:sz w:val="24"/>
          <w:highlight w:val="none"/>
        </w:rPr>
      </w:pPr>
      <w:r>
        <w:rPr>
          <w:rFonts w:hint="eastAsia" w:ascii="宋体" w:hAnsi="宋体" w:eastAsia="宋体" w:cs="宋体"/>
          <w:b/>
          <w:sz w:val="24"/>
          <w:highlight w:val="none"/>
        </w:rPr>
        <w:t>机房维护人员要求</w:t>
      </w:r>
    </w:p>
    <w:p w14:paraId="1E4FA2A6">
      <w:pPr>
        <w:spacing w:line="360" w:lineRule="auto"/>
        <w:ind w:firstLine="480" w:firstLineChars="200"/>
        <w:rPr>
          <w:rFonts w:ascii="宋体" w:hAnsi="宋体" w:eastAsia="宋体" w:cs="宋体"/>
          <w:sz w:val="24"/>
          <w:highlight w:val="none"/>
        </w:rPr>
      </w:pPr>
      <w:r>
        <w:rPr>
          <w:rFonts w:hint="eastAsia" w:ascii="宋体" w:hAnsi="宋体" w:eastAsia="宋体" w:cs="宋体"/>
          <w:sz w:val="24"/>
          <w:highlight w:val="none"/>
        </w:rPr>
        <w:t>供应商应有专门的维护团队，对本项目租赁机房涉及的主机、存储，网络、安全设备、虚拟化平台等软硬件进行日常运维工作，包括但限于版本优化，软硬件日常巡检，软硬件故障处理，架构优化，安全加固，日常分析，配合完成业务迁移上云等日常工作。</w:t>
      </w:r>
    </w:p>
    <w:p w14:paraId="760A065A">
      <w:pPr>
        <w:spacing w:line="360" w:lineRule="auto"/>
        <w:ind w:firstLine="480" w:firstLineChars="200"/>
        <w:jc w:val="left"/>
        <w:rPr>
          <w:rFonts w:ascii="宋体" w:hAnsi="宋体" w:eastAsia="宋体" w:cs="宋体"/>
          <w:sz w:val="24"/>
          <w:highlight w:val="none"/>
        </w:rPr>
      </w:pPr>
      <w:r>
        <w:rPr>
          <w:rFonts w:hint="eastAsia" w:ascii="宋体" w:hAnsi="宋体" w:eastAsia="宋体" w:cs="宋体"/>
          <w:sz w:val="24"/>
          <w:highlight w:val="none"/>
        </w:rPr>
        <w:t>须提供不少于</w:t>
      </w:r>
      <w:r>
        <w:rPr>
          <w:rFonts w:hint="eastAsia" w:ascii="宋体" w:hAnsi="宋体" w:eastAsia="宋体" w:cs="宋体"/>
          <w:sz w:val="24"/>
          <w:highlight w:val="none"/>
          <w:lang w:val="en-US" w:eastAsia="zh-CN"/>
        </w:rPr>
        <w:t>3</w:t>
      </w:r>
      <w:r>
        <w:rPr>
          <w:rFonts w:hint="eastAsia" w:ascii="宋体" w:hAnsi="宋体" w:eastAsia="宋体" w:cs="宋体"/>
          <w:sz w:val="24"/>
          <w:highlight w:val="none"/>
        </w:rPr>
        <w:t>人的固定团队，指定项目经理，提供团队人员名单，与驻场人员共同维护、监控该项目内容。定期向使用方汇报租赁机房设备运行状况，提交巡检记录单等。</w:t>
      </w:r>
    </w:p>
    <w:p w14:paraId="40F501DF">
      <w:pPr>
        <w:spacing w:line="360" w:lineRule="auto"/>
        <w:ind w:firstLine="480" w:firstLineChars="200"/>
        <w:rPr>
          <w:rFonts w:ascii="宋体" w:hAnsi="宋体" w:eastAsia="宋体" w:cs="宋体"/>
          <w:sz w:val="24"/>
          <w:highlight w:val="none"/>
        </w:rPr>
      </w:pPr>
      <w:r>
        <w:rPr>
          <w:rFonts w:hint="eastAsia" w:ascii="宋体" w:hAnsi="宋体" w:eastAsia="宋体" w:cs="宋体"/>
          <w:sz w:val="24"/>
          <w:highlight w:val="none"/>
        </w:rPr>
        <w:t>（</w:t>
      </w:r>
      <w:r>
        <w:rPr>
          <w:rFonts w:ascii="宋体" w:hAnsi="宋体" w:eastAsia="宋体" w:cs="宋体"/>
          <w:sz w:val="24"/>
          <w:highlight w:val="none"/>
        </w:rPr>
        <w:t>1）团队配置与分工要求</w:t>
      </w:r>
    </w:p>
    <w:p w14:paraId="1255A9CC">
      <w:pPr>
        <w:spacing w:line="360" w:lineRule="auto"/>
        <w:ind w:firstLine="480" w:firstLineChars="200"/>
        <w:rPr>
          <w:rFonts w:ascii="宋体" w:hAnsi="宋体" w:eastAsia="宋体" w:cs="宋体"/>
          <w:sz w:val="24"/>
          <w:highlight w:val="none"/>
        </w:rPr>
      </w:pPr>
      <w:r>
        <w:rPr>
          <w:rFonts w:hint="eastAsia" w:ascii="宋体" w:hAnsi="宋体" w:eastAsia="宋体" w:cs="宋体"/>
          <w:sz w:val="24"/>
          <w:highlight w:val="none"/>
        </w:rPr>
        <w:t>供应商须提供</w:t>
      </w:r>
      <w:r>
        <w:rPr>
          <w:rFonts w:hint="eastAsia" w:ascii="宋体" w:hAnsi="宋体" w:eastAsia="宋体" w:cs="宋体"/>
          <w:sz w:val="24"/>
          <w:highlight w:val="none"/>
        </w:rPr>
        <w:t>≥</w:t>
      </w:r>
      <w:r>
        <w:rPr>
          <w:rFonts w:hint="eastAsia" w:ascii="宋体" w:hAnsi="宋体" w:eastAsia="宋体" w:cs="宋体"/>
          <w:sz w:val="24"/>
          <w:highlight w:val="none"/>
          <w:lang w:val="en-US" w:eastAsia="zh-CN"/>
        </w:rPr>
        <w:t>3</w:t>
      </w:r>
      <w:r>
        <w:rPr>
          <w:rFonts w:ascii="宋体" w:hAnsi="宋体" w:eastAsia="宋体" w:cs="宋体"/>
          <w:sz w:val="24"/>
          <w:highlight w:val="none"/>
        </w:rPr>
        <w:t>人的固定后台支撑团队</w:t>
      </w:r>
      <w:r>
        <w:rPr>
          <w:rFonts w:ascii="宋体" w:hAnsi="宋体" w:eastAsia="宋体" w:cs="宋体"/>
          <w:sz w:val="24"/>
          <w:highlight w:val="none"/>
        </w:rPr>
        <w:t>，明确角色分工：</w:t>
      </w:r>
    </w:p>
    <w:p w14:paraId="7B5FB79F">
      <w:pPr>
        <w:spacing w:line="360" w:lineRule="auto"/>
        <w:ind w:firstLine="480" w:firstLineChars="200"/>
        <w:rPr>
          <w:rFonts w:ascii="宋体" w:hAnsi="宋体" w:eastAsia="宋体" w:cs="宋体"/>
          <w:sz w:val="24"/>
          <w:highlight w:val="none"/>
        </w:rPr>
      </w:pPr>
      <w:r>
        <w:rPr>
          <w:rFonts w:hint="eastAsia" w:ascii="宋体" w:hAnsi="宋体" w:eastAsia="宋体" w:cs="宋体"/>
          <w:sz w:val="24"/>
          <w:highlight w:val="none"/>
        </w:rPr>
        <w:t>项目经理</w:t>
      </w:r>
      <w:r>
        <w:rPr>
          <w:rFonts w:ascii="宋体" w:hAnsi="宋体" w:eastAsia="宋体" w:cs="宋体"/>
          <w:sz w:val="24"/>
          <w:highlight w:val="none"/>
        </w:rPr>
        <w:t>1名：负责统筹协调、进度管控、院方对接，具备3年以上医疗信息化项目管理经验；</w:t>
      </w:r>
    </w:p>
    <w:p w14:paraId="221437AA">
      <w:pPr>
        <w:spacing w:line="360" w:lineRule="auto"/>
        <w:ind w:firstLine="480" w:firstLineChars="200"/>
        <w:rPr>
          <w:rFonts w:ascii="宋体" w:hAnsi="宋体" w:eastAsia="宋体" w:cs="宋体"/>
          <w:sz w:val="24"/>
          <w:highlight w:val="none"/>
        </w:rPr>
      </w:pPr>
      <w:r>
        <w:rPr>
          <w:rFonts w:hint="eastAsia" w:ascii="宋体" w:hAnsi="宋体" w:eastAsia="宋体" w:cs="宋体"/>
          <w:sz w:val="24"/>
          <w:highlight w:val="none"/>
        </w:rPr>
        <w:t>数据库专家</w:t>
      </w:r>
      <w:r>
        <w:rPr>
          <w:rFonts w:ascii="宋体" w:hAnsi="宋体" w:eastAsia="宋体" w:cs="宋体"/>
          <w:sz w:val="24"/>
          <w:highlight w:val="none"/>
        </w:rPr>
        <w:t>1名：具备主流数据库性能优化、容灾同步保障能力；</w:t>
      </w:r>
    </w:p>
    <w:p w14:paraId="3EF2BB70">
      <w:pPr>
        <w:spacing w:line="360" w:lineRule="auto"/>
        <w:ind w:firstLine="480" w:firstLineChars="200"/>
        <w:rPr>
          <w:rFonts w:ascii="宋体" w:hAnsi="宋体" w:eastAsia="宋体" w:cs="宋体"/>
          <w:sz w:val="24"/>
          <w:highlight w:val="none"/>
        </w:rPr>
      </w:pPr>
      <w:r>
        <w:rPr>
          <w:rFonts w:hint="eastAsia" w:ascii="宋体" w:hAnsi="宋体" w:eastAsia="宋体" w:cs="宋体"/>
          <w:sz w:val="24"/>
          <w:highlight w:val="none"/>
        </w:rPr>
        <w:t>虚拟化</w:t>
      </w:r>
      <w:r>
        <w:rPr>
          <w:rFonts w:ascii="宋体" w:hAnsi="宋体" w:eastAsia="宋体" w:cs="宋体"/>
          <w:sz w:val="24"/>
          <w:highlight w:val="none"/>
        </w:rPr>
        <w:t>/云平台专家1名：具备资源调度、故障排查、云平台运维能力；</w:t>
      </w:r>
    </w:p>
    <w:p w14:paraId="039E6AEB">
      <w:pPr>
        <w:spacing w:line="360" w:lineRule="auto"/>
        <w:ind w:firstLine="480" w:firstLineChars="200"/>
        <w:rPr>
          <w:rFonts w:ascii="宋体" w:hAnsi="宋体" w:eastAsia="宋体" w:cs="宋体"/>
          <w:sz w:val="24"/>
          <w:highlight w:val="none"/>
        </w:rPr>
      </w:pPr>
      <w:r>
        <w:rPr>
          <w:rFonts w:hint="eastAsia" w:ascii="宋体" w:hAnsi="宋体" w:eastAsia="宋体" w:cs="宋体"/>
          <w:sz w:val="24"/>
          <w:highlight w:val="none"/>
        </w:rPr>
        <w:t>关键岗位须设置</w:t>
      </w:r>
      <w:r>
        <w:rPr>
          <w:rFonts w:ascii="宋体" w:hAnsi="宋体" w:eastAsia="宋体" w:cs="宋体"/>
          <w:sz w:val="24"/>
          <w:highlight w:val="none"/>
        </w:rPr>
        <w:t>AB角备份，确保任意人员缺位时服务不中断；</w:t>
      </w:r>
    </w:p>
    <w:p w14:paraId="2209442F">
      <w:pPr>
        <w:spacing w:line="360" w:lineRule="auto"/>
        <w:ind w:firstLine="480" w:firstLineChars="200"/>
        <w:rPr>
          <w:rFonts w:ascii="宋体" w:hAnsi="宋体" w:eastAsia="宋体" w:cs="宋体"/>
          <w:sz w:val="24"/>
          <w:highlight w:val="none"/>
        </w:rPr>
      </w:pPr>
      <w:r>
        <w:rPr>
          <w:rFonts w:hint="eastAsia" w:ascii="宋体" w:hAnsi="宋体" w:eastAsia="宋体" w:cs="宋体"/>
          <w:sz w:val="24"/>
          <w:highlight w:val="none"/>
        </w:rPr>
        <w:t>须提供团队成员能力说明或同类项目经验证明（合同关键页或用户证明）</w:t>
      </w:r>
    </w:p>
    <w:p w14:paraId="5AAD9EBC">
      <w:pPr>
        <w:spacing w:line="360" w:lineRule="auto"/>
        <w:ind w:firstLine="480" w:firstLineChars="200"/>
        <w:rPr>
          <w:rFonts w:ascii="宋体" w:hAnsi="宋体" w:eastAsia="宋体" w:cs="宋体"/>
          <w:sz w:val="24"/>
          <w:highlight w:val="none"/>
        </w:rPr>
      </w:pPr>
      <w:r>
        <w:rPr>
          <w:rFonts w:hint="eastAsia" w:ascii="宋体" w:hAnsi="宋体" w:eastAsia="宋体" w:cs="宋体"/>
          <w:sz w:val="24"/>
          <w:highlight w:val="none"/>
        </w:rPr>
        <w:t>（</w:t>
      </w:r>
      <w:r>
        <w:rPr>
          <w:rFonts w:ascii="宋体" w:hAnsi="宋体" w:eastAsia="宋体" w:cs="宋体"/>
          <w:sz w:val="24"/>
          <w:highlight w:val="none"/>
        </w:rPr>
        <w:t>2）远程支援时效要求</w:t>
      </w:r>
    </w:p>
    <w:p w14:paraId="51AF7C52">
      <w:pPr>
        <w:spacing w:line="360" w:lineRule="auto"/>
        <w:ind w:firstLine="480" w:firstLineChars="200"/>
        <w:rPr>
          <w:rFonts w:ascii="宋体" w:hAnsi="宋体" w:eastAsia="宋体" w:cs="宋体"/>
          <w:sz w:val="24"/>
          <w:highlight w:val="none"/>
        </w:rPr>
      </w:pPr>
      <w:r>
        <w:rPr>
          <w:rFonts w:hint="eastAsia" w:ascii="宋体" w:hAnsi="宋体" w:eastAsia="宋体" w:cs="宋体"/>
          <w:sz w:val="24"/>
          <w:highlight w:val="none"/>
        </w:rPr>
        <w:t>驻场人员升级的故障，后台专家须</w:t>
      </w:r>
      <w:r>
        <w:rPr>
          <w:rFonts w:ascii="宋体" w:hAnsi="宋体" w:eastAsia="宋体" w:cs="宋体"/>
          <w:sz w:val="24"/>
          <w:highlight w:val="none"/>
        </w:rPr>
        <w:t>10分钟内响应，30分钟内提供远程处置方案；</w:t>
      </w:r>
    </w:p>
    <w:p w14:paraId="54413074">
      <w:pPr>
        <w:spacing w:line="360" w:lineRule="auto"/>
        <w:ind w:firstLine="480" w:firstLineChars="200"/>
        <w:rPr>
          <w:rFonts w:ascii="宋体" w:hAnsi="宋体" w:eastAsia="宋体" w:cs="宋体"/>
          <w:sz w:val="24"/>
          <w:highlight w:val="none"/>
        </w:rPr>
      </w:pPr>
      <w:r>
        <w:rPr>
          <w:rFonts w:hint="eastAsia" w:ascii="宋体" w:hAnsi="宋体" w:eastAsia="宋体" w:cs="宋体"/>
          <w:sz w:val="24"/>
          <w:highlight w:val="none"/>
        </w:rPr>
        <w:t>需现场支援时，</w:t>
      </w:r>
      <w:r>
        <w:rPr>
          <w:rFonts w:ascii="宋体" w:hAnsi="宋体" w:eastAsia="宋体" w:cs="宋体"/>
          <w:sz w:val="24"/>
          <w:highlight w:val="none"/>
        </w:rPr>
        <w:t>技术专家</w:t>
      </w:r>
      <w:r>
        <w:rPr>
          <w:rFonts w:hint="eastAsia" w:ascii="宋体" w:hAnsi="宋体" w:eastAsia="宋体" w:cs="宋体"/>
          <w:sz w:val="24"/>
          <w:highlight w:val="none"/>
        </w:rPr>
        <w:t>须</w:t>
      </w:r>
      <w:r>
        <w:rPr>
          <w:rFonts w:ascii="宋体" w:hAnsi="宋体" w:eastAsia="宋体" w:cs="宋体"/>
          <w:sz w:val="24"/>
          <w:highlight w:val="none"/>
        </w:rPr>
        <w:t>2小时内抵达院方机房；</w:t>
      </w:r>
    </w:p>
    <w:p w14:paraId="63ECA3BC">
      <w:pPr>
        <w:spacing w:line="360" w:lineRule="auto"/>
        <w:ind w:firstLine="480" w:firstLineChars="200"/>
        <w:rPr>
          <w:rFonts w:ascii="宋体" w:hAnsi="宋体" w:eastAsia="宋体" w:cs="宋体"/>
          <w:sz w:val="24"/>
          <w:highlight w:val="none"/>
        </w:rPr>
      </w:pPr>
      <w:r>
        <w:rPr>
          <w:rFonts w:hint="eastAsia" w:ascii="宋体" w:hAnsi="宋体" w:eastAsia="宋体" w:cs="宋体"/>
          <w:sz w:val="24"/>
          <w:highlight w:val="none"/>
        </w:rPr>
        <w:t>发生重大故障（如核心业务中断）</w:t>
      </w:r>
      <w:r>
        <w:rPr>
          <w:rFonts w:ascii="宋体" w:hAnsi="宋体" w:eastAsia="宋体" w:cs="宋体"/>
          <w:sz w:val="24"/>
          <w:highlight w:val="none"/>
        </w:rPr>
        <w:t>，项目经理+技术专家30分钟内组建应急小组，全程跟踪直至故障闭环。</w:t>
      </w:r>
    </w:p>
    <w:p w14:paraId="08525C16">
      <w:pPr>
        <w:spacing w:line="360" w:lineRule="auto"/>
        <w:ind w:firstLine="480" w:firstLineChars="200"/>
        <w:rPr>
          <w:rFonts w:ascii="宋体" w:hAnsi="宋体" w:eastAsia="宋体" w:cs="宋体"/>
          <w:sz w:val="24"/>
          <w:highlight w:val="none"/>
        </w:rPr>
      </w:pPr>
      <w:r>
        <w:rPr>
          <w:rFonts w:hint="eastAsia" w:ascii="宋体" w:hAnsi="宋体" w:eastAsia="宋体" w:cs="宋体"/>
          <w:sz w:val="24"/>
          <w:highlight w:val="none"/>
        </w:rPr>
        <w:t>（</w:t>
      </w:r>
      <w:r>
        <w:rPr>
          <w:rFonts w:ascii="宋体" w:hAnsi="宋体" w:eastAsia="宋体" w:cs="宋体"/>
          <w:sz w:val="24"/>
          <w:highlight w:val="none"/>
        </w:rPr>
        <w:t>3）服务等级协议（SLA）要求</w:t>
      </w:r>
    </w:p>
    <w:p w14:paraId="5AA363F9">
      <w:pPr>
        <w:spacing w:line="360" w:lineRule="auto"/>
        <w:ind w:firstLine="480" w:firstLineChars="200"/>
        <w:rPr>
          <w:rFonts w:ascii="宋体" w:hAnsi="宋体" w:eastAsia="宋体" w:cs="宋体"/>
          <w:sz w:val="24"/>
          <w:highlight w:val="none"/>
        </w:rPr>
      </w:pPr>
      <w:r>
        <w:rPr>
          <w:rFonts w:hint="eastAsia" w:ascii="宋体" w:hAnsi="宋体" w:eastAsia="宋体" w:cs="宋体"/>
          <w:sz w:val="24"/>
          <w:highlight w:val="none"/>
        </w:rPr>
        <w:t>建立量化考核指标，纳入月度</w:t>
      </w:r>
      <w:r>
        <w:rPr>
          <w:rFonts w:ascii="宋体" w:hAnsi="宋体" w:eastAsia="宋体" w:cs="宋体"/>
          <w:sz w:val="24"/>
          <w:highlight w:val="none"/>
        </w:rPr>
        <w:t>/季度服务评估：</w:t>
      </w:r>
    </w:p>
    <w:p w14:paraId="493F3933">
      <w:pPr>
        <w:spacing w:line="360" w:lineRule="auto"/>
        <w:ind w:firstLine="480" w:firstLineChars="200"/>
        <w:rPr>
          <w:rFonts w:ascii="宋体" w:hAnsi="宋体" w:eastAsia="宋体" w:cs="宋体"/>
          <w:sz w:val="24"/>
          <w:highlight w:val="none"/>
        </w:rPr>
      </w:pPr>
      <w:r>
        <w:rPr>
          <w:rFonts w:hint="eastAsia" w:ascii="宋体" w:hAnsi="宋体" w:eastAsia="宋体" w:cs="宋体"/>
          <w:sz w:val="24"/>
          <w:highlight w:val="none"/>
        </w:rPr>
        <w:t>核心故障响应时效：≤</w:t>
      </w:r>
      <w:r>
        <w:rPr>
          <w:rFonts w:ascii="宋体" w:hAnsi="宋体" w:eastAsia="宋体" w:cs="宋体"/>
          <w:sz w:val="24"/>
          <w:highlight w:val="none"/>
        </w:rPr>
        <w:t>15分钟，未达标纳入服务考核；</w:t>
      </w:r>
    </w:p>
    <w:p w14:paraId="19822907">
      <w:pPr>
        <w:spacing w:line="360" w:lineRule="auto"/>
        <w:ind w:firstLine="480" w:firstLineChars="200"/>
        <w:rPr>
          <w:rFonts w:ascii="宋体" w:hAnsi="宋体" w:eastAsia="宋体" w:cs="宋体"/>
          <w:sz w:val="24"/>
          <w:highlight w:val="none"/>
        </w:rPr>
      </w:pPr>
      <w:r>
        <w:rPr>
          <w:rFonts w:hint="eastAsia" w:ascii="宋体" w:hAnsi="宋体" w:eastAsia="宋体" w:cs="宋体"/>
          <w:sz w:val="24"/>
          <w:highlight w:val="none"/>
        </w:rPr>
        <w:t>核心故障临时恢复：≤</w:t>
      </w:r>
      <w:r>
        <w:rPr>
          <w:rFonts w:ascii="宋体" w:hAnsi="宋体" w:eastAsia="宋体" w:cs="宋体"/>
          <w:sz w:val="24"/>
          <w:highlight w:val="none"/>
        </w:rPr>
        <w:t>1小时，未达标纳入服务考核；</w:t>
      </w:r>
    </w:p>
    <w:p w14:paraId="316CC0AB">
      <w:pPr>
        <w:spacing w:line="360" w:lineRule="auto"/>
        <w:ind w:firstLine="480" w:firstLineChars="200"/>
        <w:rPr>
          <w:rFonts w:ascii="宋体" w:hAnsi="宋体" w:eastAsia="宋体" w:cs="宋体"/>
          <w:sz w:val="24"/>
          <w:highlight w:val="none"/>
        </w:rPr>
      </w:pPr>
      <w:r>
        <w:rPr>
          <w:rFonts w:hint="eastAsia" w:ascii="宋体" w:hAnsi="宋体" w:eastAsia="宋体" w:cs="宋体"/>
          <w:sz w:val="24"/>
          <w:highlight w:val="none"/>
        </w:rPr>
        <w:t>月度服务可用性：≥</w:t>
      </w:r>
      <w:r>
        <w:rPr>
          <w:rFonts w:ascii="宋体" w:hAnsi="宋体" w:eastAsia="宋体" w:cs="宋体"/>
          <w:sz w:val="24"/>
          <w:highlight w:val="none"/>
        </w:rPr>
        <w:t>99.99%，未达标按合同约定处理；</w:t>
      </w:r>
    </w:p>
    <w:p w14:paraId="342832C5">
      <w:pPr>
        <w:spacing w:line="360" w:lineRule="auto"/>
        <w:ind w:firstLine="480" w:firstLineChars="200"/>
        <w:rPr>
          <w:rFonts w:ascii="宋体" w:hAnsi="宋体" w:eastAsia="宋体" w:cs="宋体"/>
          <w:sz w:val="24"/>
          <w:highlight w:val="none"/>
        </w:rPr>
      </w:pPr>
      <w:r>
        <w:rPr>
          <w:rFonts w:hint="eastAsia" w:ascii="宋体" w:hAnsi="宋体" w:eastAsia="宋体" w:cs="宋体"/>
          <w:sz w:val="24"/>
          <w:highlight w:val="none"/>
        </w:rPr>
        <w:t>巡检报告及时率：</w:t>
      </w:r>
      <w:r>
        <w:rPr>
          <w:rFonts w:ascii="宋体" w:hAnsi="宋体" w:eastAsia="宋体" w:cs="宋体"/>
          <w:sz w:val="24"/>
          <w:highlight w:val="none"/>
        </w:rPr>
        <w:t>100%，延迟纳入服务考核；</w:t>
      </w:r>
    </w:p>
    <w:p w14:paraId="05307075">
      <w:pPr>
        <w:spacing w:line="360" w:lineRule="auto"/>
        <w:ind w:firstLine="480" w:firstLineChars="200"/>
        <w:rPr>
          <w:rFonts w:ascii="宋体" w:hAnsi="宋体" w:eastAsia="宋体" w:cs="宋体"/>
          <w:sz w:val="24"/>
          <w:highlight w:val="none"/>
        </w:rPr>
      </w:pPr>
      <w:r>
        <w:rPr>
          <w:rFonts w:hint="eastAsia" w:ascii="宋体" w:hAnsi="宋体" w:eastAsia="宋体" w:cs="宋体"/>
          <w:sz w:val="24"/>
          <w:highlight w:val="none"/>
        </w:rPr>
        <w:t>人员更换合规率：</w:t>
      </w:r>
      <w:r>
        <w:rPr>
          <w:rFonts w:ascii="宋体" w:hAnsi="宋体" w:eastAsia="宋体" w:cs="宋体"/>
          <w:sz w:val="24"/>
          <w:highlight w:val="none"/>
        </w:rPr>
        <w:t>100%，违规按合同约定处理；</w:t>
      </w:r>
    </w:p>
    <w:p w14:paraId="2E56F785">
      <w:pPr>
        <w:spacing w:line="360" w:lineRule="auto"/>
        <w:ind w:firstLine="480" w:firstLineChars="200"/>
        <w:rPr>
          <w:rFonts w:ascii="宋体" w:hAnsi="宋体" w:eastAsia="宋体" w:cs="宋体"/>
          <w:sz w:val="24"/>
          <w:highlight w:val="none"/>
        </w:rPr>
      </w:pPr>
      <w:r>
        <w:rPr>
          <w:rFonts w:hint="eastAsia" w:ascii="宋体" w:hAnsi="宋体" w:eastAsia="宋体" w:cs="宋体"/>
          <w:sz w:val="24"/>
          <w:highlight w:val="none"/>
        </w:rPr>
        <w:t>连续</w:t>
      </w:r>
      <w:r>
        <w:rPr>
          <w:rFonts w:ascii="宋体" w:hAnsi="宋体" w:eastAsia="宋体" w:cs="宋体"/>
          <w:sz w:val="24"/>
          <w:highlight w:val="none"/>
        </w:rPr>
        <w:t>2个月关键指标不达标，院方有权要求更换项目经理。</w:t>
      </w:r>
    </w:p>
    <w:p w14:paraId="596279F0">
      <w:pPr>
        <w:spacing w:line="360" w:lineRule="auto"/>
        <w:ind w:firstLine="480" w:firstLineChars="200"/>
        <w:rPr>
          <w:rFonts w:ascii="宋体" w:hAnsi="宋体" w:eastAsia="宋体" w:cs="宋体"/>
          <w:sz w:val="24"/>
          <w:highlight w:val="none"/>
        </w:rPr>
      </w:pPr>
      <w:r>
        <w:rPr>
          <w:rFonts w:hint="eastAsia" w:ascii="宋体" w:hAnsi="宋体" w:eastAsia="宋体" w:cs="宋体"/>
          <w:sz w:val="24"/>
          <w:highlight w:val="none"/>
        </w:rPr>
        <w:t>（</w:t>
      </w:r>
      <w:r>
        <w:rPr>
          <w:rFonts w:ascii="宋体" w:hAnsi="宋体" w:eastAsia="宋体" w:cs="宋体"/>
          <w:sz w:val="24"/>
          <w:highlight w:val="none"/>
        </w:rPr>
        <w:t>4）知识转移与培训要求</w:t>
      </w:r>
    </w:p>
    <w:p w14:paraId="31ECD71D">
      <w:pPr>
        <w:spacing w:line="360" w:lineRule="auto"/>
        <w:ind w:firstLine="480" w:firstLineChars="200"/>
        <w:rPr>
          <w:rFonts w:ascii="宋体" w:hAnsi="宋体" w:eastAsia="宋体" w:cs="宋体"/>
          <w:sz w:val="24"/>
          <w:highlight w:val="none"/>
        </w:rPr>
      </w:pPr>
      <w:r>
        <w:rPr>
          <w:rFonts w:hint="eastAsia" w:ascii="宋体" w:hAnsi="宋体" w:eastAsia="宋体" w:cs="宋体"/>
          <w:sz w:val="24"/>
          <w:highlight w:val="none"/>
        </w:rPr>
        <w:t>项目验收前</w:t>
      </w:r>
      <w:r>
        <w:rPr>
          <w:rFonts w:ascii="宋体" w:hAnsi="宋体" w:eastAsia="宋体" w:cs="宋体"/>
          <w:sz w:val="24"/>
          <w:highlight w:val="none"/>
        </w:rPr>
        <w:t>，提交《运维知识库》初稿，内容包括：系统架构图、应急预案、常见故障处理手册、配置基线清单、容灾切换操作指南等；</w:t>
      </w:r>
    </w:p>
    <w:p w14:paraId="6A12E390">
      <w:pPr>
        <w:spacing w:line="360" w:lineRule="auto"/>
        <w:ind w:firstLine="480" w:firstLineChars="200"/>
        <w:rPr>
          <w:rFonts w:ascii="宋体" w:hAnsi="宋体" w:eastAsia="宋体" w:cs="宋体"/>
          <w:sz w:val="24"/>
          <w:highlight w:val="none"/>
        </w:rPr>
      </w:pPr>
      <w:r>
        <w:rPr>
          <w:rFonts w:hint="eastAsia" w:ascii="宋体" w:hAnsi="宋体" w:eastAsia="宋体" w:cs="宋体"/>
          <w:sz w:val="24"/>
          <w:highlight w:val="none"/>
        </w:rPr>
        <w:t>合同期满或终止前</w:t>
      </w:r>
      <w:r>
        <w:rPr>
          <w:rFonts w:ascii="宋体" w:hAnsi="宋体" w:eastAsia="宋体" w:cs="宋体"/>
          <w:sz w:val="24"/>
          <w:highlight w:val="none"/>
        </w:rPr>
        <w:t>30日，完成全部运维文档、账号权限、配置信息的移交，确保院方可独立承接后续运维工作。</w:t>
      </w:r>
    </w:p>
    <w:p w14:paraId="463EFFF8">
      <w:pPr>
        <w:spacing w:line="360" w:lineRule="auto"/>
        <w:ind w:firstLine="480" w:firstLineChars="200"/>
        <w:rPr>
          <w:rFonts w:ascii="宋体" w:hAnsi="宋体" w:eastAsia="宋体" w:cs="宋体"/>
          <w:sz w:val="24"/>
          <w:highlight w:val="none"/>
        </w:rPr>
      </w:pPr>
      <w:r>
        <w:rPr>
          <w:rFonts w:hint="eastAsia" w:ascii="宋体" w:hAnsi="宋体" w:eastAsia="宋体" w:cs="宋体"/>
          <w:sz w:val="24"/>
          <w:highlight w:val="none"/>
        </w:rPr>
        <w:t>（</w:t>
      </w:r>
      <w:r>
        <w:rPr>
          <w:rFonts w:ascii="宋体" w:hAnsi="宋体" w:eastAsia="宋体" w:cs="宋体"/>
          <w:sz w:val="24"/>
          <w:highlight w:val="none"/>
        </w:rPr>
        <w:t>5）应急演练与重大保障要求</w:t>
      </w:r>
    </w:p>
    <w:p w14:paraId="79EE9B8A">
      <w:pPr>
        <w:spacing w:line="360" w:lineRule="auto"/>
        <w:ind w:firstLine="480" w:firstLineChars="200"/>
        <w:rPr>
          <w:rFonts w:ascii="宋体" w:hAnsi="宋体" w:eastAsia="宋体" w:cs="宋体"/>
          <w:sz w:val="24"/>
          <w:highlight w:val="none"/>
        </w:rPr>
      </w:pPr>
      <w:r>
        <w:rPr>
          <w:rFonts w:hint="eastAsia" w:ascii="宋体" w:hAnsi="宋体" w:eastAsia="宋体" w:cs="宋体"/>
          <w:sz w:val="24"/>
          <w:highlight w:val="none"/>
        </w:rPr>
        <w:t>每半年组织</w:t>
      </w:r>
      <w:r>
        <w:rPr>
          <w:rFonts w:ascii="宋体" w:hAnsi="宋体" w:eastAsia="宋体" w:cs="宋体"/>
          <w:sz w:val="24"/>
          <w:highlight w:val="none"/>
        </w:rPr>
        <w:t>1次容灾演练，提前15日提交演练方案，演练后5日内提交《演练报告》，内容包括：切换时效验证、数据一致性校验、问题改进建议等</w:t>
      </w:r>
      <w:r>
        <w:rPr>
          <w:rFonts w:hint="eastAsia" w:ascii="宋体" w:hAnsi="宋体" w:eastAsia="宋体" w:cs="宋体"/>
          <w:sz w:val="24"/>
          <w:highlight w:val="none"/>
        </w:rPr>
        <w:t>；</w:t>
      </w:r>
    </w:p>
    <w:p w14:paraId="51D20427">
      <w:pPr>
        <w:spacing w:line="360" w:lineRule="auto"/>
        <w:ind w:firstLine="480" w:firstLineChars="200"/>
        <w:rPr>
          <w:rFonts w:ascii="宋体" w:hAnsi="宋体" w:eastAsia="宋体" w:cs="宋体"/>
          <w:sz w:val="24"/>
          <w:highlight w:val="none"/>
        </w:rPr>
      </w:pPr>
      <w:r>
        <w:rPr>
          <w:rFonts w:hint="eastAsia" w:ascii="宋体" w:hAnsi="宋体" w:eastAsia="宋体" w:cs="宋体"/>
          <w:sz w:val="24"/>
          <w:highlight w:val="none"/>
        </w:rPr>
        <w:t>国家法定节假日、医院重大活动（如等级评审、互联互通测评）前，须提前</w:t>
      </w:r>
      <w:r>
        <w:rPr>
          <w:rFonts w:ascii="宋体" w:hAnsi="宋体" w:eastAsia="宋体" w:cs="宋体"/>
          <w:sz w:val="24"/>
          <w:highlight w:val="none"/>
        </w:rPr>
        <w:t>7日提交《专项保障方案》，安排专家远程值守或现场待命；</w:t>
      </w:r>
    </w:p>
    <w:p w14:paraId="6B679938">
      <w:pPr>
        <w:spacing w:line="360" w:lineRule="auto"/>
        <w:ind w:firstLine="480" w:firstLineChars="200"/>
        <w:rPr>
          <w:rFonts w:ascii="宋体" w:hAnsi="宋体" w:eastAsia="宋体" w:cs="宋体"/>
          <w:sz w:val="24"/>
          <w:highlight w:val="none"/>
        </w:rPr>
      </w:pPr>
      <w:r>
        <w:rPr>
          <w:rFonts w:hint="eastAsia" w:ascii="宋体" w:hAnsi="宋体" w:eastAsia="宋体" w:cs="宋体"/>
          <w:sz w:val="24"/>
          <w:highlight w:val="none"/>
        </w:rPr>
        <w:t>演练或保障期间发生业务中断，按核心故障标准加重考核，并纳入供应商年度服务评价。</w:t>
      </w:r>
    </w:p>
    <w:p w14:paraId="1550AA3A">
      <w:pPr>
        <w:spacing w:line="360" w:lineRule="auto"/>
        <w:ind w:firstLine="480" w:firstLineChars="200"/>
        <w:rPr>
          <w:rFonts w:ascii="宋体" w:hAnsi="宋体" w:eastAsia="宋体" w:cs="宋体"/>
          <w:sz w:val="24"/>
          <w:highlight w:val="none"/>
        </w:rPr>
      </w:pPr>
    </w:p>
    <w:sectPr>
      <w:footerReference r:id="rId5" w:type="default"/>
      <w:pgSz w:w="11900" w:h="16840"/>
      <w:pgMar w:top="1440" w:right="1797" w:bottom="1440" w:left="1797"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endnote>
  <w:endnote w:type="continuationSeparator" w:id="1">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libri Light">
    <w:panose1 w:val="020F0302020204030204"/>
    <w:charset w:val="00"/>
    <w:family w:val="swiss"/>
    <w:pitch w:val="default"/>
    <w:sig w:usb0="E4002EFF" w:usb1="C2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Segoe UI">
    <w:panose1 w:val="020B0502040204020203"/>
    <w:charset w:val="00"/>
    <w:family w:val="swiss"/>
    <w:pitch w:val="default"/>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16074722"/>
    </w:sdtPr>
    <w:sdtContent>
      <w:p w14:paraId="277232EB">
        <w:pPr>
          <w:pStyle w:val="13"/>
          <w:jc w:val="center"/>
        </w:pPr>
        <w:r>
          <w:fldChar w:fldCharType="begin"/>
        </w:r>
        <w:r>
          <w:instrText xml:space="preserve">PAGE   \* MERGEFORMAT</w:instrText>
        </w:r>
        <w:r>
          <w:fldChar w:fldCharType="separate"/>
        </w:r>
        <w:r>
          <w:rPr>
            <w:lang w:val="zh-CN"/>
          </w:rPr>
          <w:t>2</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footnote>
  <w:footnote w:type="continuationSeparator" w:id="1">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015205"/>
    <w:multiLevelType w:val="multilevel"/>
    <w:tmpl w:val="29015205"/>
    <w:lvl w:ilvl="0" w:tentative="0">
      <w:start w:val="1"/>
      <w:numFmt w:val="decimal"/>
      <w:pStyle w:val="7"/>
      <w:lvlText w:val="%1"/>
      <w:lvlJc w:val="left"/>
      <w:pPr>
        <w:ind w:left="432" w:hanging="432"/>
      </w:pPr>
      <w:rPr>
        <w:rFonts w:hint="eastAsia"/>
      </w:rPr>
    </w:lvl>
    <w:lvl w:ilvl="1" w:tentative="0">
      <w:start w:val="1"/>
      <w:numFmt w:val="decimal"/>
      <w:lvlText w:val="4.%2"/>
      <w:lvlJc w:val="left"/>
      <w:pPr>
        <w:ind w:left="576" w:hanging="576"/>
      </w:pPr>
      <w:rPr>
        <w:rFonts w:hint="eastAsia"/>
      </w:rPr>
    </w:lvl>
    <w:lvl w:ilvl="2" w:tentative="0">
      <w:start w:val="1"/>
      <w:numFmt w:val="decimal"/>
      <w:lvlText w:val="6.2.%3"/>
      <w:lvlJc w:val="left"/>
      <w:pPr>
        <w:ind w:left="720" w:hanging="720"/>
      </w:pPr>
      <w:rPr>
        <w:rFonts w:hint="eastAsia"/>
      </w:rPr>
    </w:lvl>
    <w:lvl w:ilvl="3" w:tentative="0">
      <w:start w:val="1"/>
      <w:numFmt w:val="decimal"/>
      <w:lvlText w:val="5.1.1.%4"/>
      <w:lvlJc w:val="left"/>
      <w:pPr>
        <w:ind w:left="864" w:hanging="864"/>
      </w:pPr>
      <w:rPr>
        <w:rFonts w:hint="eastAsia"/>
      </w:rPr>
    </w:lvl>
    <w:lvl w:ilvl="4" w:tentative="0">
      <w:start w:val="1"/>
      <w:numFmt w:val="decimal"/>
      <w:lvlText w:val="5.1.1.1.%5"/>
      <w:lvlJc w:val="left"/>
      <w:pPr>
        <w:ind w:left="2142" w:hanging="1008"/>
      </w:pPr>
      <w:rPr>
        <w:rFonts w:hint="eastAsia"/>
      </w:rPr>
    </w:lvl>
    <w:lvl w:ilvl="5" w:tentative="0">
      <w:start w:val="1"/>
      <w:numFmt w:val="decimal"/>
      <w:lvlText w:val="%1.%2.%3.%4.%5.%6"/>
      <w:lvlJc w:val="left"/>
      <w:pPr>
        <w:ind w:left="1152" w:hanging="1152"/>
      </w:pPr>
      <w:rPr>
        <w:rFonts w:hint="eastAsia"/>
      </w:rPr>
    </w:lvl>
    <w:lvl w:ilvl="6" w:tentative="0">
      <w:start w:val="1"/>
      <w:numFmt w:val="decimal"/>
      <w:lvlText w:val="%1.%2.%3.%4.%5.%6.%7"/>
      <w:lvlJc w:val="left"/>
      <w:pPr>
        <w:ind w:left="1296" w:hanging="1296"/>
      </w:pPr>
      <w:rPr>
        <w:rFonts w:hint="eastAsia"/>
      </w:rPr>
    </w:lvl>
    <w:lvl w:ilvl="7" w:tentative="0">
      <w:start w:val="1"/>
      <w:numFmt w:val="decimal"/>
      <w:lvlText w:val="%1.%2.%3.%4.%5.%6.%7.%8"/>
      <w:lvlJc w:val="left"/>
      <w:pPr>
        <w:ind w:left="1440" w:hanging="1440"/>
      </w:pPr>
      <w:rPr>
        <w:rFonts w:hint="eastAsia"/>
      </w:rPr>
    </w:lvl>
    <w:lvl w:ilvl="8" w:tentative="0">
      <w:start w:val="1"/>
      <w:numFmt w:val="decimal"/>
      <w:lvlText w:val="%1.%2.%3.%4.%5.%6.%7.%8.%9"/>
      <w:lvlJc w:val="left"/>
      <w:pPr>
        <w:ind w:left="1584" w:hanging="1584"/>
      </w:pPr>
      <w:rPr>
        <w:rFonts w:hint="eastAsia"/>
      </w:rPr>
    </w:lvl>
  </w:abstractNum>
  <w:abstractNum w:abstractNumId="1">
    <w:nsid w:val="3934441A"/>
    <w:multiLevelType w:val="multilevel"/>
    <w:tmpl w:val="3934441A"/>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
    <w:nsid w:val="424A4138"/>
    <w:multiLevelType w:val="multilevel"/>
    <w:tmpl w:val="424A4138"/>
    <w:lvl w:ilvl="0" w:tentative="0">
      <w:start w:val="1"/>
      <w:numFmt w:val="chineseCountingThousand"/>
      <w:lvlText w:val="%1."/>
      <w:lvlJc w:val="left"/>
      <w:pPr>
        <w:ind w:left="432" w:hanging="432"/>
      </w:pPr>
      <w:rPr>
        <w:rFonts w:hint="eastAsia"/>
      </w:rPr>
    </w:lvl>
    <w:lvl w:ilvl="1" w:tentative="0">
      <w:start w:val="1"/>
      <w:numFmt w:val="decimal"/>
      <w:lvlText w:val="%1.%2"/>
      <w:lvlJc w:val="left"/>
      <w:pPr>
        <w:ind w:left="576" w:hanging="576"/>
      </w:pPr>
      <w:rPr>
        <w:rFonts w:hint="eastAsia"/>
      </w:rPr>
    </w:lvl>
    <w:lvl w:ilvl="2" w:tentative="0">
      <w:start w:val="1"/>
      <w:numFmt w:val="decimal"/>
      <w:lvlText w:val="%1.%2.%3"/>
      <w:lvlJc w:val="left"/>
      <w:pPr>
        <w:ind w:left="720" w:hanging="720"/>
      </w:pPr>
      <w:rPr>
        <w:rFonts w:hint="eastAsia"/>
      </w:rPr>
    </w:lvl>
    <w:lvl w:ilvl="3" w:tentative="0">
      <w:start w:val="1"/>
      <w:numFmt w:val="decimal"/>
      <w:lvlText w:val="%1.%2.%3.%4"/>
      <w:lvlJc w:val="left"/>
      <w:pPr>
        <w:ind w:left="864" w:hanging="864"/>
      </w:pPr>
      <w:rPr>
        <w:rFonts w:hint="eastAsia"/>
      </w:rPr>
    </w:lvl>
    <w:lvl w:ilvl="4" w:tentative="0">
      <w:start w:val="1"/>
      <w:numFmt w:val="decimal"/>
      <w:lvlText w:val="%1.%2.%3.%4.%5"/>
      <w:lvlJc w:val="left"/>
      <w:pPr>
        <w:ind w:left="1008" w:hanging="1008"/>
      </w:pPr>
      <w:rPr>
        <w:rFonts w:hint="eastAsia"/>
      </w:rPr>
    </w:lvl>
    <w:lvl w:ilvl="5" w:tentative="0">
      <w:start w:val="1"/>
      <w:numFmt w:val="decimal"/>
      <w:lvlText w:val="%1.%2.%3.%4.%5.%6"/>
      <w:lvlJc w:val="left"/>
      <w:pPr>
        <w:ind w:left="1152" w:hanging="1152"/>
      </w:pPr>
      <w:rPr>
        <w:rFonts w:hint="eastAsia"/>
      </w:rPr>
    </w:lvl>
    <w:lvl w:ilvl="6" w:tentative="0">
      <w:start w:val="1"/>
      <w:numFmt w:val="decimal"/>
      <w:lvlText w:val="%1.%2.%3.%4.%5.%6.%7"/>
      <w:lvlJc w:val="left"/>
      <w:pPr>
        <w:ind w:left="1296" w:hanging="1296"/>
      </w:pPr>
      <w:rPr>
        <w:rFonts w:hint="eastAsia"/>
      </w:rPr>
    </w:lvl>
    <w:lvl w:ilvl="7" w:tentative="0">
      <w:start w:val="1"/>
      <w:numFmt w:val="decimal"/>
      <w:lvlText w:val="%1.%2.%3.%4.%5.%6.%7.%8"/>
      <w:lvlJc w:val="left"/>
      <w:pPr>
        <w:ind w:left="1440" w:hanging="1440"/>
      </w:pPr>
      <w:rPr>
        <w:rFonts w:hint="eastAsia"/>
      </w:rPr>
    </w:lvl>
    <w:lvl w:ilvl="8" w:tentative="0">
      <w:start w:val="1"/>
      <w:numFmt w:val="decimal"/>
      <w:lvlText w:val="%1.%2.%3.%4.%5.%6.%7.%8.%9"/>
      <w:lvlJc w:val="left"/>
      <w:pPr>
        <w:ind w:left="1584" w:hanging="1584"/>
      </w:pPr>
      <w:rPr>
        <w:rFonts w:hint="eastAsia"/>
      </w:rPr>
    </w:lvl>
  </w:abstractNum>
  <w:abstractNum w:abstractNumId="3">
    <w:nsid w:val="6602320A"/>
    <w:multiLevelType w:val="multilevel"/>
    <w:tmpl w:val="6602320A"/>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pStyle w:val="33"/>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4">
    <w:nsid w:val="7372D96C"/>
    <w:multiLevelType w:val="singleLevel"/>
    <w:tmpl w:val="7372D96C"/>
    <w:lvl w:ilvl="0" w:tentative="0">
      <w:start w:val="2"/>
      <w:numFmt w:val="decimal"/>
      <w:suff w:val="nothing"/>
      <w:lvlText w:val="（%1）"/>
      <w:lvlJc w:val="left"/>
    </w:lvl>
  </w:abstractNum>
  <w:num w:numId="1">
    <w:abstractNumId w:val="0"/>
  </w:num>
  <w:num w:numId="2">
    <w:abstractNumId w:val="3"/>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8"/>
  <w:bordersDoNotSurroundHeader w:val="1"/>
  <w:bordersDoNotSurroundFooter w:val="1"/>
  <w:documentProtection w:enforcement="0"/>
  <w:defaultTabStop w:val="420"/>
  <w:drawingGridHorizontalSpacing w:val="2"/>
  <w:drawingGridVerticalSpacing w:val="3"/>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Q4OGZiZTQ0YTE3OTJkYWVhZjcyNDNjZTQ0NTkzN2IifQ=="/>
  </w:docVars>
  <w:rsids>
    <w:rsidRoot w:val="006E4950"/>
    <w:rsid w:val="00005886"/>
    <w:rsid w:val="000157D8"/>
    <w:rsid w:val="00017029"/>
    <w:rsid w:val="00017BA9"/>
    <w:rsid w:val="000218D4"/>
    <w:rsid w:val="0002663B"/>
    <w:rsid w:val="00030D5D"/>
    <w:rsid w:val="000365D6"/>
    <w:rsid w:val="00037E53"/>
    <w:rsid w:val="00042EF5"/>
    <w:rsid w:val="0004588D"/>
    <w:rsid w:val="00055B6A"/>
    <w:rsid w:val="0005653A"/>
    <w:rsid w:val="00057A55"/>
    <w:rsid w:val="00066330"/>
    <w:rsid w:val="000704DD"/>
    <w:rsid w:val="00070968"/>
    <w:rsid w:val="000A227B"/>
    <w:rsid w:val="000A7314"/>
    <w:rsid w:val="000B2261"/>
    <w:rsid w:val="000C3621"/>
    <w:rsid w:val="000D2F42"/>
    <w:rsid w:val="000E1F56"/>
    <w:rsid w:val="000E53EF"/>
    <w:rsid w:val="000E69C5"/>
    <w:rsid w:val="000F64E4"/>
    <w:rsid w:val="001024EA"/>
    <w:rsid w:val="00111329"/>
    <w:rsid w:val="001129C5"/>
    <w:rsid w:val="00112ACC"/>
    <w:rsid w:val="001221F0"/>
    <w:rsid w:val="00125559"/>
    <w:rsid w:val="00131C75"/>
    <w:rsid w:val="00135636"/>
    <w:rsid w:val="0013754E"/>
    <w:rsid w:val="00137C67"/>
    <w:rsid w:val="00141317"/>
    <w:rsid w:val="0014337F"/>
    <w:rsid w:val="00152FEC"/>
    <w:rsid w:val="00154A69"/>
    <w:rsid w:val="00155D04"/>
    <w:rsid w:val="0016425D"/>
    <w:rsid w:val="0016437A"/>
    <w:rsid w:val="00166044"/>
    <w:rsid w:val="00180079"/>
    <w:rsid w:val="00186985"/>
    <w:rsid w:val="00187716"/>
    <w:rsid w:val="0019023B"/>
    <w:rsid w:val="00192D4B"/>
    <w:rsid w:val="001951CA"/>
    <w:rsid w:val="00196DD4"/>
    <w:rsid w:val="00196DF2"/>
    <w:rsid w:val="00197826"/>
    <w:rsid w:val="001A08EA"/>
    <w:rsid w:val="001A6DBE"/>
    <w:rsid w:val="001B4B48"/>
    <w:rsid w:val="001D60BC"/>
    <w:rsid w:val="001D615E"/>
    <w:rsid w:val="001E39E3"/>
    <w:rsid w:val="001E686A"/>
    <w:rsid w:val="001F0D98"/>
    <w:rsid w:val="002011C8"/>
    <w:rsid w:val="0020218F"/>
    <w:rsid w:val="002069C4"/>
    <w:rsid w:val="00211A01"/>
    <w:rsid w:val="00213943"/>
    <w:rsid w:val="0021604C"/>
    <w:rsid w:val="00217D46"/>
    <w:rsid w:val="00221310"/>
    <w:rsid w:val="002218DF"/>
    <w:rsid w:val="002222DE"/>
    <w:rsid w:val="00227273"/>
    <w:rsid w:val="002304BC"/>
    <w:rsid w:val="0023074A"/>
    <w:rsid w:val="00230E1E"/>
    <w:rsid w:val="00232760"/>
    <w:rsid w:val="00232958"/>
    <w:rsid w:val="00246633"/>
    <w:rsid w:val="002618A2"/>
    <w:rsid w:val="00261F0C"/>
    <w:rsid w:val="00263A4F"/>
    <w:rsid w:val="0026780F"/>
    <w:rsid w:val="00282AF9"/>
    <w:rsid w:val="00290C49"/>
    <w:rsid w:val="00292DBA"/>
    <w:rsid w:val="0029415E"/>
    <w:rsid w:val="00294D0D"/>
    <w:rsid w:val="002A2358"/>
    <w:rsid w:val="002A26F2"/>
    <w:rsid w:val="002A31E8"/>
    <w:rsid w:val="002A4659"/>
    <w:rsid w:val="002B7C92"/>
    <w:rsid w:val="002D11F9"/>
    <w:rsid w:val="002D57A8"/>
    <w:rsid w:val="002D6E4A"/>
    <w:rsid w:val="002E40F6"/>
    <w:rsid w:val="002E5F7E"/>
    <w:rsid w:val="002F1C39"/>
    <w:rsid w:val="002F5DA0"/>
    <w:rsid w:val="002F647A"/>
    <w:rsid w:val="002F75E2"/>
    <w:rsid w:val="003170CC"/>
    <w:rsid w:val="00327136"/>
    <w:rsid w:val="00332847"/>
    <w:rsid w:val="00337BD7"/>
    <w:rsid w:val="00342D5A"/>
    <w:rsid w:val="003446F9"/>
    <w:rsid w:val="00345314"/>
    <w:rsid w:val="003461B2"/>
    <w:rsid w:val="00350614"/>
    <w:rsid w:val="0035258F"/>
    <w:rsid w:val="00355E20"/>
    <w:rsid w:val="00372D83"/>
    <w:rsid w:val="0037742E"/>
    <w:rsid w:val="0038743E"/>
    <w:rsid w:val="00392A2D"/>
    <w:rsid w:val="00396B38"/>
    <w:rsid w:val="003A2C4F"/>
    <w:rsid w:val="003A3F68"/>
    <w:rsid w:val="003B3934"/>
    <w:rsid w:val="003B6534"/>
    <w:rsid w:val="003C34F6"/>
    <w:rsid w:val="003C618A"/>
    <w:rsid w:val="003D3F73"/>
    <w:rsid w:val="003D5589"/>
    <w:rsid w:val="003D5687"/>
    <w:rsid w:val="003D6376"/>
    <w:rsid w:val="003E5E22"/>
    <w:rsid w:val="003E61A3"/>
    <w:rsid w:val="003F01CF"/>
    <w:rsid w:val="004006A7"/>
    <w:rsid w:val="0040587C"/>
    <w:rsid w:val="00406026"/>
    <w:rsid w:val="00410784"/>
    <w:rsid w:val="00413632"/>
    <w:rsid w:val="0042331E"/>
    <w:rsid w:val="00426D96"/>
    <w:rsid w:val="00426F5F"/>
    <w:rsid w:val="004318FD"/>
    <w:rsid w:val="00431B5A"/>
    <w:rsid w:val="00434D95"/>
    <w:rsid w:val="00441AA5"/>
    <w:rsid w:val="00441B4D"/>
    <w:rsid w:val="00443EFA"/>
    <w:rsid w:val="00444E72"/>
    <w:rsid w:val="00451877"/>
    <w:rsid w:val="0045736F"/>
    <w:rsid w:val="00461DF7"/>
    <w:rsid w:val="004628CC"/>
    <w:rsid w:val="00467D2D"/>
    <w:rsid w:val="00483888"/>
    <w:rsid w:val="0048679B"/>
    <w:rsid w:val="00486903"/>
    <w:rsid w:val="004A465B"/>
    <w:rsid w:val="004A5E44"/>
    <w:rsid w:val="004B7961"/>
    <w:rsid w:val="004C06EA"/>
    <w:rsid w:val="004C0868"/>
    <w:rsid w:val="004D0A40"/>
    <w:rsid w:val="004D1E2A"/>
    <w:rsid w:val="004D4C2C"/>
    <w:rsid w:val="004D5459"/>
    <w:rsid w:val="004E11B1"/>
    <w:rsid w:val="004E4018"/>
    <w:rsid w:val="004E51B7"/>
    <w:rsid w:val="004E620E"/>
    <w:rsid w:val="004E74F3"/>
    <w:rsid w:val="00510B84"/>
    <w:rsid w:val="00513F2D"/>
    <w:rsid w:val="005274B3"/>
    <w:rsid w:val="0052770E"/>
    <w:rsid w:val="00530EAF"/>
    <w:rsid w:val="005335B4"/>
    <w:rsid w:val="005420CF"/>
    <w:rsid w:val="00545C9B"/>
    <w:rsid w:val="00545D67"/>
    <w:rsid w:val="0055205A"/>
    <w:rsid w:val="00555D82"/>
    <w:rsid w:val="00561390"/>
    <w:rsid w:val="00563992"/>
    <w:rsid w:val="00582CB9"/>
    <w:rsid w:val="00583E8C"/>
    <w:rsid w:val="00586DF6"/>
    <w:rsid w:val="00592BD1"/>
    <w:rsid w:val="00593912"/>
    <w:rsid w:val="0059484A"/>
    <w:rsid w:val="005A2301"/>
    <w:rsid w:val="005B089F"/>
    <w:rsid w:val="005B1AAA"/>
    <w:rsid w:val="005B1F37"/>
    <w:rsid w:val="005B2CF1"/>
    <w:rsid w:val="005B6C5B"/>
    <w:rsid w:val="005C0731"/>
    <w:rsid w:val="005C28BE"/>
    <w:rsid w:val="005C6922"/>
    <w:rsid w:val="005C7FD2"/>
    <w:rsid w:val="005D0ACB"/>
    <w:rsid w:val="005D1DE9"/>
    <w:rsid w:val="005D456F"/>
    <w:rsid w:val="005D77A8"/>
    <w:rsid w:val="005D77CC"/>
    <w:rsid w:val="005E2054"/>
    <w:rsid w:val="005E2917"/>
    <w:rsid w:val="005E5317"/>
    <w:rsid w:val="005E7481"/>
    <w:rsid w:val="006029D0"/>
    <w:rsid w:val="00613EDD"/>
    <w:rsid w:val="0061430E"/>
    <w:rsid w:val="00615929"/>
    <w:rsid w:val="00615C42"/>
    <w:rsid w:val="006236FA"/>
    <w:rsid w:val="00623AA5"/>
    <w:rsid w:val="0062542D"/>
    <w:rsid w:val="00626A6A"/>
    <w:rsid w:val="0063247C"/>
    <w:rsid w:val="00633D8A"/>
    <w:rsid w:val="00637942"/>
    <w:rsid w:val="00651C8E"/>
    <w:rsid w:val="00661289"/>
    <w:rsid w:val="0066563A"/>
    <w:rsid w:val="00665BF7"/>
    <w:rsid w:val="0067228D"/>
    <w:rsid w:val="00672A83"/>
    <w:rsid w:val="00674DF9"/>
    <w:rsid w:val="00676E2F"/>
    <w:rsid w:val="00680A9E"/>
    <w:rsid w:val="0068112D"/>
    <w:rsid w:val="00684C2C"/>
    <w:rsid w:val="00686149"/>
    <w:rsid w:val="006940B3"/>
    <w:rsid w:val="006A4B70"/>
    <w:rsid w:val="006A5EF4"/>
    <w:rsid w:val="006B1181"/>
    <w:rsid w:val="006B44A7"/>
    <w:rsid w:val="006C0969"/>
    <w:rsid w:val="006C5925"/>
    <w:rsid w:val="006D159E"/>
    <w:rsid w:val="006D21D2"/>
    <w:rsid w:val="006D3ED0"/>
    <w:rsid w:val="006E04F4"/>
    <w:rsid w:val="006E269B"/>
    <w:rsid w:val="006E46D8"/>
    <w:rsid w:val="006E4950"/>
    <w:rsid w:val="006E76CA"/>
    <w:rsid w:val="006F09FA"/>
    <w:rsid w:val="006F2719"/>
    <w:rsid w:val="006F3D85"/>
    <w:rsid w:val="00712056"/>
    <w:rsid w:val="00713118"/>
    <w:rsid w:val="0071549C"/>
    <w:rsid w:val="0071728F"/>
    <w:rsid w:val="0072127F"/>
    <w:rsid w:val="007257BE"/>
    <w:rsid w:val="007269A4"/>
    <w:rsid w:val="007313E3"/>
    <w:rsid w:val="00740656"/>
    <w:rsid w:val="0074731B"/>
    <w:rsid w:val="007608D7"/>
    <w:rsid w:val="00760A28"/>
    <w:rsid w:val="00763846"/>
    <w:rsid w:val="00766BF7"/>
    <w:rsid w:val="007671B8"/>
    <w:rsid w:val="0077278E"/>
    <w:rsid w:val="007764A2"/>
    <w:rsid w:val="0078020F"/>
    <w:rsid w:val="007930A2"/>
    <w:rsid w:val="0079798B"/>
    <w:rsid w:val="007B266A"/>
    <w:rsid w:val="007B50F3"/>
    <w:rsid w:val="007B7513"/>
    <w:rsid w:val="007B7B06"/>
    <w:rsid w:val="007C6B33"/>
    <w:rsid w:val="007D5150"/>
    <w:rsid w:val="007E6B60"/>
    <w:rsid w:val="007F05EB"/>
    <w:rsid w:val="007F1CB0"/>
    <w:rsid w:val="007F4A92"/>
    <w:rsid w:val="007F50D4"/>
    <w:rsid w:val="00806617"/>
    <w:rsid w:val="00810E2D"/>
    <w:rsid w:val="00811A4B"/>
    <w:rsid w:val="00817080"/>
    <w:rsid w:val="00824E95"/>
    <w:rsid w:val="008371A0"/>
    <w:rsid w:val="00845AAF"/>
    <w:rsid w:val="00845ED4"/>
    <w:rsid w:val="00850F89"/>
    <w:rsid w:val="00857BB0"/>
    <w:rsid w:val="008649B7"/>
    <w:rsid w:val="0086615E"/>
    <w:rsid w:val="00873BA7"/>
    <w:rsid w:val="00874E10"/>
    <w:rsid w:val="008771D3"/>
    <w:rsid w:val="008778FF"/>
    <w:rsid w:val="008827CA"/>
    <w:rsid w:val="00886F55"/>
    <w:rsid w:val="00894A1E"/>
    <w:rsid w:val="00894DC1"/>
    <w:rsid w:val="00895848"/>
    <w:rsid w:val="008A06ED"/>
    <w:rsid w:val="008A0BD7"/>
    <w:rsid w:val="008A36E3"/>
    <w:rsid w:val="008B17CD"/>
    <w:rsid w:val="008B4281"/>
    <w:rsid w:val="008C1448"/>
    <w:rsid w:val="008C6E46"/>
    <w:rsid w:val="008D7831"/>
    <w:rsid w:val="008E4BB5"/>
    <w:rsid w:val="008E683F"/>
    <w:rsid w:val="008F6B22"/>
    <w:rsid w:val="0090052F"/>
    <w:rsid w:val="009025FD"/>
    <w:rsid w:val="009054B4"/>
    <w:rsid w:val="009070DE"/>
    <w:rsid w:val="0091441F"/>
    <w:rsid w:val="009152E4"/>
    <w:rsid w:val="00916A2A"/>
    <w:rsid w:val="0092337C"/>
    <w:rsid w:val="00926018"/>
    <w:rsid w:val="009272CB"/>
    <w:rsid w:val="00927E7D"/>
    <w:rsid w:val="00933AA4"/>
    <w:rsid w:val="009359BD"/>
    <w:rsid w:val="0093694C"/>
    <w:rsid w:val="009428FF"/>
    <w:rsid w:val="00953434"/>
    <w:rsid w:val="0095393A"/>
    <w:rsid w:val="00954BED"/>
    <w:rsid w:val="00961355"/>
    <w:rsid w:val="009654A4"/>
    <w:rsid w:val="00984306"/>
    <w:rsid w:val="00987211"/>
    <w:rsid w:val="00991733"/>
    <w:rsid w:val="009926AA"/>
    <w:rsid w:val="00993A55"/>
    <w:rsid w:val="009978DE"/>
    <w:rsid w:val="009A1889"/>
    <w:rsid w:val="009B5B63"/>
    <w:rsid w:val="009D3ADF"/>
    <w:rsid w:val="009D75D2"/>
    <w:rsid w:val="009E5326"/>
    <w:rsid w:val="009E65DE"/>
    <w:rsid w:val="009E7FF4"/>
    <w:rsid w:val="009F0401"/>
    <w:rsid w:val="009F0ACE"/>
    <w:rsid w:val="009F0C0E"/>
    <w:rsid w:val="009F1450"/>
    <w:rsid w:val="009F5EEA"/>
    <w:rsid w:val="009F6A56"/>
    <w:rsid w:val="00A113AE"/>
    <w:rsid w:val="00A13253"/>
    <w:rsid w:val="00A26133"/>
    <w:rsid w:val="00A32D0D"/>
    <w:rsid w:val="00A3577D"/>
    <w:rsid w:val="00A4757E"/>
    <w:rsid w:val="00A60D7C"/>
    <w:rsid w:val="00A639F5"/>
    <w:rsid w:val="00A65BD1"/>
    <w:rsid w:val="00A67701"/>
    <w:rsid w:val="00A711E4"/>
    <w:rsid w:val="00A721BC"/>
    <w:rsid w:val="00A75638"/>
    <w:rsid w:val="00A82F87"/>
    <w:rsid w:val="00A83DA2"/>
    <w:rsid w:val="00A85EF3"/>
    <w:rsid w:val="00A9627B"/>
    <w:rsid w:val="00AA08CB"/>
    <w:rsid w:val="00AA2CEF"/>
    <w:rsid w:val="00AA33A1"/>
    <w:rsid w:val="00AA457F"/>
    <w:rsid w:val="00AA4C97"/>
    <w:rsid w:val="00AB07D9"/>
    <w:rsid w:val="00AB0814"/>
    <w:rsid w:val="00AB6BB2"/>
    <w:rsid w:val="00AC19C2"/>
    <w:rsid w:val="00AC4FCF"/>
    <w:rsid w:val="00AD72F7"/>
    <w:rsid w:val="00AE5844"/>
    <w:rsid w:val="00AE7031"/>
    <w:rsid w:val="00AF375E"/>
    <w:rsid w:val="00B0524B"/>
    <w:rsid w:val="00B12188"/>
    <w:rsid w:val="00B12FF8"/>
    <w:rsid w:val="00B20A70"/>
    <w:rsid w:val="00B22752"/>
    <w:rsid w:val="00B31BA7"/>
    <w:rsid w:val="00B34C55"/>
    <w:rsid w:val="00B41B32"/>
    <w:rsid w:val="00B50F84"/>
    <w:rsid w:val="00B547E5"/>
    <w:rsid w:val="00B54E84"/>
    <w:rsid w:val="00B564DF"/>
    <w:rsid w:val="00B57DEA"/>
    <w:rsid w:val="00B632E0"/>
    <w:rsid w:val="00B65BE0"/>
    <w:rsid w:val="00B65BEB"/>
    <w:rsid w:val="00B66DF0"/>
    <w:rsid w:val="00B76884"/>
    <w:rsid w:val="00B80ACF"/>
    <w:rsid w:val="00B85FA4"/>
    <w:rsid w:val="00B9397A"/>
    <w:rsid w:val="00B93CC0"/>
    <w:rsid w:val="00B95E63"/>
    <w:rsid w:val="00BA06A8"/>
    <w:rsid w:val="00BA0D2C"/>
    <w:rsid w:val="00BB7150"/>
    <w:rsid w:val="00BC3427"/>
    <w:rsid w:val="00BC7FA2"/>
    <w:rsid w:val="00BD3E1D"/>
    <w:rsid w:val="00BD5504"/>
    <w:rsid w:val="00BD5BBF"/>
    <w:rsid w:val="00BD651D"/>
    <w:rsid w:val="00BE466D"/>
    <w:rsid w:val="00BE5BDB"/>
    <w:rsid w:val="00C00EDA"/>
    <w:rsid w:val="00C10EEA"/>
    <w:rsid w:val="00C12BF3"/>
    <w:rsid w:val="00C16883"/>
    <w:rsid w:val="00C201B5"/>
    <w:rsid w:val="00C2753C"/>
    <w:rsid w:val="00C349C2"/>
    <w:rsid w:val="00C355F7"/>
    <w:rsid w:val="00C52846"/>
    <w:rsid w:val="00C578FD"/>
    <w:rsid w:val="00C61FBF"/>
    <w:rsid w:val="00C657FF"/>
    <w:rsid w:val="00C659B0"/>
    <w:rsid w:val="00C808AB"/>
    <w:rsid w:val="00C87D0D"/>
    <w:rsid w:val="00C91A9A"/>
    <w:rsid w:val="00C93531"/>
    <w:rsid w:val="00C9512F"/>
    <w:rsid w:val="00CA3950"/>
    <w:rsid w:val="00CC0A11"/>
    <w:rsid w:val="00CC6086"/>
    <w:rsid w:val="00CD0A37"/>
    <w:rsid w:val="00CD3F1F"/>
    <w:rsid w:val="00CD6672"/>
    <w:rsid w:val="00CE07FB"/>
    <w:rsid w:val="00CE655F"/>
    <w:rsid w:val="00CF36F1"/>
    <w:rsid w:val="00CF7012"/>
    <w:rsid w:val="00D00B5C"/>
    <w:rsid w:val="00D00FC0"/>
    <w:rsid w:val="00D0126E"/>
    <w:rsid w:val="00D01D81"/>
    <w:rsid w:val="00D03305"/>
    <w:rsid w:val="00D061DD"/>
    <w:rsid w:val="00D0740C"/>
    <w:rsid w:val="00D10486"/>
    <w:rsid w:val="00D14599"/>
    <w:rsid w:val="00D15858"/>
    <w:rsid w:val="00D23A31"/>
    <w:rsid w:val="00D2700D"/>
    <w:rsid w:val="00D27476"/>
    <w:rsid w:val="00D3182E"/>
    <w:rsid w:val="00D363FE"/>
    <w:rsid w:val="00D41911"/>
    <w:rsid w:val="00D44E37"/>
    <w:rsid w:val="00D47D7A"/>
    <w:rsid w:val="00D55088"/>
    <w:rsid w:val="00D55177"/>
    <w:rsid w:val="00D57BDF"/>
    <w:rsid w:val="00D619BF"/>
    <w:rsid w:val="00D65911"/>
    <w:rsid w:val="00D77B24"/>
    <w:rsid w:val="00D8345C"/>
    <w:rsid w:val="00D87EBB"/>
    <w:rsid w:val="00D94219"/>
    <w:rsid w:val="00DA2B6E"/>
    <w:rsid w:val="00DA3290"/>
    <w:rsid w:val="00DA4819"/>
    <w:rsid w:val="00DA60A7"/>
    <w:rsid w:val="00DA6A3E"/>
    <w:rsid w:val="00DA773E"/>
    <w:rsid w:val="00DA7A08"/>
    <w:rsid w:val="00DB43E5"/>
    <w:rsid w:val="00DC10A4"/>
    <w:rsid w:val="00DC5964"/>
    <w:rsid w:val="00DC6222"/>
    <w:rsid w:val="00DE0047"/>
    <w:rsid w:val="00DE4ABD"/>
    <w:rsid w:val="00DF36DD"/>
    <w:rsid w:val="00DF4F73"/>
    <w:rsid w:val="00E118FD"/>
    <w:rsid w:val="00E13127"/>
    <w:rsid w:val="00E15158"/>
    <w:rsid w:val="00E17D8B"/>
    <w:rsid w:val="00E2572D"/>
    <w:rsid w:val="00E27A08"/>
    <w:rsid w:val="00E322EA"/>
    <w:rsid w:val="00E36689"/>
    <w:rsid w:val="00E417DB"/>
    <w:rsid w:val="00E561C8"/>
    <w:rsid w:val="00E563FB"/>
    <w:rsid w:val="00E67572"/>
    <w:rsid w:val="00E67C64"/>
    <w:rsid w:val="00E67D77"/>
    <w:rsid w:val="00E81018"/>
    <w:rsid w:val="00E86B99"/>
    <w:rsid w:val="00E9277F"/>
    <w:rsid w:val="00E93F89"/>
    <w:rsid w:val="00E979C4"/>
    <w:rsid w:val="00EA1DE3"/>
    <w:rsid w:val="00EA3373"/>
    <w:rsid w:val="00EA54F6"/>
    <w:rsid w:val="00EA5D96"/>
    <w:rsid w:val="00EB2C12"/>
    <w:rsid w:val="00EB48CC"/>
    <w:rsid w:val="00EB4BA4"/>
    <w:rsid w:val="00EC028D"/>
    <w:rsid w:val="00EC0A94"/>
    <w:rsid w:val="00EC73A2"/>
    <w:rsid w:val="00ED7EB9"/>
    <w:rsid w:val="00EE516D"/>
    <w:rsid w:val="00EF477C"/>
    <w:rsid w:val="00EF4C75"/>
    <w:rsid w:val="00EF51F0"/>
    <w:rsid w:val="00F06ECF"/>
    <w:rsid w:val="00F1176C"/>
    <w:rsid w:val="00F131D7"/>
    <w:rsid w:val="00F17E71"/>
    <w:rsid w:val="00F230B0"/>
    <w:rsid w:val="00F35A5F"/>
    <w:rsid w:val="00F37FEB"/>
    <w:rsid w:val="00F42119"/>
    <w:rsid w:val="00F430F7"/>
    <w:rsid w:val="00F5011C"/>
    <w:rsid w:val="00F55C8C"/>
    <w:rsid w:val="00F625B4"/>
    <w:rsid w:val="00F70381"/>
    <w:rsid w:val="00F77DA5"/>
    <w:rsid w:val="00F819C0"/>
    <w:rsid w:val="00F83797"/>
    <w:rsid w:val="00F85EAF"/>
    <w:rsid w:val="00F86164"/>
    <w:rsid w:val="00FA0682"/>
    <w:rsid w:val="00FA2FF7"/>
    <w:rsid w:val="00FA3CBB"/>
    <w:rsid w:val="00FA3D67"/>
    <w:rsid w:val="00FA5A9F"/>
    <w:rsid w:val="00FA7A45"/>
    <w:rsid w:val="00FB0DA7"/>
    <w:rsid w:val="00FB147F"/>
    <w:rsid w:val="00FB2150"/>
    <w:rsid w:val="00FB3F60"/>
    <w:rsid w:val="00FC080C"/>
    <w:rsid w:val="00FD162D"/>
    <w:rsid w:val="00FE0FFE"/>
    <w:rsid w:val="00FE58C3"/>
    <w:rsid w:val="00FE6D48"/>
    <w:rsid w:val="00FF4411"/>
    <w:rsid w:val="039A43A3"/>
    <w:rsid w:val="042B127B"/>
    <w:rsid w:val="05D67AED"/>
    <w:rsid w:val="0BE3650F"/>
    <w:rsid w:val="13283E81"/>
    <w:rsid w:val="16CF25DE"/>
    <w:rsid w:val="16D45E3C"/>
    <w:rsid w:val="271E3575"/>
    <w:rsid w:val="27953A28"/>
    <w:rsid w:val="27CA6908"/>
    <w:rsid w:val="2A233575"/>
    <w:rsid w:val="2F2F2BF7"/>
    <w:rsid w:val="2F475B9D"/>
    <w:rsid w:val="33D44E08"/>
    <w:rsid w:val="353F352E"/>
    <w:rsid w:val="370D4377"/>
    <w:rsid w:val="38151BEF"/>
    <w:rsid w:val="38F41EC9"/>
    <w:rsid w:val="41B75E0B"/>
    <w:rsid w:val="437C7019"/>
    <w:rsid w:val="43B768A7"/>
    <w:rsid w:val="45BE1404"/>
    <w:rsid w:val="46C46EB5"/>
    <w:rsid w:val="47ED5D24"/>
    <w:rsid w:val="4C3B12F1"/>
    <w:rsid w:val="4D503867"/>
    <w:rsid w:val="4FD727B4"/>
    <w:rsid w:val="52165069"/>
    <w:rsid w:val="539E4723"/>
    <w:rsid w:val="57D02FF1"/>
    <w:rsid w:val="57F51E26"/>
    <w:rsid w:val="58A85581"/>
    <w:rsid w:val="5A9B1234"/>
    <w:rsid w:val="5B0436F3"/>
    <w:rsid w:val="61F36E5B"/>
    <w:rsid w:val="66583C79"/>
    <w:rsid w:val="693422FB"/>
    <w:rsid w:val="6DF703B0"/>
    <w:rsid w:val="741B6ABC"/>
    <w:rsid w:val="7468676D"/>
    <w:rsid w:val="7A562762"/>
    <w:rsid w:val="7B8E4CC0"/>
    <w:rsid w:val="7C63164A"/>
    <w:rsid w:val="7F38514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qFormat="1" w:uiPriority="99" w:semiHidden="0"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nhideWhenUsed="0" w:uiPriority="0" w:semiHidden="0" w:name="Body Text First Indent 2"/>
    <w:lsdException w:uiPriority="99" w:name="Note Heading"/>
    <w:lsdException w:qFormat="1" w:unhideWhenUsed="0" w:uiPriority="0" w:semiHidden="0"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7">
    <w:name w:val="heading 1"/>
    <w:basedOn w:val="1"/>
    <w:next w:val="1"/>
    <w:qFormat/>
    <w:uiPriority w:val="0"/>
    <w:pPr>
      <w:keepNext/>
      <w:keepLines/>
      <w:numPr>
        <w:ilvl w:val="0"/>
        <w:numId w:val="1"/>
      </w:numPr>
      <w:spacing w:before="340" w:after="330" w:line="578" w:lineRule="auto"/>
      <w:outlineLvl w:val="0"/>
    </w:pPr>
    <w:rPr>
      <w:b/>
      <w:bCs/>
      <w:kern w:val="44"/>
      <w:sz w:val="44"/>
      <w:szCs w:val="44"/>
    </w:rPr>
  </w:style>
  <w:style w:type="paragraph" w:styleId="8">
    <w:name w:val="heading 2"/>
    <w:basedOn w:val="1"/>
    <w:next w:val="1"/>
    <w:link w:val="31"/>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9">
    <w:name w:val="heading 4"/>
    <w:basedOn w:val="1"/>
    <w:next w:val="1"/>
    <w:qFormat/>
    <w:uiPriority w:val="0"/>
    <w:pPr>
      <w:keepNext/>
      <w:keepLines/>
      <w:spacing w:before="280" w:after="290" w:line="372" w:lineRule="auto"/>
      <w:outlineLvl w:val="3"/>
    </w:pPr>
    <w:rPr>
      <w:rFonts w:ascii="Arial" w:hAnsi="Arial" w:eastAsia="黑体"/>
      <w:b/>
      <w:sz w:val="28"/>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5"/>
    <w:qFormat/>
    <w:uiPriority w:val="0"/>
    <w:pPr>
      <w:tabs>
        <w:tab w:val="left" w:pos="8640"/>
      </w:tabs>
      <w:spacing w:after="120"/>
      <w:ind w:left="420" w:leftChars="200" w:firstLine="420" w:firstLineChars="200"/>
    </w:pPr>
  </w:style>
  <w:style w:type="paragraph" w:styleId="3">
    <w:name w:val="Body Text Indent"/>
    <w:basedOn w:val="1"/>
    <w:next w:val="4"/>
    <w:qFormat/>
    <w:uiPriority w:val="0"/>
    <w:pPr>
      <w:tabs>
        <w:tab w:val="left" w:pos="8640"/>
      </w:tabs>
      <w:ind w:left="1365"/>
    </w:pPr>
  </w:style>
  <w:style w:type="paragraph" w:styleId="4">
    <w:name w:val="envelope return"/>
    <w:basedOn w:val="1"/>
    <w:unhideWhenUsed/>
    <w:qFormat/>
    <w:uiPriority w:val="99"/>
    <w:pPr>
      <w:snapToGrid w:val="0"/>
    </w:pPr>
    <w:rPr>
      <w:rFonts w:ascii="Arial" w:hAnsi="Arial"/>
    </w:rPr>
  </w:style>
  <w:style w:type="paragraph" w:styleId="5">
    <w:name w:val="Body Text First Indent"/>
    <w:basedOn w:val="6"/>
    <w:qFormat/>
    <w:uiPriority w:val="0"/>
    <w:pPr>
      <w:tabs>
        <w:tab w:val="left" w:pos="420"/>
      </w:tabs>
      <w:ind w:firstLine="420" w:firstLineChars="100"/>
    </w:pPr>
  </w:style>
  <w:style w:type="paragraph" w:styleId="6">
    <w:name w:val="Body Text"/>
    <w:basedOn w:val="1"/>
    <w:next w:val="1"/>
    <w:qFormat/>
    <w:uiPriority w:val="0"/>
    <w:pPr>
      <w:tabs>
        <w:tab w:val="left" w:pos="420"/>
      </w:tabs>
    </w:pPr>
    <w:rPr>
      <w:rFonts w:ascii="宋体" w:hAnsi="宋体"/>
      <w:sz w:val="24"/>
    </w:rPr>
  </w:style>
  <w:style w:type="paragraph" w:styleId="10">
    <w:name w:val="annotation text"/>
    <w:basedOn w:val="1"/>
    <w:link w:val="35"/>
    <w:semiHidden/>
    <w:unhideWhenUsed/>
    <w:qFormat/>
    <w:uiPriority w:val="99"/>
    <w:pPr>
      <w:jc w:val="left"/>
    </w:pPr>
  </w:style>
  <w:style w:type="paragraph" w:styleId="11">
    <w:name w:val="Plain Text"/>
    <w:basedOn w:val="1"/>
    <w:qFormat/>
    <w:uiPriority w:val="0"/>
    <w:rPr>
      <w:rFonts w:ascii="宋体" w:hAnsi="Courier New"/>
    </w:rPr>
  </w:style>
  <w:style w:type="paragraph" w:styleId="12">
    <w:name w:val="Balloon Text"/>
    <w:basedOn w:val="1"/>
    <w:link w:val="27"/>
    <w:semiHidden/>
    <w:unhideWhenUsed/>
    <w:qFormat/>
    <w:uiPriority w:val="99"/>
    <w:rPr>
      <w:sz w:val="18"/>
      <w:szCs w:val="18"/>
    </w:rPr>
  </w:style>
  <w:style w:type="paragraph" w:styleId="13">
    <w:name w:val="footer"/>
    <w:basedOn w:val="1"/>
    <w:link w:val="25"/>
    <w:unhideWhenUsed/>
    <w:qFormat/>
    <w:uiPriority w:val="99"/>
    <w:pPr>
      <w:tabs>
        <w:tab w:val="center" w:pos="4153"/>
        <w:tab w:val="right" w:pos="8306"/>
      </w:tabs>
      <w:snapToGrid w:val="0"/>
      <w:jc w:val="left"/>
    </w:pPr>
    <w:rPr>
      <w:sz w:val="18"/>
      <w:szCs w:val="18"/>
    </w:rPr>
  </w:style>
  <w:style w:type="paragraph" w:styleId="14">
    <w:name w:val="header"/>
    <w:basedOn w:val="1"/>
    <w:link w:val="24"/>
    <w:unhideWhenUsed/>
    <w:qFormat/>
    <w:uiPriority w:val="99"/>
    <w:pPr>
      <w:pBdr>
        <w:bottom w:val="single" w:color="auto" w:sz="6" w:space="1"/>
      </w:pBdr>
      <w:tabs>
        <w:tab w:val="center" w:pos="4153"/>
        <w:tab w:val="right" w:pos="8306"/>
      </w:tabs>
      <w:snapToGrid w:val="0"/>
      <w:jc w:val="center"/>
    </w:pPr>
    <w:rPr>
      <w:sz w:val="18"/>
      <w:szCs w:val="18"/>
    </w:rPr>
  </w:style>
  <w:style w:type="paragraph" w:styleId="15">
    <w:name w:val="Body Text 2"/>
    <w:basedOn w:val="1"/>
    <w:next w:val="6"/>
    <w:qFormat/>
    <w:uiPriority w:val="0"/>
    <w:pPr>
      <w:jc w:val="left"/>
    </w:pPr>
    <w:rPr>
      <w:rFonts w:ascii="仿宋_GB2312" w:hAnsi="宋体" w:eastAsia="仿宋_GB2312"/>
    </w:rPr>
  </w:style>
  <w:style w:type="paragraph" w:styleId="16">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rPr>
  </w:style>
  <w:style w:type="paragraph" w:styleId="17">
    <w:name w:val="annotation subject"/>
    <w:basedOn w:val="10"/>
    <w:next w:val="10"/>
    <w:link w:val="36"/>
    <w:semiHidden/>
    <w:unhideWhenUsed/>
    <w:qFormat/>
    <w:uiPriority w:val="99"/>
    <w:rPr>
      <w:b/>
      <w:bCs/>
    </w:rPr>
  </w:style>
  <w:style w:type="table" w:styleId="19">
    <w:name w:val="Table Grid"/>
    <w:basedOn w:val="1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Strong"/>
    <w:basedOn w:val="20"/>
    <w:qFormat/>
    <w:uiPriority w:val="22"/>
    <w:rPr>
      <w:b/>
    </w:rPr>
  </w:style>
  <w:style w:type="character" w:styleId="22">
    <w:name w:val="annotation reference"/>
    <w:basedOn w:val="20"/>
    <w:semiHidden/>
    <w:unhideWhenUsed/>
    <w:qFormat/>
    <w:uiPriority w:val="99"/>
    <w:rPr>
      <w:sz w:val="21"/>
      <w:szCs w:val="21"/>
    </w:rPr>
  </w:style>
  <w:style w:type="paragraph" w:styleId="23">
    <w:name w:val="List Paragraph"/>
    <w:basedOn w:val="1"/>
    <w:link w:val="28"/>
    <w:qFormat/>
    <w:uiPriority w:val="34"/>
    <w:pPr>
      <w:ind w:firstLine="420" w:firstLineChars="200"/>
    </w:pPr>
  </w:style>
  <w:style w:type="character" w:customStyle="1" w:styleId="24">
    <w:name w:val="页眉 字符"/>
    <w:basedOn w:val="20"/>
    <w:link w:val="14"/>
    <w:qFormat/>
    <w:uiPriority w:val="99"/>
    <w:rPr>
      <w:sz w:val="18"/>
      <w:szCs w:val="18"/>
    </w:rPr>
  </w:style>
  <w:style w:type="character" w:customStyle="1" w:styleId="25">
    <w:name w:val="页脚 字符"/>
    <w:basedOn w:val="20"/>
    <w:link w:val="13"/>
    <w:qFormat/>
    <w:uiPriority w:val="99"/>
    <w:rPr>
      <w:sz w:val="18"/>
      <w:szCs w:val="18"/>
    </w:rPr>
  </w:style>
  <w:style w:type="paragraph" w:customStyle="1" w:styleId="26">
    <w:name w:val="a1"/>
    <w:basedOn w:val="1"/>
    <w:qFormat/>
    <w:uiPriority w:val="0"/>
    <w:pPr>
      <w:widowControl/>
      <w:spacing w:before="100" w:beforeAutospacing="1" w:after="100" w:afterAutospacing="1"/>
      <w:jc w:val="left"/>
    </w:pPr>
    <w:rPr>
      <w:rFonts w:ascii="宋体" w:hAnsi="宋体" w:eastAsia="宋体" w:cs="宋体"/>
      <w:kern w:val="0"/>
      <w:sz w:val="24"/>
    </w:rPr>
  </w:style>
  <w:style w:type="character" w:customStyle="1" w:styleId="27">
    <w:name w:val="批注框文本 字符"/>
    <w:basedOn w:val="20"/>
    <w:link w:val="12"/>
    <w:semiHidden/>
    <w:qFormat/>
    <w:uiPriority w:val="99"/>
    <w:rPr>
      <w:kern w:val="2"/>
      <w:sz w:val="18"/>
      <w:szCs w:val="18"/>
    </w:rPr>
  </w:style>
  <w:style w:type="character" w:customStyle="1" w:styleId="28">
    <w:name w:val="列表段落 字符"/>
    <w:link w:val="23"/>
    <w:qFormat/>
    <w:uiPriority w:val="34"/>
    <w:rPr>
      <w:kern w:val="2"/>
      <w:sz w:val="21"/>
      <w:szCs w:val="24"/>
    </w:rPr>
  </w:style>
  <w:style w:type="paragraph" w:customStyle="1" w:styleId="29">
    <w:name w:val="_Style 15"/>
    <w:basedOn w:val="1"/>
    <w:next w:val="23"/>
    <w:qFormat/>
    <w:uiPriority w:val="34"/>
    <w:pPr>
      <w:ind w:firstLine="420" w:firstLineChars="200"/>
    </w:pPr>
    <w:rPr>
      <w:rFonts w:ascii="等线" w:hAnsi="等线" w:eastAsia="等线" w:cs="Times New Roman"/>
      <w:szCs w:val="22"/>
      <w:lang w:val="zh-CN"/>
    </w:rPr>
  </w:style>
  <w:style w:type="paragraph" w:customStyle="1" w:styleId="30">
    <w:name w:val="修订1"/>
    <w:hidden/>
    <w:semiHidden/>
    <w:qFormat/>
    <w:uiPriority w:val="99"/>
    <w:rPr>
      <w:rFonts w:asciiTheme="minorHAnsi" w:hAnsiTheme="minorHAnsi" w:eastAsiaTheme="minorEastAsia" w:cstheme="minorBidi"/>
      <w:kern w:val="2"/>
      <w:sz w:val="21"/>
      <w:szCs w:val="24"/>
      <w:lang w:val="en-US" w:eastAsia="zh-CN" w:bidi="ar-SA"/>
    </w:rPr>
  </w:style>
  <w:style w:type="character" w:customStyle="1" w:styleId="31">
    <w:name w:val="标题 2 字符"/>
    <w:basedOn w:val="20"/>
    <w:link w:val="8"/>
    <w:qFormat/>
    <w:uiPriority w:val="9"/>
    <w:rPr>
      <w:rFonts w:asciiTheme="majorHAnsi" w:hAnsiTheme="majorHAnsi" w:eastAsiaTheme="majorEastAsia" w:cstheme="majorBidi"/>
      <w:b/>
      <w:bCs/>
      <w:kern w:val="2"/>
      <w:sz w:val="32"/>
      <w:szCs w:val="32"/>
    </w:rPr>
  </w:style>
  <w:style w:type="paragraph" w:styleId="32">
    <w:name w:val="No Spacing"/>
    <w:qFormat/>
    <w:uiPriority w:val="1"/>
    <w:pPr>
      <w:widowControl w:val="0"/>
      <w:spacing w:beforeLines="50" w:afterLines="50" w:line="360" w:lineRule="auto"/>
      <w:ind w:firstLine="200" w:firstLineChars="200"/>
      <w:jc w:val="both"/>
    </w:pPr>
    <w:rPr>
      <w:rFonts w:ascii="Calibri Light" w:hAnsi="Calibri Light" w:eastAsia="微软雅黑" w:cs="Times New Roman"/>
      <w:kern w:val="2"/>
      <w:sz w:val="22"/>
      <w:szCs w:val="21"/>
      <w:lang w:val="en-US" w:eastAsia="zh-CN" w:bidi="ar-SA"/>
    </w:rPr>
  </w:style>
  <w:style w:type="paragraph" w:customStyle="1" w:styleId="33">
    <w:name w:val="标题 4（DBSec）"/>
    <w:basedOn w:val="9"/>
    <w:next w:val="1"/>
    <w:qFormat/>
    <w:uiPriority w:val="0"/>
    <w:pPr>
      <w:widowControl/>
      <w:numPr>
        <w:ilvl w:val="3"/>
        <w:numId w:val="2"/>
      </w:numPr>
      <w:spacing w:after="156"/>
      <w:jc w:val="left"/>
    </w:pPr>
    <w:rPr>
      <w:rFonts w:cs="Times New Roman"/>
      <w:kern w:val="0"/>
    </w:rPr>
  </w:style>
  <w:style w:type="paragraph" w:customStyle="1" w:styleId="34">
    <w:name w:val="1"/>
    <w:basedOn w:val="1"/>
    <w:next w:val="11"/>
    <w:qFormat/>
    <w:uiPriority w:val="0"/>
    <w:rPr>
      <w:rFonts w:ascii="宋体" w:hAnsi="Courier New"/>
    </w:rPr>
  </w:style>
  <w:style w:type="character" w:customStyle="1" w:styleId="35">
    <w:name w:val="批注文字 字符"/>
    <w:basedOn w:val="20"/>
    <w:link w:val="10"/>
    <w:semiHidden/>
    <w:qFormat/>
    <w:uiPriority w:val="99"/>
    <w:rPr>
      <w:rFonts w:asciiTheme="minorHAnsi" w:hAnsiTheme="minorHAnsi" w:eastAsiaTheme="minorEastAsia" w:cstheme="minorBidi"/>
      <w:kern w:val="2"/>
      <w:sz w:val="21"/>
      <w:szCs w:val="24"/>
    </w:rPr>
  </w:style>
  <w:style w:type="character" w:customStyle="1" w:styleId="36">
    <w:name w:val="批注主题 字符"/>
    <w:basedOn w:val="35"/>
    <w:link w:val="17"/>
    <w:semiHidden/>
    <w:qFormat/>
    <w:uiPriority w:val="99"/>
    <w:rPr>
      <w:rFonts w:asciiTheme="minorHAnsi" w:hAnsiTheme="minorHAnsi" w:eastAsiaTheme="minorEastAsia" w:cstheme="minorBidi"/>
      <w:b/>
      <w:bCs/>
      <w:kern w:val="2"/>
      <w:sz w:val="21"/>
      <w:szCs w:val="24"/>
    </w:rPr>
  </w:style>
  <w:style w:type="paragraph" w:customStyle="1" w:styleId="37">
    <w:name w:val="No Spacing1"/>
    <w:basedOn w:val="1"/>
    <w:qFormat/>
    <w:uiPriority w:val="0"/>
    <w:pPr>
      <w:spacing w:beforeLines="50" w:afterLines="50" w:line="360" w:lineRule="auto"/>
      <w:ind w:firstLine="200" w:firstLineChars="200"/>
    </w:pPr>
    <w:rPr>
      <w:rFonts w:ascii="Calibri Light" w:hAnsi="Calibri Light" w:eastAsia="微软雅黑" w:cs="Times New Roman"/>
      <w:sz w:val="22"/>
      <w:szCs w:val="22"/>
    </w:rPr>
  </w:style>
  <w:style w:type="paragraph" w:customStyle="1" w:styleId="38">
    <w:name w:val="Revision"/>
    <w:hidden/>
    <w:semiHidden/>
    <w:qFormat/>
    <w:uiPriority w:val="99"/>
    <w:rPr>
      <w:rFonts w:asciiTheme="minorHAnsi" w:hAnsiTheme="minorHAnsi" w:eastAsiaTheme="minorEastAsia" w:cstheme="minorBidi"/>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19BA1C-B29E-48AB-871A-F70D94C60852}">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16</Pages>
  <Words>839</Words>
  <Characters>933</Characters>
  <Lines>97</Lines>
  <Paragraphs>27</Paragraphs>
  <TotalTime>472</TotalTime>
  <ScaleCrop>false</ScaleCrop>
  <LinksUpToDate>false</LinksUpToDate>
  <CharactersWithSpaces>942</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2026-04-20T01:43:00Z</dcterms:created>
  <dc:creator>zfj19910321@gmail.com</dc:creator>
  <cp:lastModifiedBy>信管处张芳健</cp:lastModifiedBy>
  <dcterms:modified xsi:type="dcterms:W3CDTF">2026-05-12T06:50:30Z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5BD5F698D4CB40A384C12D7AF05CB935_13</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1720331959</vt:lpwstr>
  </property>
  <property fmtid="{D5CDD505-2E9C-101B-9397-08002B2CF9AE}" pid="8" name="_2015_ms_pID_725343">
    <vt:lpwstr>(3)orUllaSchXIfdHsqRzmvhecLUfexk7Fm14VkkmqDtcPBdRNLBwWfdOuJ2KfJB2/ySARqI/MW
/sJQz+HQE148gTLXL9O01C6uFxpHqIh+u5d9037LU6ZUHqe1c9h1qOKpVyGWgLg+t7j/PzsR
uSZJqvnwxIdl2u+lD3krI3/xBFJuuYY3IgAMi0VQ7eGFwvDd+Y24xds1L/LsnicSMSk23bQ/
DihlhYgiA1NBdE+RWz</vt:lpwstr>
  </property>
  <property fmtid="{D5CDD505-2E9C-101B-9397-08002B2CF9AE}" pid="9" name="_2015_ms_pID_7253431">
    <vt:lpwstr>pZ13kTlj02Zs7Mm4MM+NdngmThHUs8fZScjGeOcGt/HCOOtiNTEbNU
x+RfeYECXU5nst6wT/VG+CuGBBWVBWrrWYKD50Pk2hvwltmrILUekSFIueRUOX9wQzfbUyAm
tPLs1Ccqq3E8LYBhz97dvYNj7DoLtiJwGn0JmLhJvWId8O5lEYWIs+8q1wARKLKoGFjHVo8Z
kjK32TGxrVwg74Rty69BIwehlRdi82tCuGU5</vt:lpwstr>
  </property>
  <property fmtid="{D5CDD505-2E9C-101B-9397-08002B2CF9AE}" pid="10" name="_2015_ms_pID_7253432">
    <vt:lpwstr>LA==</vt:lpwstr>
  </property>
  <property fmtid="{D5CDD505-2E9C-101B-9397-08002B2CF9AE}" pid="11" name="KSOTemplateDocerSaveRecord">
    <vt:lpwstr>eyJoZGlkIjoiM2YwY2UxNjVlNGJkMGIzYjJlY2FlN2ZmNGU5ZWU1ZjQiLCJ1c2VySWQiOiI0ODgwNDQwMTAifQ==</vt:lpwstr>
  </property>
</Properties>
</file>