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76249">
      <w:pPr>
        <w:spacing w:line="440" w:lineRule="exact"/>
        <w:rPr>
          <w:rFonts w:hint="eastAsia" w:asciiTheme="minorEastAsia" w:hAnsiTheme="minorEastAsia" w:eastAsiaTheme="minorEastAsia"/>
          <w:b/>
          <w:color w:val="auto"/>
          <w:sz w:val="28"/>
          <w:szCs w:val="30"/>
          <w:highlight w:val="none"/>
          <w:lang w:eastAsia="zh-CN"/>
        </w:rPr>
      </w:pPr>
    </w:p>
    <w:p w14:paraId="77EBA224">
      <w:pPr>
        <w:spacing w:line="440" w:lineRule="exact"/>
        <w:rPr>
          <w:rFonts w:hint="eastAsia" w:asciiTheme="minorEastAsia" w:hAnsiTheme="minorEastAsia" w:eastAsiaTheme="minorEastAsia"/>
          <w:b/>
          <w:color w:val="auto"/>
          <w:sz w:val="28"/>
          <w:szCs w:val="30"/>
          <w:highlight w:val="none"/>
          <w:lang w:eastAsia="zh-CN"/>
        </w:rPr>
      </w:pPr>
      <w:r>
        <w:rPr>
          <w:rFonts w:hint="eastAsia" w:asciiTheme="minorEastAsia" w:hAnsiTheme="minorEastAsia" w:eastAsiaTheme="minorEastAsia"/>
          <w:b/>
          <w:color w:val="auto"/>
          <w:sz w:val="28"/>
          <w:szCs w:val="30"/>
          <w:highlight w:val="none"/>
        </w:rPr>
        <w:t>项目编号</w:t>
      </w:r>
      <w:r>
        <w:rPr>
          <w:rFonts w:asciiTheme="minorEastAsia" w:hAnsiTheme="minorEastAsia" w:eastAsiaTheme="minorEastAsia"/>
          <w:b/>
          <w:color w:val="auto"/>
          <w:sz w:val="28"/>
          <w:szCs w:val="30"/>
          <w:highlight w:val="none"/>
        </w:rPr>
        <w:t>：HBXT-2026-11211</w:t>
      </w:r>
    </w:p>
    <w:p w14:paraId="50A831E2">
      <w:pPr>
        <w:spacing w:line="360" w:lineRule="auto"/>
        <w:ind w:firstLine="560"/>
        <w:rPr>
          <w:rFonts w:cs="宋体" w:asciiTheme="minorEastAsia" w:hAnsiTheme="minorEastAsia" w:eastAsiaTheme="minorEastAsia"/>
          <w:color w:val="auto"/>
          <w:sz w:val="28"/>
          <w:szCs w:val="28"/>
          <w:highlight w:val="none"/>
        </w:rPr>
      </w:pPr>
    </w:p>
    <w:p w14:paraId="59A06703">
      <w:pPr>
        <w:spacing w:line="360" w:lineRule="auto"/>
        <w:ind w:firstLine="560"/>
        <w:rPr>
          <w:rFonts w:cs="宋体" w:asciiTheme="minorEastAsia" w:hAnsiTheme="minorEastAsia" w:eastAsiaTheme="minorEastAsia"/>
          <w:color w:val="auto"/>
          <w:sz w:val="28"/>
          <w:szCs w:val="28"/>
          <w:highlight w:val="none"/>
        </w:rPr>
      </w:pPr>
    </w:p>
    <w:p w14:paraId="112393A1">
      <w:pPr>
        <w:spacing w:line="360" w:lineRule="auto"/>
        <w:ind w:firstLine="560"/>
        <w:rPr>
          <w:rFonts w:cs="宋体" w:asciiTheme="minorEastAsia" w:hAnsiTheme="minorEastAsia" w:eastAsiaTheme="minorEastAsia"/>
          <w:color w:val="auto"/>
          <w:sz w:val="28"/>
          <w:szCs w:val="28"/>
          <w:highlight w:val="none"/>
        </w:rPr>
      </w:pPr>
    </w:p>
    <w:p w14:paraId="1EC91627">
      <w:pPr>
        <w:spacing w:line="360" w:lineRule="auto"/>
        <w:ind w:firstLine="560"/>
        <w:rPr>
          <w:rFonts w:cs="宋体" w:asciiTheme="minorEastAsia" w:hAnsiTheme="minorEastAsia" w:eastAsiaTheme="minorEastAsia"/>
          <w:color w:val="auto"/>
          <w:sz w:val="28"/>
          <w:szCs w:val="28"/>
          <w:highlight w:val="none"/>
        </w:rPr>
      </w:pPr>
    </w:p>
    <w:p w14:paraId="0AB31048">
      <w:pPr>
        <w:spacing w:line="360" w:lineRule="auto"/>
        <w:ind w:firstLine="560"/>
        <w:rPr>
          <w:rFonts w:hint="eastAsia" w:cs="宋体" w:asciiTheme="minorEastAsia" w:hAnsiTheme="minorEastAsia" w:eastAsiaTheme="minorEastAsia"/>
          <w:color w:val="auto"/>
          <w:sz w:val="28"/>
          <w:szCs w:val="28"/>
          <w:highlight w:val="none"/>
          <w:lang w:eastAsia="zh-CN"/>
        </w:rPr>
      </w:pPr>
    </w:p>
    <w:p w14:paraId="64FFDBF5">
      <w:pPr>
        <w:spacing w:line="360" w:lineRule="auto"/>
        <w:ind w:firstLine="560"/>
        <w:rPr>
          <w:rFonts w:cs="宋体" w:asciiTheme="minorEastAsia" w:hAnsiTheme="minorEastAsia" w:eastAsiaTheme="minorEastAsia"/>
          <w:b/>
          <w:color w:val="auto"/>
          <w:szCs w:val="21"/>
          <w:highlight w:val="none"/>
          <w:u w:val="single"/>
        </w:rPr>
      </w:pPr>
    </w:p>
    <w:p w14:paraId="6EAB38DC">
      <w:pPr>
        <w:spacing w:after="120" w:line="360" w:lineRule="atLeast"/>
        <w:jc w:val="center"/>
        <w:rPr>
          <w:rFonts w:hint="eastAsia" w:cs="宋体" w:asciiTheme="minorEastAsia" w:hAnsiTheme="minorEastAsia" w:eastAsiaTheme="minorEastAsia"/>
          <w:b/>
          <w:color w:val="auto"/>
          <w:sz w:val="32"/>
          <w:szCs w:val="32"/>
          <w:highlight w:val="none"/>
          <w:lang w:eastAsia="zh-CN"/>
        </w:rPr>
      </w:pPr>
      <w:r>
        <w:rPr>
          <w:rFonts w:hint="eastAsia" w:asciiTheme="minorEastAsia" w:hAnsiTheme="minorEastAsia" w:eastAsiaTheme="minorEastAsia"/>
          <w:b/>
          <w:color w:val="auto"/>
          <w:sz w:val="32"/>
          <w:szCs w:val="32"/>
          <w:highlight w:val="none"/>
          <w:lang w:eastAsia="zh-CN"/>
        </w:rPr>
        <w:t>湖北信通通信有限公司2026年度大冶物资装卸及搬运服务项目</w:t>
      </w:r>
    </w:p>
    <w:p w14:paraId="4C3E08D8">
      <w:pPr>
        <w:jc w:val="center"/>
        <w:rPr>
          <w:rFonts w:cs="宋体" w:asciiTheme="minorEastAsia" w:hAnsiTheme="minorEastAsia" w:eastAsiaTheme="minorEastAsia"/>
          <w:b/>
          <w:color w:val="auto"/>
          <w:szCs w:val="21"/>
          <w:highlight w:val="none"/>
          <w:u w:val="single"/>
        </w:rPr>
      </w:pPr>
    </w:p>
    <w:p w14:paraId="7F2101FC">
      <w:pPr>
        <w:spacing w:after="120" w:line="360" w:lineRule="atLeast"/>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询比文件</w:t>
      </w:r>
    </w:p>
    <w:p w14:paraId="7CDFD564">
      <w:pPr>
        <w:spacing w:after="120" w:line="360" w:lineRule="atLeast"/>
        <w:jc w:val="center"/>
        <w:rPr>
          <w:rFonts w:cs="宋体" w:asciiTheme="minorEastAsia" w:hAnsiTheme="minorEastAsia" w:eastAsiaTheme="minorEastAsia"/>
          <w:b/>
          <w:color w:val="auto"/>
          <w:sz w:val="32"/>
          <w:szCs w:val="32"/>
          <w:highlight w:val="none"/>
        </w:rPr>
      </w:pPr>
    </w:p>
    <w:p w14:paraId="72B3BE7D">
      <w:pPr>
        <w:spacing w:after="120" w:line="360" w:lineRule="atLeast"/>
        <w:jc w:val="center"/>
        <w:rPr>
          <w:rFonts w:cs="宋体" w:asciiTheme="minorEastAsia" w:hAnsiTheme="minorEastAsia" w:eastAsiaTheme="minorEastAsia"/>
          <w:b/>
          <w:color w:val="auto"/>
          <w:sz w:val="32"/>
          <w:szCs w:val="32"/>
          <w:highlight w:val="none"/>
        </w:rPr>
      </w:pPr>
    </w:p>
    <w:p w14:paraId="18A458AF">
      <w:pPr>
        <w:spacing w:after="120" w:line="360" w:lineRule="atLeast"/>
        <w:jc w:val="center"/>
        <w:rPr>
          <w:rFonts w:cs="宋体" w:asciiTheme="minorEastAsia" w:hAnsiTheme="minorEastAsia" w:eastAsiaTheme="minorEastAsia"/>
          <w:b/>
          <w:color w:val="auto"/>
          <w:sz w:val="32"/>
          <w:szCs w:val="32"/>
          <w:highlight w:val="none"/>
        </w:rPr>
      </w:pPr>
    </w:p>
    <w:p w14:paraId="3241EEC3">
      <w:pPr>
        <w:spacing w:after="120" w:line="360" w:lineRule="atLeast"/>
        <w:jc w:val="center"/>
        <w:rPr>
          <w:rFonts w:cs="宋体" w:asciiTheme="minorEastAsia" w:hAnsiTheme="minorEastAsia" w:eastAsiaTheme="minorEastAsia"/>
          <w:b/>
          <w:color w:val="auto"/>
          <w:sz w:val="32"/>
          <w:szCs w:val="32"/>
          <w:highlight w:val="none"/>
        </w:rPr>
      </w:pPr>
    </w:p>
    <w:p w14:paraId="455A6FB3">
      <w:pPr>
        <w:spacing w:after="120" w:line="360" w:lineRule="atLeast"/>
        <w:jc w:val="center"/>
        <w:rPr>
          <w:rFonts w:cs="宋体" w:asciiTheme="minorEastAsia" w:hAnsiTheme="minorEastAsia" w:eastAsiaTheme="minorEastAsia"/>
          <w:b/>
          <w:color w:val="auto"/>
          <w:sz w:val="32"/>
          <w:szCs w:val="32"/>
          <w:highlight w:val="none"/>
        </w:rPr>
      </w:pPr>
    </w:p>
    <w:p w14:paraId="343A6929">
      <w:pPr>
        <w:spacing w:line="600" w:lineRule="exact"/>
        <w:jc w:val="center"/>
        <w:rPr>
          <w:rFonts w:hint="eastAsia" w:asciiTheme="minorEastAsia" w:hAnsiTheme="minorEastAsia" w:eastAsiaTheme="minorEastAsia"/>
          <w:b/>
          <w:color w:val="auto"/>
          <w:sz w:val="24"/>
          <w:highlight w:val="none"/>
          <w:u w:val="single"/>
          <w:lang w:eastAsia="zh-CN"/>
        </w:rPr>
      </w:pPr>
      <w:r>
        <w:rPr>
          <w:rFonts w:hint="eastAsia" w:asciiTheme="minorEastAsia" w:hAnsiTheme="minorEastAsia" w:eastAsiaTheme="minorEastAsia"/>
          <w:b/>
          <w:color w:val="auto"/>
          <w:sz w:val="24"/>
          <w:highlight w:val="none"/>
        </w:rPr>
        <w:t>采购人</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u w:val="single"/>
          <w:lang w:eastAsia="zh-CN"/>
        </w:rPr>
        <w:t>湖北信通通信有限公司</w:t>
      </w:r>
    </w:p>
    <w:p w14:paraId="5A22A8AD">
      <w:pPr>
        <w:spacing w:line="600" w:lineRule="exact"/>
        <w:ind w:firstLine="3373" w:firstLineChars="1400"/>
        <w:rPr>
          <w:rFonts w:hint="eastAsia" w:ascii="宋体" w:hAnsi="宋体" w:eastAsia="宋体" w:cs="Times New Roman"/>
          <w:b/>
          <w:sz w:val="24"/>
        </w:rPr>
      </w:pPr>
      <w:r>
        <w:rPr>
          <w:rFonts w:hint="eastAsia" w:ascii="宋体" w:hAnsi="宋体" w:eastAsia="宋体" w:cs="Times New Roman"/>
          <w:b/>
          <w:sz w:val="24"/>
        </w:rPr>
        <w:t>202</w:t>
      </w:r>
      <w:r>
        <w:rPr>
          <w:rFonts w:hint="eastAsia" w:ascii="宋体" w:hAnsi="宋体" w:eastAsia="宋体" w:cs="Times New Roman"/>
          <w:b/>
          <w:sz w:val="24"/>
          <w:lang w:val="en-US" w:eastAsia="zh-CN"/>
        </w:rPr>
        <w:t>6</w:t>
      </w:r>
      <w:r>
        <w:rPr>
          <w:rFonts w:ascii="宋体" w:hAnsi="宋体" w:eastAsia="宋体" w:cs="Times New Roman"/>
          <w:b/>
          <w:sz w:val="24"/>
        </w:rPr>
        <w:t>年</w:t>
      </w:r>
      <w:r>
        <w:rPr>
          <w:rFonts w:hint="eastAsia" w:ascii="宋体" w:hAnsi="宋体" w:eastAsia="宋体" w:cs="Times New Roman"/>
          <w:b/>
          <w:sz w:val="24"/>
          <w:lang w:val="en-US" w:eastAsia="zh-CN"/>
        </w:rPr>
        <w:t>4</w:t>
      </w:r>
      <w:r>
        <w:rPr>
          <w:rFonts w:ascii="宋体" w:hAnsi="宋体" w:eastAsia="宋体" w:cs="Times New Roman"/>
          <w:b/>
          <w:sz w:val="24"/>
        </w:rPr>
        <w:t>月</w:t>
      </w:r>
    </w:p>
    <w:p w14:paraId="4337B1ED">
      <w:pPr>
        <w:pStyle w:val="3"/>
        <w:rPr>
          <w:rFonts w:hint="eastAsia"/>
          <w:lang w:eastAsia="zh-CN"/>
        </w:rPr>
      </w:pPr>
    </w:p>
    <w:p w14:paraId="7184D2A8">
      <w:pPr>
        <w:rPr>
          <w:rFonts w:hint="eastAsia" w:cs="宋体" w:asciiTheme="minorEastAsia" w:hAnsiTheme="minorEastAsia" w:eastAsiaTheme="minorEastAsia"/>
          <w:b/>
          <w:bCs w:val="0"/>
          <w:color w:val="auto"/>
          <w:kern w:val="0"/>
          <w:sz w:val="28"/>
          <w:szCs w:val="28"/>
          <w:highlight w:val="none"/>
        </w:rPr>
      </w:pPr>
      <w:bookmarkStart w:id="0" w:name="_Toc447265211"/>
      <w:bookmarkStart w:id="1" w:name="_Toc2713"/>
      <w:bookmarkStart w:id="2" w:name="_Toc447265497"/>
      <w:bookmarkStart w:id="3" w:name="_Toc20289"/>
      <w:bookmarkStart w:id="4" w:name="_Toc447188662"/>
      <w:bookmarkStart w:id="5" w:name="_Toc447265797"/>
      <w:r>
        <w:rPr>
          <w:rFonts w:hint="eastAsia" w:cs="宋体" w:asciiTheme="minorEastAsia" w:hAnsiTheme="minorEastAsia" w:eastAsiaTheme="minorEastAsia"/>
          <w:b/>
          <w:bCs w:val="0"/>
          <w:color w:val="auto"/>
          <w:kern w:val="0"/>
          <w:sz w:val="28"/>
          <w:szCs w:val="28"/>
          <w:highlight w:val="none"/>
        </w:rPr>
        <w:br w:type="page"/>
      </w:r>
    </w:p>
    <w:p w14:paraId="0BF28E30">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第一章  询比公告</w:t>
      </w:r>
      <w:bookmarkEnd w:id="0"/>
      <w:bookmarkEnd w:id="1"/>
      <w:bookmarkEnd w:id="2"/>
      <w:bookmarkEnd w:id="3"/>
      <w:bookmarkEnd w:id="4"/>
      <w:bookmarkEnd w:id="5"/>
    </w:p>
    <w:p w14:paraId="57267CC5">
      <w:pPr>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本询比项目为</w:t>
      </w:r>
      <w:r>
        <w:rPr>
          <w:rFonts w:hint="eastAsia" w:asciiTheme="minorEastAsia" w:hAnsiTheme="minorEastAsia" w:eastAsiaTheme="minorEastAsia"/>
          <w:color w:val="auto"/>
          <w:highlight w:val="none"/>
          <w:u w:val="single"/>
          <w:lang w:eastAsia="zh-CN"/>
        </w:rPr>
        <w:t>湖北信通通信有限公司2026年度大冶物资装卸及搬运服务项目</w:t>
      </w:r>
      <w:r>
        <w:rPr>
          <w:rFonts w:hint="eastAsia"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rPr>
        <w:t>【HBXT-2026-11211】</w:t>
      </w:r>
      <w:r>
        <w:rPr>
          <w:rFonts w:hint="eastAsia" w:asciiTheme="minorEastAsia" w:hAnsiTheme="minorEastAsia" w:eastAsiaTheme="minorEastAsia"/>
          <w:color w:val="auto"/>
          <w:szCs w:val="21"/>
          <w:highlight w:val="none"/>
        </w:rPr>
        <w:t>），采购人为</w:t>
      </w:r>
      <w:r>
        <w:rPr>
          <w:rFonts w:hint="eastAsia" w:asciiTheme="minorEastAsia" w:hAnsiTheme="minorEastAsia" w:eastAsiaTheme="minorEastAsia"/>
          <w:color w:val="auto"/>
          <w:szCs w:val="21"/>
          <w:highlight w:val="none"/>
          <w:u w:val="single"/>
          <w:lang w:eastAsia="zh-CN"/>
        </w:rPr>
        <w:t>湖北信通通信有限公司</w:t>
      </w:r>
      <w:r>
        <w:rPr>
          <w:rFonts w:hint="eastAsia" w:asciiTheme="minorEastAsia" w:hAnsiTheme="minorEastAsia" w:eastAsiaTheme="minorEastAsia"/>
          <w:color w:val="auto"/>
          <w:szCs w:val="21"/>
          <w:highlight w:val="none"/>
        </w:rPr>
        <w:t>。项目资金已落实，具备采购条件，现进行公开询比，特邀请有意向的且具有提供标的物能力的潜在供应商（以下简称供应商）参加询比响应。</w:t>
      </w:r>
    </w:p>
    <w:p w14:paraId="64E7E16F">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1.项目概况与采购内容</w:t>
      </w:r>
    </w:p>
    <w:p w14:paraId="3E86858E">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1.1项目概况：本项目为湖北信通通信有限公司2026年度大冶物资装卸及搬运服务项目，项目预估规模不含税49.95万元，</w:t>
      </w:r>
      <w:r>
        <w:rPr>
          <w:rFonts w:hint="eastAsia" w:ascii="宋体" w:hAnsi="宋体" w:eastAsia="宋体" w:cs="宋体"/>
          <w:kern w:val="2"/>
          <w:sz w:val="21"/>
          <w:szCs w:val="21"/>
          <w:lang w:val="en-US" w:eastAsia="zh-CN" w:bidi="ar-SA"/>
        </w:rPr>
        <w:t>以上为预估规模，结算依据单价和实际发生量进行结算，付款累计金额达到项目预估规模或合同期满后项目终止，成交人数量1名</w:t>
      </w:r>
      <w:r>
        <w:rPr>
          <w:rFonts w:hint="eastAsia" w:cs="Times New Roman" w:asciiTheme="minorEastAsia" w:hAnsiTheme="minorEastAsia" w:eastAsiaTheme="minorEastAsia"/>
          <w:color w:val="auto"/>
          <w:szCs w:val="21"/>
          <w:highlight w:val="none"/>
          <w:lang w:val="en-US" w:eastAsia="zh-CN"/>
        </w:rPr>
        <w:t>。</w:t>
      </w:r>
    </w:p>
    <w:p w14:paraId="433B77D3">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eastAsiaTheme="minorEastAsia"/>
          <w:color w:val="auto"/>
          <w:szCs w:val="21"/>
          <w:highlight w:val="none"/>
          <w:lang w:val="en-US" w:eastAsia="zh-CN"/>
        </w:rPr>
        <w:t>1.2</w:t>
      </w:r>
      <w:r>
        <w:rPr>
          <w:rFonts w:hint="eastAsia" w:cs="Times New Roman" w:asciiTheme="minorEastAsia" w:hAnsiTheme="minorEastAsia" w:eastAsiaTheme="minorEastAsia"/>
          <w:color w:val="auto"/>
          <w:szCs w:val="21"/>
          <w:highlight w:val="none"/>
        </w:rPr>
        <w:t>采购内容：湖北信通通信有限公司（含黄石城区、黄石高新区）施工现场物资装卸、搬运服务。涵盖搬运、装卸全流程的现场人力与操作服务。并由专人现场指挥</w:t>
      </w:r>
      <w:r>
        <w:rPr>
          <w:rFonts w:hint="eastAsia" w:cs="Times New Roman" w:asciiTheme="minorEastAsia" w:hAnsiTheme="minorEastAsia" w:eastAsiaTheme="minorEastAsia"/>
          <w:color w:val="auto"/>
          <w:szCs w:val="21"/>
          <w:highlight w:val="none"/>
          <w:lang w:eastAsia="zh-CN"/>
        </w:rPr>
        <w:t>，</w:t>
      </w:r>
      <w:r>
        <w:rPr>
          <w:rFonts w:hint="eastAsia" w:cs="Times New Roman" w:asciiTheme="minorEastAsia" w:hAnsiTheme="minorEastAsia" w:eastAsiaTheme="minorEastAsia"/>
          <w:color w:val="auto"/>
          <w:szCs w:val="21"/>
          <w:highlight w:val="none"/>
          <w:lang w:val="en-US" w:eastAsia="zh-CN"/>
        </w:rPr>
        <w:t>记录留存</w:t>
      </w:r>
      <w:r>
        <w:rPr>
          <w:rFonts w:hint="eastAsia" w:cs="Times New Roman" w:asciiTheme="minorEastAsia" w:hAnsiTheme="minorEastAsia" w:eastAsiaTheme="minorEastAsia"/>
          <w:color w:val="auto"/>
          <w:szCs w:val="21"/>
          <w:highlight w:val="none"/>
        </w:rPr>
        <w:t>交付货物清单、现场确认单等过程资料。</w:t>
      </w:r>
    </w:p>
    <w:p w14:paraId="5F4FCA72">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1.3标包划分情况：本项目不划分标包。</w:t>
      </w:r>
    </w:p>
    <w:p w14:paraId="470E16F4">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1.4</w:t>
      </w:r>
      <w:r>
        <w:rPr>
          <w:rFonts w:hint="eastAsia" w:ascii="宋体" w:hAnsi="宋体" w:cs="宋体"/>
          <w:color w:val="auto"/>
          <w:highlight w:val="none"/>
          <w:lang w:val="en-US" w:eastAsia="zh-CN"/>
        </w:rPr>
        <w:t>服务期</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合同签订</w:t>
      </w:r>
      <w:r>
        <w:rPr>
          <w:rFonts w:hint="eastAsia" w:ascii="宋体" w:hAnsi="宋体" w:eastAsia="宋体" w:cs="宋体"/>
          <w:color w:val="auto"/>
          <w:highlight w:val="none"/>
          <w:lang w:val="en-US" w:eastAsia="zh-CN"/>
        </w:rPr>
        <w:t>之日起</w:t>
      </w:r>
      <w:r>
        <w:rPr>
          <w:rFonts w:hint="eastAsia" w:ascii="宋体" w:hAnsi="宋体" w:cs="宋体"/>
          <w:color w:val="auto"/>
          <w:highlight w:val="none"/>
          <w:lang w:val="en-US" w:eastAsia="zh-CN"/>
        </w:rPr>
        <w:t>1</w:t>
      </w:r>
      <w:r>
        <w:rPr>
          <w:rFonts w:hint="eastAsia" w:ascii="宋体" w:hAnsi="宋体" w:eastAsia="宋体" w:cs="宋体"/>
          <w:color w:val="auto"/>
          <w:highlight w:val="none"/>
          <w:lang w:val="en-US" w:eastAsia="zh-CN"/>
        </w:rPr>
        <w:t>年</w:t>
      </w:r>
      <w:r>
        <w:rPr>
          <w:rFonts w:hint="eastAsia" w:cs="Times New Roman" w:asciiTheme="minorEastAsia" w:hAnsiTheme="minorEastAsia" w:eastAsiaTheme="minorEastAsia"/>
          <w:color w:val="auto"/>
          <w:szCs w:val="21"/>
          <w:highlight w:val="none"/>
          <w:lang w:val="en-US" w:eastAsia="zh-CN"/>
        </w:rPr>
        <w:t>。</w:t>
      </w:r>
    </w:p>
    <w:p w14:paraId="60D818B9">
      <w:pPr>
        <w:tabs>
          <w:tab w:val="left" w:pos="3560"/>
        </w:tabs>
        <w:autoSpaceDE w:val="0"/>
        <w:autoSpaceDN w:val="0"/>
        <w:adjustRightInd w:val="0"/>
        <w:spacing w:line="360" w:lineRule="auto"/>
        <w:ind w:firstLine="420" w:firstLineChars="200"/>
        <w:jc w:val="left"/>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1.5服务地点：黄石。</w:t>
      </w:r>
    </w:p>
    <w:p w14:paraId="7FD46E8B">
      <w:pPr>
        <w:tabs>
          <w:tab w:val="left" w:pos="3560"/>
        </w:tabs>
        <w:autoSpaceDE w:val="0"/>
        <w:autoSpaceDN w:val="0"/>
        <w:adjustRightInd w:val="0"/>
        <w:spacing w:line="360" w:lineRule="auto"/>
        <w:ind w:firstLine="420" w:firstLineChars="200"/>
        <w:jc w:val="left"/>
        <w:rPr>
          <w:rFonts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lang w:val="en-US" w:eastAsia="zh-CN"/>
        </w:rPr>
        <w:t>1.6</w:t>
      </w:r>
      <w:r>
        <w:rPr>
          <w:rFonts w:hint="eastAsia" w:ascii="宋体" w:hAnsi="宋体" w:eastAsia="宋体" w:cs="宋体"/>
          <w:kern w:val="2"/>
          <w:sz w:val="21"/>
          <w:szCs w:val="21"/>
          <w:lang w:val="en-US" w:eastAsia="zh-CN" w:bidi="ar-SA"/>
        </w:rPr>
        <w:t>本项目设置最高响应限价，最高响应限价为响应折扣100%，供应商响应报价高于最高响应限价的，其响应将被否决。</w:t>
      </w:r>
    </w:p>
    <w:p w14:paraId="032AC421">
      <w:pPr>
        <w:adjustRightInd w:val="0"/>
        <w:snapToGrid w:val="0"/>
        <w:spacing w:line="440" w:lineRule="exact"/>
        <w:rPr>
          <w:rFonts w:asciiTheme="minorEastAsia" w:hAnsiTheme="minorEastAsia" w:eastAsiaTheme="minorEastAsia"/>
          <w:b/>
          <w:color w:val="auto"/>
          <w:szCs w:val="21"/>
          <w:highlight w:val="none"/>
        </w:rPr>
      </w:pPr>
      <w:bookmarkStart w:id="6" w:name="_Toc319394714"/>
      <w:bookmarkStart w:id="7" w:name="_Toc319769473"/>
      <w:bookmarkStart w:id="8" w:name="_Toc184704555"/>
      <w:r>
        <w:rPr>
          <w:rFonts w:hint="eastAsia" w:asciiTheme="minorEastAsia" w:hAnsiTheme="minorEastAsia" w:eastAsiaTheme="minorEastAsia"/>
          <w:b/>
          <w:color w:val="auto"/>
          <w:szCs w:val="21"/>
          <w:highlight w:val="none"/>
        </w:rPr>
        <w:t>2.供应商资格要求</w:t>
      </w:r>
      <w:bookmarkEnd w:id="6"/>
      <w:bookmarkEnd w:id="7"/>
      <w:bookmarkEnd w:id="8"/>
      <w:r>
        <w:rPr>
          <w:rFonts w:hint="eastAsia" w:asciiTheme="minorEastAsia" w:hAnsiTheme="minorEastAsia" w:eastAsiaTheme="minorEastAsia"/>
          <w:b/>
          <w:color w:val="auto"/>
          <w:szCs w:val="21"/>
          <w:highlight w:val="none"/>
        </w:rPr>
        <w:t xml:space="preserve"> </w:t>
      </w:r>
    </w:p>
    <w:p w14:paraId="28BF5F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bookmarkStart w:id="9" w:name="_Toc184704556"/>
      <w:bookmarkStart w:id="10" w:name="_Toc319769474"/>
      <w:bookmarkStart w:id="11" w:name="_Toc319394715"/>
      <w:r>
        <w:rPr>
          <w:rFonts w:hint="eastAsia" w:cs="Times New Roman" w:asciiTheme="minorEastAsia" w:hAnsiTheme="minorEastAsia" w:eastAsiaTheme="minorEastAsia"/>
          <w:color w:val="auto"/>
          <w:kern w:val="2"/>
          <w:sz w:val="21"/>
          <w:szCs w:val="21"/>
          <w:highlight w:val="none"/>
          <w:lang w:val="en-US" w:eastAsia="zh-CN" w:bidi="ar-SA"/>
        </w:rPr>
        <w:t>2.1基本要求：供应商应为中华人民共和国境内法律上和财务上独立的法人或依法登记注册的其他组织，合法运作并独立于采购人和采购代理机构。法人下属不具备法人资格的分支机构参与响应的，应具备法人针对本项目或覆盖本项目的经营事项的有效授权。</w:t>
      </w:r>
    </w:p>
    <w:p w14:paraId="675835D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585874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2.3财务要求：供应商能够或承诺能够为本项目开具增值税专用发票。（须提供证明材料或承诺函）</w:t>
      </w:r>
    </w:p>
    <w:p w14:paraId="3B50297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2.4本项目不接受联合体响应，不允许转包和违法分包。</w:t>
      </w:r>
    </w:p>
    <w:p w14:paraId="1D4F221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2.5供应商的法定代表人或负责人为同一人或者存在控股、管理关系的不同申请人，不得参加同一分包响应或者未划分分包的同一项目响应。</w:t>
      </w:r>
    </w:p>
    <w:p w14:paraId="1BE5C2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2.6供应商不得存在下列情形：</w:t>
      </w:r>
    </w:p>
    <w:p w14:paraId="1386FEA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6BC7731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100E31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1E54DB8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07455AE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51452E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26D849A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39C440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6865CF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（9）被工商行政管理机关在国家企业信用信息公示系统中列入严重违法失信企业名单的；</w:t>
      </w:r>
    </w:p>
    <w:p w14:paraId="06CF326B">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（10）法律法规、询比文件限定的其他情形。</w:t>
      </w:r>
    </w:p>
    <w:p w14:paraId="5427048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2.7法律法规规定的其他要求。</w:t>
      </w:r>
    </w:p>
    <w:p w14:paraId="5C26336A">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3.资格审查方法</w:t>
      </w:r>
      <w:bookmarkEnd w:id="9"/>
      <w:bookmarkEnd w:id="10"/>
      <w:bookmarkEnd w:id="11"/>
    </w:p>
    <w:p w14:paraId="0C87705F">
      <w:pPr>
        <w:pStyle w:val="102"/>
        <w:adjustRightInd w:val="0"/>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本项目将进行资格后审，资格审查标准和内容见询比文件第三章“评审办法”，凡未通过资格后审的供应商，其响应将被否决。</w:t>
      </w:r>
    </w:p>
    <w:p w14:paraId="492B8D61">
      <w:pPr>
        <w:pStyle w:val="102"/>
        <w:adjustRightInd w:val="0"/>
        <w:snapToGrid w:val="0"/>
        <w:spacing w:line="440" w:lineRule="exact"/>
        <w:ind w:left="5" w:firstLine="0" w:firstLineChars="0"/>
        <w:rPr>
          <w:rFonts w:asciiTheme="minorEastAsia" w:hAnsiTheme="minorEastAsia" w:eastAsiaTheme="minorEastAsia"/>
          <w:bCs/>
          <w:color w:val="auto"/>
          <w:highlight w:val="none"/>
        </w:rPr>
      </w:pPr>
      <w:r>
        <w:rPr>
          <w:rFonts w:hint="eastAsia" w:asciiTheme="minorEastAsia" w:hAnsiTheme="minorEastAsia" w:eastAsiaTheme="minorEastAsia"/>
          <w:b/>
          <w:color w:val="auto"/>
          <w:szCs w:val="21"/>
          <w:highlight w:val="none"/>
        </w:rPr>
        <w:t>4.询比文件的获取</w:t>
      </w:r>
    </w:p>
    <w:p w14:paraId="42F4DFBB">
      <w:pPr>
        <w:spacing w:line="44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4.1</w:t>
      </w:r>
      <w:r>
        <w:rPr>
          <w:rFonts w:hint="eastAsia" w:asciiTheme="minorEastAsia" w:hAnsiTheme="minorEastAsia" w:eastAsiaTheme="minorEastAsia"/>
          <w:color w:val="auto"/>
          <w:spacing w:val="2"/>
          <w:szCs w:val="21"/>
          <w:highlight w:val="none"/>
        </w:rPr>
        <w:t>询比文件获取时间：</w:t>
      </w:r>
      <w:r>
        <w:rPr>
          <w:rFonts w:hint="eastAsia" w:ascii="宋体" w:hAnsi="宋体" w:eastAsia="宋体" w:cs="Times New Roman"/>
          <w:b/>
          <w:color w:val="auto"/>
          <w:kern w:val="2"/>
          <w:szCs w:val="21"/>
          <w:highlight w:val="none"/>
          <w:u w:val="single"/>
          <w:lang w:eastAsia="zh-CN"/>
        </w:rPr>
        <w:t>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eastAsia="宋体" w:cs="Times New Roman"/>
          <w:b/>
          <w:color w:val="auto"/>
          <w:kern w:val="2"/>
          <w:szCs w:val="21"/>
          <w:highlight w:val="none"/>
          <w:u w:val="single"/>
          <w:lang w:val="en-US" w:eastAsia="zh-CN"/>
        </w:rPr>
        <w:t>4</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17</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09</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分至202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eastAsia="宋体" w:cs="Times New Roman"/>
          <w:b/>
          <w:color w:val="auto"/>
          <w:kern w:val="2"/>
          <w:szCs w:val="21"/>
          <w:highlight w:val="none"/>
          <w:u w:val="single"/>
          <w:lang w:val="en-US" w:eastAsia="zh-CN"/>
        </w:rPr>
        <w:t>4</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20</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20</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分（北京时间，下同）</w:t>
      </w:r>
      <w:r>
        <w:rPr>
          <w:rFonts w:hint="eastAsia" w:asciiTheme="minorEastAsia" w:hAnsiTheme="minorEastAsia" w:eastAsiaTheme="minorEastAsia"/>
          <w:color w:val="auto"/>
          <w:szCs w:val="21"/>
          <w:highlight w:val="none"/>
        </w:rPr>
        <w:t>。</w:t>
      </w:r>
      <w:bookmarkStart w:id="817" w:name="_GoBack"/>
      <w:bookmarkEnd w:id="817"/>
    </w:p>
    <w:p w14:paraId="66419A10">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w:t>
      </w:r>
      <w:r>
        <w:rPr>
          <w:rFonts w:hint="eastAsia" w:asciiTheme="minorEastAsia" w:hAnsiTheme="minorEastAsia" w:eastAsiaTheme="minorEastAsia"/>
          <w:color w:val="auto"/>
          <w:spacing w:val="2"/>
          <w:szCs w:val="21"/>
          <w:highlight w:val="none"/>
        </w:rPr>
        <w:t>询比文件获取方式：凡有意参与询比的潜在供应商，请按以下步骤顺序进行操作，获取询比文件</w:t>
      </w:r>
      <w:r>
        <w:rPr>
          <w:rFonts w:hint="eastAsia" w:asciiTheme="minorEastAsia" w:hAnsiTheme="minorEastAsia" w:eastAsiaTheme="minorEastAsia"/>
          <w:color w:val="auto"/>
          <w:highlight w:val="none"/>
        </w:rPr>
        <w:t>。</w:t>
      </w:r>
    </w:p>
    <w:p w14:paraId="3E30BC81">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4.2.1询比文件购买：登录湖北信通通信有限公司电子招标平台（https://hbzb.chinaccsscm.cn/）进行“供应商注册”（已完成注册的供应商可直接进入供应商登录），注册完成后进入“供应商登录”，点击“我要报名”，选择项目进行文件的购买。</w:t>
      </w:r>
      <w:r>
        <w:rPr>
          <w:rFonts w:hint="eastAsia" w:ascii="宋体" w:hAnsi="宋体"/>
          <w:b/>
          <w:bCs/>
          <w:spacing w:val="2"/>
          <w:szCs w:val="21"/>
        </w:rPr>
        <w:t>注册、文件购买联系人：石工：027-82417826。</w:t>
      </w:r>
    </w:p>
    <w:p w14:paraId="15099E94">
      <w:pPr>
        <w:pStyle w:val="102"/>
        <w:tabs>
          <w:tab w:val="left" w:pos="993"/>
        </w:tabs>
        <w:wordWrap w:val="0"/>
        <w:adjustRightInd w:val="0"/>
        <w:snapToGrid w:val="0"/>
        <w:spacing w:line="440" w:lineRule="exact"/>
        <w:ind w:firstLine="424" w:firstLineChars="202"/>
        <w:rPr>
          <w:rFonts w:asciiTheme="minorEastAsia" w:hAnsiTheme="minorEastAsia" w:eastAsiaTheme="minorEastAsia"/>
          <w:b/>
          <w:color w:val="auto"/>
          <w:szCs w:val="21"/>
          <w:highlight w:val="none"/>
        </w:rPr>
      </w:pPr>
      <w:r>
        <w:rPr>
          <w:rFonts w:hint="eastAsia" w:asciiTheme="minorEastAsia" w:hAnsiTheme="minorEastAsia" w:eastAsiaTheme="minorEastAsia"/>
          <w:color w:val="auto"/>
          <w:highlight w:val="none"/>
          <w:lang w:val="en-US" w:eastAsia="zh-CN"/>
        </w:rPr>
        <w:t>4.3</w:t>
      </w:r>
      <w:r>
        <w:rPr>
          <w:rFonts w:hint="eastAsia" w:asciiTheme="minorEastAsia" w:hAnsiTheme="minorEastAsia" w:eastAsiaTheme="minorEastAsia"/>
          <w:color w:val="auto"/>
          <w:spacing w:val="2"/>
          <w:szCs w:val="21"/>
          <w:highlight w:val="none"/>
        </w:rPr>
        <w:t>获取本询比文件不收取费用。</w:t>
      </w:r>
    </w:p>
    <w:p w14:paraId="6A6EB3D7">
      <w:pPr>
        <w:pStyle w:val="102"/>
        <w:adjustRightInd w:val="0"/>
        <w:snapToGrid w:val="0"/>
        <w:spacing w:line="440" w:lineRule="exact"/>
        <w:ind w:left="5" w:firstLine="0" w:firstLineChars="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5.响应文件的提交</w:t>
      </w:r>
    </w:p>
    <w:p w14:paraId="09EF39DA">
      <w:pPr>
        <w:pStyle w:val="102"/>
        <w:wordWrap w:val="0"/>
        <w:adjustRightInd w:val="0"/>
        <w:snapToGrid w:val="0"/>
        <w:spacing w:line="440" w:lineRule="exact"/>
        <w:ind w:left="426" w:firstLine="0"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5.1响应文件</w:t>
      </w:r>
      <w:r>
        <w:rPr>
          <w:rFonts w:hint="eastAsia" w:asciiTheme="minorEastAsia" w:hAnsiTheme="minorEastAsia" w:eastAsiaTheme="minorEastAsia"/>
          <w:color w:val="auto"/>
          <w:highlight w:val="none"/>
        </w:rPr>
        <w:t>提交截止时间</w:t>
      </w:r>
      <w:r>
        <w:rPr>
          <w:rFonts w:hint="eastAsia" w:asciiTheme="minorEastAsia" w:hAnsiTheme="minorEastAsia" w:eastAsiaTheme="minorEastAsia"/>
          <w:color w:val="auto"/>
          <w:szCs w:val="21"/>
          <w:highlight w:val="none"/>
        </w:rPr>
        <w:t>（即响应截止时间）：</w:t>
      </w:r>
      <w:r>
        <w:rPr>
          <w:rFonts w:hint="eastAsia" w:ascii="宋体" w:hAnsi="宋体"/>
          <w:b/>
          <w:color w:val="auto"/>
          <w:szCs w:val="21"/>
          <w:highlight w:val="none"/>
          <w:u w:val="single"/>
        </w:rPr>
        <w:t>202</w:t>
      </w:r>
      <w:r>
        <w:rPr>
          <w:rFonts w:hint="eastAsia" w:ascii="宋体" w:hAnsi="宋体"/>
          <w:b/>
          <w:color w:val="auto"/>
          <w:szCs w:val="21"/>
          <w:highlight w:val="none"/>
          <w:u w:val="single"/>
          <w:lang w:val="en-US" w:eastAsia="zh-CN"/>
        </w:rPr>
        <w:t>6</w:t>
      </w:r>
      <w:r>
        <w:rPr>
          <w:rFonts w:hint="eastAsia" w:ascii="宋体" w:hAnsi="宋体"/>
          <w:b/>
          <w:color w:val="auto"/>
          <w:szCs w:val="21"/>
          <w:highlight w:val="none"/>
          <w:u w:val="single"/>
        </w:rPr>
        <w:t>年</w:t>
      </w:r>
      <w:r>
        <w:rPr>
          <w:rFonts w:hint="eastAsia" w:ascii="宋体" w:hAnsi="宋体"/>
          <w:b/>
          <w:color w:val="auto"/>
          <w:szCs w:val="21"/>
          <w:highlight w:val="none"/>
          <w:u w:val="single"/>
          <w:lang w:val="en-US" w:eastAsia="zh-CN"/>
        </w:rPr>
        <w:t>4</w:t>
      </w:r>
      <w:r>
        <w:rPr>
          <w:rFonts w:hint="eastAsia" w:ascii="宋体" w:hAnsi="宋体"/>
          <w:b/>
          <w:color w:val="auto"/>
          <w:szCs w:val="21"/>
          <w:highlight w:val="none"/>
          <w:u w:val="single"/>
        </w:rPr>
        <w:t>月</w:t>
      </w:r>
      <w:r>
        <w:rPr>
          <w:rFonts w:hint="eastAsia" w:ascii="宋体" w:hAnsi="宋体"/>
          <w:b/>
          <w:color w:val="auto"/>
          <w:szCs w:val="21"/>
          <w:highlight w:val="none"/>
          <w:u w:val="single"/>
          <w:lang w:val="en-US" w:eastAsia="zh-CN"/>
        </w:rPr>
        <w:t>24</w:t>
      </w:r>
      <w:r>
        <w:rPr>
          <w:rFonts w:hint="eastAsia" w:ascii="宋体" w:hAnsi="宋体"/>
          <w:b/>
          <w:color w:val="auto"/>
          <w:szCs w:val="21"/>
          <w:highlight w:val="none"/>
          <w:u w:val="single"/>
        </w:rPr>
        <w:t>日</w:t>
      </w:r>
      <w:r>
        <w:rPr>
          <w:rFonts w:hint="eastAsia" w:ascii="宋体" w:hAnsi="宋体"/>
          <w:b/>
          <w:color w:val="auto"/>
          <w:szCs w:val="21"/>
          <w:highlight w:val="none"/>
          <w:u w:val="single"/>
          <w:lang w:val="en-US" w:eastAsia="zh-CN"/>
        </w:rPr>
        <w:t>9</w:t>
      </w:r>
      <w:r>
        <w:rPr>
          <w:rFonts w:hint="eastAsia" w:ascii="宋体" w:hAnsi="宋体"/>
          <w:b/>
          <w:color w:val="auto"/>
          <w:szCs w:val="21"/>
          <w:highlight w:val="none"/>
          <w:u w:val="single"/>
        </w:rPr>
        <w:t>时00分</w:t>
      </w:r>
      <w:r>
        <w:rPr>
          <w:rFonts w:hint="eastAsia" w:asciiTheme="minorEastAsia" w:hAnsiTheme="minorEastAsia" w:eastAsiaTheme="minorEastAsia"/>
          <w:color w:val="auto"/>
          <w:szCs w:val="21"/>
          <w:highlight w:val="none"/>
        </w:rPr>
        <w:t>。</w:t>
      </w:r>
    </w:p>
    <w:p w14:paraId="21E06121">
      <w:pPr>
        <w:wordWrap w:val="0"/>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5.2纸质响应文件递交地点：湖北信通通信有限公司招标运营楼二楼</w:t>
      </w:r>
      <w:r>
        <w:rPr>
          <w:rFonts w:hint="eastAsia" w:asciiTheme="minorEastAsia" w:hAnsiTheme="minorEastAsia" w:eastAsiaTheme="minorEastAsia"/>
          <w:color w:val="auto"/>
          <w:szCs w:val="21"/>
          <w:highlight w:val="none"/>
          <w:lang w:val="en-US" w:eastAsia="zh-CN"/>
        </w:rPr>
        <w:t>206</w:t>
      </w:r>
      <w:r>
        <w:rPr>
          <w:rFonts w:hint="eastAsia" w:asciiTheme="minorEastAsia" w:hAnsiTheme="minorEastAsia" w:eastAsiaTheme="minorEastAsia"/>
          <w:color w:val="auto"/>
          <w:szCs w:val="21"/>
          <w:highlight w:val="none"/>
        </w:rPr>
        <w:t>开标厅（武汉市江岸区惠济路10号）。</w:t>
      </w:r>
    </w:p>
    <w:p w14:paraId="119D627E">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5.3本项目将于响应文件提交截止同一时间开启响应文件，采购人邀请响应供应商的法定代表人或者其委托代理人准时参加。</w:t>
      </w:r>
    </w:p>
    <w:p w14:paraId="44E68C70">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5.4出现以下情形之一时，</w:t>
      </w:r>
      <w:r>
        <w:rPr>
          <w:rFonts w:hint="eastAsia" w:asciiTheme="minorEastAsia" w:hAnsiTheme="minorEastAsia" w:eastAsiaTheme="minorEastAsia"/>
          <w:color w:val="auto"/>
          <w:szCs w:val="21"/>
          <w:highlight w:val="none"/>
          <w:lang w:val="en-US" w:eastAsia="zh-CN"/>
        </w:rPr>
        <w:t>采购人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采购</w:t>
      </w:r>
      <w:r>
        <w:rPr>
          <w:rFonts w:hint="eastAsia" w:asciiTheme="minorEastAsia" w:hAnsiTheme="minorEastAsia" w:eastAsiaTheme="minorEastAsia"/>
          <w:color w:val="auto"/>
          <w:szCs w:val="21"/>
          <w:highlight w:val="none"/>
        </w:rPr>
        <w:t>代理机构不予接收</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w:t>
      </w:r>
    </w:p>
    <w:p w14:paraId="4B2564A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5.4.1纸质</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文件逾期送达或者未送达指定地点的；</w:t>
      </w:r>
    </w:p>
    <w:p w14:paraId="272BBD9D">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5.4.2未按照</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文件要求密封的；</w:t>
      </w:r>
    </w:p>
    <w:p w14:paraId="10E3A62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5.4.3未按照本公告要求获得本项目</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文件的</w:t>
      </w:r>
    </w:p>
    <w:p w14:paraId="232F112D">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6.发布公告的媒介</w:t>
      </w:r>
    </w:p>
    <w:p w14:paraId="6AE77263">
      <w:pPr>
        <w:wordWrap w:val="0"/>
        <w:adjustRightInd w:val="0"/>
        <w:snapToGrid w:val="0"/>
        <w:spacing w:line="440" w:lineRule="exact"/>
        <w:ind w:firstLine="420" w:firstLineChars="200"/>
        <w:rPr>
          <w:rFonts w:hint="default"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本</w:t>
      </w:r>
      <w:r>
        <w:rPr>
          <w:rFonts w:hint="eastAsia" w:cs="Times New Roman" w:asciiTheme="minorEastAsia" w:hAnsiTheme="minorEastAsia" w:eastAsiaTheme="minorEastAsia"/>
          <w:color w:val="auto"/>
          <w:szCs w:val="21"/>
          <w:highlight w:val="none"/>
          <w:lang w:val="en-US" w:eastAsia="zh-CN"/>
        </w:rPr>
        <w:t>询比</w:t>
      </w:r>
      <w:r>
        <w:rPr>
          <w:rFonts w:hint="eastAsia" w:cs="Times New Roman" w:asciiTheme="minorEastAsia" w:hAnsiTheme="minorEastAsia" w:eastAsiaTheme="minorEastAsia"/>
          <w:color w:val="auto"/>
          <w:szCs w:val="21"/>
          <w:highlight w:val="none"/>
        </w:rPr>
        <w:t>公告在湖北信通通信有限公司电子招标系统（https://hbzb.chinaccsscm.cn/）上发布，其他媒介转载无效。</w:t>
      </w:r>
    </w:p>
    <w:p w14:paraId="6BE31BB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7.联系方式</w:t>
      </w:r>
    </w:p>
    <w:p w14:paraId="266ECD42">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lang w:val="en-US" w:eastAsia="zh-CN"/>
        </w:rPr>
        <w:t>采购</w:t>
      </w:r>
      <w:r>
        <w:rPr>
          <w:rFonts w:hint="eastAsia" w:ascii="宋体" w:hAnsi="宋体" w:eastAsia="宋体" w:cs="宋体"/>
          <w:i w:val="0"/>
          <w:iCs w:val="0"/>
          <w:caps w:val="0"/>
          <w:color w:val="2B3642"/>
          <w:spacing w:val="0"/>
          <w:sz w:val="21"/>
          <w:szCs w:val="21"/>
          <w:shd w:val="clear" w:fill="FFFFFF"/>
        </w:rPr>
        <w:t>人：湖北信通通信有限公司</w:t>
      </w:r>
    </w:p>
    <w:p w14:paraId="407EB868">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地址：湖北省武汉市江岸区惠济路10号</w:t>
      </w:r>
    </w:p>
    <w:p w14:paraId="33A9EF04">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邮编：430010</w:t>
      </w:r>
    </w:p>
    <w:p w14:paraId="71652AEF">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宋体" w:cs="Microsoft Yahei Font"/>
          <w:i w:val="0"/>
          <w:iCs w:val="0"/>
          <w:caps w:val="0"/>
          <w:color w:val="2B3642"/>
          <w:spacing w:val="0"/>
          <w:sz w:val="24"/>
          <w:szCs w:val="24"/>
          <w:lang w:val="en-US" w:eastAsia="zh-CN"/>
        </w:rPr>
      </w:pPr>
      <w:r>
        <w:rPr>
          <w:rFonts w:hint="eastAsia" w:ascii="宋体" w:hAnsi="宋体" w:eastAsia="宋体" w:cs="宋体"/>
          <w:i w:val="0"/>
          <w:iCs w:val="0"/>
          <w:caps w:val="0"/>
          <w:color w:val="2B3642"/>
          <w:spacing w:val="0"/>
          <w:sz w:val="21"/>
          <w:szCs w:val="21"/>
          <w:shd w:val="clear" w:fill="FFFFFF"/>
        </w:rPr>
        <w:t>项目咨询人：</w:t>
      </w:r>
      <w:r>
        <w:rPr>
          <w:rFonts w:hint="eastAsia" w:ascii="宋体" w:hAnsi="宋体" w:eastAsia="宋体" w:cs="宋体"/>
          <w:i w:val="0"/>
          <w:iCs w:val="0"/>
          <w:caps w:val="0"/>
          <w:color w:val="2B3642"/>
          <w:spacing w:val="0"/>
          <w:sz w:val="21"/>
          <w:szCs w:val="21"/>
          <w:shd w:val="clear" w:fill="FFFFFF"/>
          <w:lang w:val="en-US" w:eastAsia="zh-CN"/>
        </w:rPr>
        <w:t>李雪源</w:t>
      </w:r>
      <w:r>
        <w:rPr>
          <w:rFonts w:hint="eastAsia" w:ascii="宋体" w:hAnsi="宋体" w:eastAsia="宋体" w:cs="宋体"/>
          <w:i w:val="0"/>
          <w:iCs w:val="0"/>
          <w:caps w:val="0"/>
          <w:color w:val="2B3642"/>
          <w:spacing w:val="0"/>
          <w:sz w:val="21"/>
          <w:szCs w:val="21"/>
          <w:shd w:val="clear" w:fill="FFFFFF"/>
        </w:rPr>
        <w:t>、郭欢欢、林剑萍</w:t>
      </w:r>
      <w:r>
        <w:rPr>
          <w:rFonts w:hint="eastAsia" w:ascii="宋体" w:hAnsi="宋体" w:cs="宋体"/>
          <w:i w:val="0"/>
          <w:iCs w:val="0"/>
          <w:caps w:val="0"/>
          <w:color w:val="2B3642"/>
          <w:spacing w:val="0"/>
          <w:sz w:val="21"/>
          <w:szCs w:val="21"/>
          <w:shd w:val="clear" w:fill="FFFFFF"/>
          <w:lang w:eastAsia="zh-CN"/>
        </w:rPr>
        <w:t>、</w:t>
      </w:r>
      <w:r>
        <w:rPr>
          <w:rFonts w:hint="eastAsia" w:ascii="宋体" w:hAnsi="宋体" w:cs="宋体"/>
          <w:i w:val="0"/>
          <w:iCs w:val="0"/>
          <w:caps w:val="0"/>
          <w:color w:val="2B3642"/>
          <w:spacing w:val="0"/>
          <w:sz w:val="21"/>
          <w:szCs w:val="21"/>
          <w:shd w:val="clear" w:fill="FFFFFF"/>
          <w:lang w:val="en-US" w:eastAsia="zh-CN"/>
        </w:rPr>
        <w:t>孙磊</w:t>
      </w:r>
    </w:p>
    <w:p w14:paraId="66C5D73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宋体" w:cs="Microsoft Yahei Font"/>
          <w:i w:val="0"/>
          <w:iCs w:val="0"/>
          <w:caps w:val="0"/>
          <w:color w:val="2B3642"/>
          <w:spacing w:val="0"/>
          <w:sz w:val="24"/>
          <w:szCs w:val="24"/>
          <w:lang w:val="en-US" w:eastAsia="zh-CN"/>
        </w:rPr>
      </w:pPr>
      <w:r>
        <w:rPr>
          <w:rFonts w:hint="eastAsia" w:ascii="宋体" w:hAnsi="宋体" w:eastAsia="宋体" w:cs="宋体"/>
          <w:i w:val="0"/>
          <w:iCs w:val="0"/>
          <w:caps w:val="0"/>
          <w:color w:val="2B3642"/>
          <w:spacing w:val="0"/>
          <w:sz w:val="21"/>
          <w:szCs w:val="21"/>
          <w:shd w:val="clear" w:fill="FFFFFF"/>
        </w:rPr>
        <w:t>电话：</w:t>
      </w:r>
      <w:r>
        <w:rPr>
          <w:rFonts w:hint="eastAsia" w:ascii="宋体" w:hAnsi="宋体" w:eastAsia="宋体" w:cs="宋体"/>
          <w:i w:val="0"/>
          <w:iCs w:val="0"/>
          <w:caps w:val="0"/>
          <w:color w:val="2B3642"/>
          <w:spacing w:val="0"/>
          <w:sz w:val="21"/>
          <w:szCs w:val="21"/>
          <w:shd w:val="clear" w:fill="FFFFFF"/>
          <w:lang w:val="en-US" w:eastAsia="zh-CN"/>
        </w:rPr>
        <w:t>18942916676</w:t>
      </w:r>
    </w:p>
    <w:p w14:paraId="76DECD43">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电子邮件：lixueyuan@chinaccs.cn</w:t>
      </w:r>
    </w:p>
    <w:p w14:paraId="5486E1E5">
      <w:pPr>
        <w:pStyle w:val="102"/>
        <w:spacing w:line="400" w:lineRule="exact"/>
        <w:ind w:firstLine="3920" w:firstLineChars="1867"/>
        <w:rPr>
          <w:rFonts w:asciiTheme="minorEastAsia" w:hAnsiTheme="minorEastAsia" w:eastAsiaTheme="minorEastAsia"/>
          <w:color w:val="auto"/>
          <w:szCs w:val="21"/>
          <w:highlight w:val="none"/>
        </w:rPr>
      </w:pPr>
    </w:p>
    <w:p w14:paraId="21265375">
      <w:pPr>
        <w:pStyle w:val="102"/>
        <w:spacing w:line="400" w:lineRule="exact"/>
        <w:ind w:firstLine="3920" w:firstLineChars="1867"/>
        <w:rPr>
          <w:rFonts w:hint="eastAsia" w:asciiTheme="minorEastAsia" w:hAnsiTheme="minorEastAsia" w:eastAsiaTheme="minorEastAsia"/>
          <w:color w:val="auto"/>
          <w:szCs w:val="21"/>
          <w:highlight w:val="none"/>
          <w:lang w:eastAsia="zh-CN"/>
        </w:rPr>
      </w:pPr>
    </w:p>
    <w:p w14:paraId="47932325">
      <w:pPr>
        <w:pStyle w:val="102"/>
        <w:spacing w:line="400" w:lineRule="exact"/>
        <w:ind w:right="420" w:firstLine="5600" w:firstLineChars="2667"/>
        <w:rPr>
          <w:color w:val="auto"/>
          <w:highlight w:val="none"/>
        </w:rPr>
        <w:sectPr>
          <w:headerReference r:id="rId5" w:type="first"/>
          <w:headerReference r:id="rId3" w:type="default"/>
          <w:footerReference r:id="rId6" w:type="default"/>
          <w:headerReference r:id="rId4" w:type="even"/>
          <w:pgSz w:w="11906" w:h="16838"/>
          <w:pgMar w:top="1440" w:right="1800" w:bottom="1440" w:left="1800" w:header="851" w:footer="992" w:gutter="0"/>
          <w:pgNumType w:start="1"/>
          <w:cols w:space="425" w:num="1"/>
          <w:docGrid w:type="lines" w:linePitch="312" w:charSpace="0"/>
        </w:sect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w:t>
      </w:r>
      <w:r>
        <w:rPr>
          <w:rFonts w:hint="eastAsia" w:ascii="宋体" w:hAnsi="宋体" w:cs="宋体" w:eastAsiaTheme="minorEastAsia"/>
          <w:color w:val="auto"/>
          <w:szCs w:val="21"/>
          <w:highlight w:val="none"/>
          <w:lang w:val="en-US" w:eastAsia="zh-CN"/>
        </w:rPr>
        <w:t>4</w:t>
      </w:r>
      <w:r>
        <w:rPr>
          <w:rFonts w:hint="eastAsia" w:ascii="宋体" w:hAnsi="宋体" w:cs="宋体"/>
          <w:color w:val="auto"/>
          <w:szCs w:val="21"/>
          <w:highlight w:val="none"/>
        </w:rPr>
        <w:t>月</w:t>
      </w:r>
      <w:r>
        <w:rPr>
          <w:rFonts w:hint="eastAsia" w:ascii="宋体" w:hAnsi="宋体" w:cs="宋体" w:eastAsiaTheme="minorEastAsia"/>
          <w:color w:val="auto"/>
          <w:szCs w:val="21"/>
          <w:highlight w:val="none"/>
          <w:lang w:val="en-US" w:eastAsia="zh-CN"/>
        </w:rPr>
        <w:t>16</w:t>
      </w:r>
      <w:r>
        <w:rPr>
          <w:rFonts w:hint="eastAsia" w:ascii="宋体" w:hAnsi="宋体" w:cs="宋体"/>
          <w:color w:val="auto"/>
          <w:szCs w:val="21"/>
          <w:highlight w:val="none"/>
        </w:rPr>
        <w:t>日</w:t>
      </w:r>
    </w:p>
    <w:p w14:paraId="38039D0A">
      <w:pPr>
        <w:pStyle w:val="101"/>
        <w:spacing w:before="240" w:after="120"/>
        <w:rPr>
          <w:rFonts w:cs="宋体" w:asciiTheme="minorEastAsia" w:hAnsiTheme="minorEastAsia" w:eastAsiaTheme="minorEastAsia"/>
          <w:b/>
          <w:color w:val="auto"/>
          <w:sz w:val="28"/>
          <w:szCs w:val="28"/>
          <w:highlight w:val="none"/>
        </w:rPr>
      </w:pPr>
      <w:bookmarkStart w:id="12" w:name="_Toc447265500"/>
      <w:bookmarkStart w:id="13" w:name="_Toc447188665"/>
      <w:bookmarkStart w:id="14" w:name="_Toc447265214"/>
      <w:bookmarkStart w:id="15" w:name="_Toc26479"/>
      <w:bookmarkStart w:id="16" w:name="_Toc7149"/>
      <w:r>
        <w:rPr>
          <w:rFonts w:hint="eastAsia" w:cs="宋体" w:asciiTheme="minorEastAsia" w:hAnsiTheme="minorEastAsia" w:eastAsiaTheme="minorEastAsia"/>
          <w:b/>
          <w:bCs w:val="0"/>
          <w:color w:val="auto"/>
          <w:kern w:val="0"/>
          <w:sz w:val="28"/>
          <w:szCs w:val="28"/>
          <w:highlight w:val="none"/>
        </w:rPr>
        <w:t>第二章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rPr>
        <w:t>供应商须知</w:t>
      </w:r>
      <w:bookmarkEnd w:id="12"/>
      <w:bookmarkEnd w:id="13"/>
      <w:bookmarkEnd w:id="14"/>
      <w:bookmarkEnd w:id="15"/>
      <w:bookmarkEnd w:id="16"/>
    </w:p>
    <w:p w14:paraId="0B3A820D">
      <w:pPr>
        <w:pStyle w:val="3"/>
        <w:snapToGrid w:val="0"/>
        <w:spacing w:before="240" w:after="120" w:line="240" w:lineRule="auto"/>
        <w:jc w:val="center"/>
        <w:rPr>
          <w:rFonts w:cs="宋体" w:asciiTheme="minorEastAsia" w:hAnsiTheme="minorEastAsia" w:eastAsiaTheme="minorEastAsia"/>
          <w:color w:val="auto"/>
          <w:sz w:val="24"/>
          <w:szCs w:val="24"/>
          <w:highlight w:val="none"/>
        </w:rPr>
      </w:pPr>
      <w:bookmarkStart w:id="17" w:name="_Toc447265215"/>
      <w:bookmarkStart w:id="18" w:name="_Toc226969277"/>
      <w:bookmarkStart w:id="19" w:name="_Toc227057884"/>
      <w:bookmarkStart w:id="20" w:name="_Toc25847"/>
      <w:bookmarkStart w:id="21" w:name="_Toc15557"/>
      <w:bookmarkStart w:id="22" w:name="_Toc447265501"/>
      <w:bookmarkStart w:id="23" w:name="_Toc447188666"/>
      <w:bookmarkStart w:id="24" w:name="_Toc447188667"/>
      <w:bookmarkStart w:id="25" w:name="_Toc447265502"/>
      <w:bookmarkStart w:id="26" w:name="_Toc447265216"/>
      <w:bookmarkStart w:id="27" w:name="_Toc227057885"/>
      <w:bookmarkStart w:id="28" w:name="_Toc226969278"/>
      <w:bookmarkStart w:id="29" w:name="_Toc107822484"/>
      <w:bookmarkStart w:id="30" w:name="_Toc488655831"/>
      <w:r>
        <w:rPr>
          <w:rFonts w:hint="eastAsia" w:cs="宋体" w:asciiTheme="minorEastAsia" w:hAnsiTheme="minorEastAsia" w:eastAsiaTheme="minorEastAsia"/>
          <w:color w:val="auto"/>
          <w:sz w:val="24"/>
          <w:szCs w:val="24"/>
          <w:highlight w:val="none"/>
        </w:rPr>
        <w:t>供应商须知前附表</w:t>
      </w:r>
      <w:bookmarkEnd w:id="17"/>
      <w:bookmarkEnd w:id="18"/>
      <w:bookmarkEnd w:id="19"/>
      <w:bookmarkEnd w:id="20"/>
      <w:bookmarkEnd w:id="21"/>
      <w:bookmarkEnd w:id="22"/>
      <w:bookmarkEnd w:id="23"/>
    </w:p>
    <w:p w14:paraId="145A8EF3">
      <w:pPr>
        <w:autoSpaceDE w:val="0"/>
        <w:autoSpaceDN w:val="0"/>
        <w:ind w:firstLine="422" w:firstLineChars="200"/>
        <w:rPr>
          <w:rFonts w:cs="宋体" w:asciiTheme="minorEastAsia" w:hAnsiTheme="minorEastAsia" w:eastAsiaTheme="minorEastAsia"/>
          <w:color w:val="auto"/>
          <w:highlight w:val="none"/>
        </w:rPr>
      </w:pPr>
      <w:r>
        <w:rPr>
          <w:rFonts w:hint="eastAsia" w:cs="宋体" w:asciiTheme="minorEastAsia" w:hAnsiTheme="minorEastAsia" w:eastAsiaTheme="minorEastAsia"/>
          <w:b/>
          <w:bCs/>
          <w:color w:val="auto"/>
          <w:szCs w:val="21"/>
          <w:highlight w:val="none"/>
        </w:rPr>
        <w:t>本供应商须知前附表是对供应商须知正文的具体补充和修改，如有矛盾，以本前附表为准。</w:t>
      </w:r>
    </w:p>
    <w:tbl>
      <w:tblPr>
        <w:tblStyle w:val="78"/>
        <w:tblW w:w="830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666"/>
        <w:gridCol w:w="5795"/>
      </w:tblGrid>
      <w:tr w14:paraId="2C84FE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blHeader/>
        </w:trPr>
        <w:tc>
          <w:tcPr>
            <w:tcW w:w="840" w:type="dxa"/>
            <w:vAlign w:val="center"/>
          </w:tcPr>
          <w:p w14:paraId="4A5C5B0C">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条款号</w:t>
            </w:r>
          </w:p>
        </w:tc>
        <w:tc>
          <w:tcPr>
            <w:tcW w:w="1666" w:type="dxa"/>
            <w:vAlign w:val="center"/>
          </w:tcPr>
          <w:p w14:paraId="0DB6A378">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条款名称</w:t>
            </w:r>
          </w:p>
        </w:tc>
        <w:tc>
          <w:tcPr>
            <w:tcW w:w="5795" w:type="dxa"/>
            <w:vAlign w:val="center"/>
          </w:tcPr>
          <w:p w14:paraId="32641383">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编列内容</w:t>
            </w:r>
          </w:p>
        </w:tc>
      </w:tr>
      <w:tr w14:paraId="79855A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19FCD68A">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5AA1D8B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p>
        </w:tc>
        <w:tc>
          <w:tcPr>
            <w:tcW w:w="5795" w:type="dxa"/>
            <w:vAlign w:val="center"/>
          </w:tcPr>
          <w:p w14:paraId="48989FC0">
            <w:pPr>
              <w:pStyle w:val="135"/>
              <w:spacing w:line="400" w:lineRule="exact"/>
              <w:ind w:firstLine="0" w:firstLineChars="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单位名称：</w:t>
            </w:r>
            <w:r>
              <w:rPr>
                <w:rFonts w:hint="eastAsia" w:ascii="宋体" w:hAnsi="宋体"/>
                <w:color w:val="auto"/>
                <w:highlight w:val="none"/>
                <w:lang w:eastAsia="zh-CN"/>
              </w:rPr>
              <w:t>湖北信通通信有限公司</w:t>
            </w:r>
          </w:p>
          <w:p w14:paraId="35CA3E00">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联系方式：/</w:t>
            </w:r>
          </w:p>
        </w:tc>
      </w:tr>
      <w:tr w14:paraId="5F87101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2068DBA3">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27F7640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项目名称</w:t>
            </w:r>
          </w:p>
        </w:tc>
        <w:tc>
          <w:tcPr>
            <w:tcW w:w="5795" w:type="dxa"/>
            <w:vAlign w:val="center"/>
          </w:tcPr>
          <w:p w14:paraId="79B663BF">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项目名称：</w:t>
            </w:r>
            <w:r>
              <w:rPr>
                <w:rFonts w:hint="eastAsia" w:asciiTheme="minorEastAsia" w:hAnsiTheme="minorEastAsia" w:eastAsiaTheme="minorEastAsia"/>
                <w:color w:val="auto"/>
                <w:highlight w:val="none"/>
                <w:u w:val="single"/>
                <w:lang w:eastAsia="zh-CN"/>
              </w:rPr>
              <w:t>湖北信通通信有限公司2026年度大冶物资装卸及搬运服务项目</w:t>
            </w:r>
          </w:p>
          <w:p w14:paraId="7C0CE33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lang w:eastAsia="zh-CN"/>
              </w:rPr>
              <w:t>HBXT-2026-11211</w:t>
            </w:r>
          </w:p>
        </w:tc>
      </w:tr>
      <w:tr w14:paraId="5C5BFE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51A4C7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1.3</w:t>
            </w:r>
          </w:p>
        </w:tc>
        <w:tc>
          <w:tcPr>
            <w:tcW w:w="1666" w:type="dxa"/>
            <w:vAlign w:val="center"/>
          </w:tcPr>
          <w:p w14:paraId="25C06DB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采购范围</w:t>
            </w:r>
          </w:p>
        </w:tc>
        <w:tc>
          <w:tcPr>
            <w:tcW w:w="5795" w:type="dxa"/>
            <w:vAlign w:val="center"/>
          </w:tcPr>
          <w:p w14:paraId="2860B304">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详见第一章 询比公告 “1.项目概况与采购内容”。</w:t>
            </w:r>
          </w:p>
        </w:tc>
      </w:tr>
      <w:tr w14:paraId="2856BA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0E989B72">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1.4</w:t>
            </w:r>
          </w:p>
        </w:tc>
        <w:tc>
          <w:tcPr>
            <w:tcW w:w="1666" w:type="dxa"/>
            <w:vAlign w:val="center"/>
          </w:tcPr>
          <w:p w14:paraId="0EF2463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标包划分</w:t>
            </w:r>
          </w:p>
        </w:tc>
        <w:tc>
          <w:tcPr>
            <w:tcW w:w="5795" w:type="dxa"/>
            <w:vAlign w:val="center"/>
          </w:tcPr>
          <w:p w14:paraId="65975D20">
            <w:pPr>
              <w:autoSpaceDE w:val="0"/>
              <w:autoSpaceDN w:val="0"/>
              <w:rPr>
                <w:rFonts w:asciiTheme="minorEastAsia" w:hAnsiTheme="minorEastAsia" w:eastAsiaTheme="minorEastAsia"/>
                <w:color w:val="auto"/>
                <w:highlight w:val="none"/>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不划分标包</w:t>
            </w:r>
          </w:p>
          <w:p w14:paraId="712983D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划分</w:t>
            </w:r>
            <w:r>
              <w:rPr>
                <w:rFonts w:hint="eastAsia" w:asciiTheme="minorEastAsia" w:hAnsiTheme="minorEastAsia" w:eastAsiaTheme="minorEastAsia"/>
                <w:color w:val="auto"/>
                <w:highlight w:val="none"/>
              </w:rPr>
              <w:t>标包【标包划分情况详见</w:t>
            </w:r>
            <w:r>
              <w:rPr>
                <w:rFonts w:hint="eastAsia" w:asciiTheme="minorEastAsia" w:hAnsiTheme="minorEastAsia" w:eastAsiaTheme="minorEastAsia"/>
                <w:color w:val="auto"/>
                <w:szCs w:val="21"/>
                <w:highlight w:val="none"/>
              </w:rPr>
              <w:t>第一章【询比公告】“1.项目概况与采购内容”。</w:t>
            </w:r>
            <w:r>
              <w:rPr>
                <w:rFonts w:hint="eastAsia" w:asciiTheme="minorEastAsia" w:hAnsiTheme="minorEastAsia" w:eastAsiaTheme="minorEastAsia"/>
                <w:color w:val="auto"/>
                <w:highlight w:val="none"/>
              </w:rPr>
              <w:t>】</w:t>
            </w:r>
          </w:p>
        </w:tc>
      </w:tr>
      <w:tr w14:paraId="30ED29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5B3630E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02CC9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询比方式</w:t>
            </w:r>
          </w:p>
        </w:tc>
        <w:tc>
          <w:tcPr>
            <w:tcW w:w="5795" w:type="dxa"/>
            <w:vAlign w:val="center"/>
          </w:tcPr>
          <w:p w14:paraId="7CE7BB9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公开询比</w:t>
            </w:r>
          </w:p>
          <w:p w14:paraId="469F2DD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□邀请询比</w:t>
            </w:r>
          </w:p>
        </w:tc>
      </w:tr>
      <w:tr w14:paraId="3A1187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2F18347">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731A2AD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询比组织形式</w:t>
            </w:r>
          </w:p>
        </w:tc>
        <w:tc>
          <w:tcPr>
            <w:tcW w:w="5795" w:type="dxa"/>
            <w:vAlign w:val="center"/>
          </w:tcPr>
          <w:p w14:paraId="13BF21E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自行询比</w:t>
            </w:r>
          </w:p>
          <w:p w14:paraId="4B404D31">
            <w:pPr>
              <w:autoSpaceDE w:val="0"/>
              <w:autoSpaceDN w:val="0"/>
              <w:rPr>
                <w:rFonts w:hint="eastAsia" w:cs="宋体" w:asciiTheme="minorEastAsia" w:hAnsiTheme="minorEastAsia" w:eastAsiaTheme="minorEastAsia"/>
                <w:color w:val="auto"/>
                <w:szCs w:val="21"/>
                <w:highlight w:val="none"/>
                <w:lang w:eastAsia="zh-CN"/>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委托采购代理机构代理询比</w:t>
            </w:r>
          </w:p>
        </w:tc>
      </w:tr>
      <w:tr w14:paraId="5E0866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2B6E652">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5</w:t>
            </w:r>
          </w:p>
        </w:tc>
        <w:tc>
          <w:tcPr>
            <w:tcW w:w="1666" w:type="dxa"/>
            <w:vAlign w:val="center"/>
          </w:tcPr>
          <w:p w14:paraId="13E604D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资格审查方式</w:t>
            </w:r>
          </w:p>
        </w:tc>
        <w:tc>
          <w:tcPr>
            <w:tcW w:w="5795" w:type="dxa"/>
            <w:vAlign w:val="center"/>
          </w:tcPr>
          <w:p w14:paraId="78EFF5F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□资格预审，本项目已完成资格预审。</w:t>
            </w:r>
          </w:p>
          <w:p w14:paraId="3B635E12">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cs="宋体" w:asciiTheme="minorEastAsia" w:hAnsiTheme="minorEastAsia" w:eastAsiaTheme="minorEastAsia"/>
                <w:color w:val="auto"/>
                <w:szCs w:val="21"/>
                <w:highlight w:val="none"/>
              </w:rPr>
              <w:t>资格后审</w:t>
            </w:r>
            <w:r>
              <w:rPr>
                <w:rFonts w:hint="eastAsia" w:cs="宋体" w:asciiTheme="minorEastAsia" w:hAnsiTheme="minorEastAsia" w:eastAsiaTheme="minorEastAsia"/>
                <w:color w:val="auto"/>
                <w:szCs w:val="21"/>
                <w:highlight w:val="none"/>
              </w:rPr>
              <w:t>，资格条件详见第一章 询比公告“2.供应商资格</w:t>
            </w:r>
            <w:r>
              <w:rPr>
                <w:rFonts w:hint="eastAsia" w:cs="宋体" w:asciiTheme="minorEastAsia" w:hAnsiTheme="minorEastAsia" w:eastAsiaTheme="minorEastAsia"/>
                <w:color w:val="auto"/>
                <w:szCs w:val="21"/>
                <w:highlight w:val="none"/>
                <w:lang w:val="en-US" w:eastAsia="zh-CN"/>
              </w:rPr>
              <w:t>要求</w:t>
            </w:r>
            <w:r>
              <w:rPr>
                <w:rFonts w:hint="eastAsia" w:cs="宋体" w:asciiTheme="minorEastAsia" w:hAnsiTheme="minorEastAsia" w:eastAsiaTheme="minorEastAsia"/>
                <w:color w:val="auto"/>
                <w:szCs w:val="21"/>
                <w:highlight w:val="none"/>
              </w:rPr>
              <w:t>”。</w:t>
            </w:r>
          </w:p>
        </w:tc>
      </w:tr>
      <w:tr w14:paraId="21489A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134044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58792C1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供应商不得存在的情形</w:t>
            </w:r>
          </w:p>
        </w:tc>
        <w:tc>
          <w:tcPr>
            <w:tcW w:w="5795" w:type="dxa"/>
            <w:vAlign w:val="center"/>
          </w:tcPr>
          <w:p w14:paraId="49780DC4">
            <w:pPr>
              <w:tabs>
                <w:tab w:val="left" w:pos="585"/>
              </w:tabs>
              <w:ind w:left="18"/>
              <w:rPr>
                <w:rFonts w:asciiTheme="minorEastAsia" w:hAnsiTheme="minorEastAsia" w:eastAsiaTheme="minorEastAsia"/>
                <w:color w:val="auto"/>
                <w:szCs w:val="21"/>
                <w:highlight w:val="none"/>
              </w:rPr>
            </w:pPr>
            <w:r>
              <w:rPr>
                <w:rFonts w:hint="eastAsia" w:ascii="宋体" w:hAnsi="宋体" w:cs="宋体"/>
                <w:color w:val="auto"/>
                <w:highlight w:val="none"/>
              </w:rPr>
              <w:t>详见第一章 询比公告</w:t>
            </w:r>
          </w:p>
        </w:tc>
      </w:tr>
      <w:tr w14:paraId="04654B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8C73FD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2.1.1</w:t>
            </w:r>
          </w:p>
        </w:tc>
        <w:tc>
          <w:tcPr>
            <w:tcW w:w="1666" w:type="dxa"/>
            <w:vAlign w:val="center"/>
          </w:tcPr>
          <w:p w14:paraId="7FC4A1C7">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询比文件的组成</w:t>
            </w:r>
          </w:p>
        </w:tc>
        <w:tc>
          <w:tcPr>
            <w:tcW w:w="5795" w:type="dxa"/>
            <w:vAlign w:val="center"/>
          </w:tcPr>
          <w:p w14:paraId="1AABA0A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本条款替换为：</w:t>
            </w:r>
          </w:p>
          <w:p w14:paraId="4B975E84">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 询比公告</w:t>
            </w:r>
          </w:p>
          <w:p w14:paraId="54762980">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 供应商须知</w:t>
            </w:r>
          </w:p>
          <w:p w14:paraId="0B28EE0E">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 评审办法</w:t>
            </w:r>
          </w:p>
          <w:p w14:paraId="72860EAA">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 商务规范书[即合同文本]</w:t>
            </w:r>
          </w:p>
          <w:p w14:paraId="218E65C2">
            <w:pPr>
              <w:tabs>
                <w:tab w:val="left" w:pos="799"/>
              </w:tabs>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技术规范书</w:t>
            </w:r>
          </w:p>
          <w:p w14:paraId="10D67BBA">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w:t>
            </w:r>
            <w:r>
              <w:rPr>
                <w:rFonts w:hint="eastAsia" w:cs="宋体" w:asciiTheme="minorEastAsia" w:hAnsiTheme="minorEastAsia" w:eastAsiaTheme="minorEastAsia"/>
                <w:color w:val="auto"/>
                <w:szCs w:val="21"/>
                <w:highlight w:val="none"/>
                <w:lang w:val="en-US" w:eastAsia="zh-CN"/>
              </w:rPr>
              <w:t>六</w:t>
            </w:r>
            <w:r>
              <w:rPr>
                <w:rFonts w:hint="eastAsia" w:cs="宋体" w:asciiTheme="minorEastAsia" w:hAnsiTheme="minorEastAsia" w:eastAsiaTheme="minorEastAsia"/>
                <w:color w:val="auto"/>
                <w:szCs w:val="21"/>
                <w:highlight w:val="none"/>
              </w:rPr>
              <w:t xml:space="preserve">章 </w:t>
            </w:r>
            <w:r>
              <w:rPr>
                <w:rFonts w:hint="eastAsia" w:asciiTheme="minorEastAsia" w:hAnsiTheme="minorEastAsia" w:eastAsiaTheme="minorEastAsia"/>
                <w:color w:val="auto"/>
                <w:szCs w:val="21"/>
                <w:highlight w:val="none"/>
              </w:rPr>
              <w:t>响应</w:t>
            </w:r>
            <w:r>
              <w:rPr>
                <w:rFonts w:hint="eastAsia" w:cs="宋体" w:asciiTheme="minorEastAsia" w:hAnsiTheme="minorEastAsia" w:eastAsiaTheme="minorEastAsia"/>
                <w:color w:val="auto"/>
                <w:szCs w:val="21"/>
                <w:highlight w:val="none"/>
              </w:rPr>
              <w:t>文件格式</w:t>
            </w:r>
          </w:p>
        </w:tc>
      </w:tr>
      <w:tr w14:paraId="5A7350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3C962F9">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7E1ADB9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询比文件实质性要求的标识及非实质性要求的偏离要求</w:t>
            </w:r>
          </w:p>
        </w:tc>
        <w:tc>
          <w:tcPr>
            <w:tcW w:w="5795" w:type="dxa"/>
            <w:vAlign w:val="center"/>
          </w:tcPr>
          <w:p w14:paraId="0B1BCB9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询比文件中标识“</w:t>
            </w:r>
            <w:r>
              <w:rPr>
                <w:rFonts w:hint="eastAsia"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”的条款，均为实质性条款，供应商任何不满足实质性条款的响应均将被否决。</w:t>
            </w:r>
          </w:p>
          <w:p w14:paraId="01FE5BD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非实质性要求的偏离要求：/</w:t>
            </w:r>
          </w:p>
        </w:tc>
      </w:tr>
      <w:tr w14:paraId="04E603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B7F2890">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3DD8529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是否以单项报价核定低于成本</w:t>
            </w:r>
          </w:p>
        </w:tc>
        <w:tc>
          <w:tcPr>
            <w:tcW w:w="5795" w:type="dxa"/>
            <w:vAlign w:val="center"/>
          </w:tcPr>
          <w:p w14:paraId="3821E343">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不要求</w:t>
            </w:r>
          </w:p>
          <w:p w14:paraId="5332674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□要求，具体要求如下：</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p>
        </w:tc>
      </w:tr>
      <w:tr w14:paraId="6CABE5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1B25CF4">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24A4ED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踏勘现场</w:t>
            </w:r>
          </w:p>
        </w:tc>
        <w:tc>
          <w:tcPr>
            <w:tcW w:w="5795" w:type="dxa"/>
            <w:vAlign w:val="center"/>
          </w:tcPr>
          <w:p w14:paraId="3702076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不组织</w:t>
            </w:r>
          </w:p>
          <w:p w14:paraId="6E2CB91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□组织，踏勘现场的时间、地点：</w:t>
            </w:r>
          </w:p>
        </w:tc>
      </w:tr>
      <w:tr w14:paraId="5C27A8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65B70B">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6FE24DA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预备会</w:t>
            </w:r>
          </w:p>
        </w:tc>
        <w:tc>
          <w:tcPr>
            <w:tcW w:w="5795" w:type="dxa"/>
            <w:vAlign w:val="center"/>
          </w:tcPr>
          <w:p w14:paraId="3FE98A74">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不召开</w:t>
            </w:r>
          </w:p>
          <w:p w14:paraId="7C9CF65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□召开，召开预备会时间、地点：</w:t>
            </w:r>
          </w:p>
        </w:tc>
      </w:tr>
      <w:tr w14:paraId="050154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32BC3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.1</w:t>
            </w:r>
          </w:p>
        </w:tc>
        <w:tc>
          <w:tcPr>
            <w:tcW w:w="1666" w:type="dxa"/>
            <w:vAlign w:val="center"/>
          </w:tcPr>
          <w:p w14:paraId="796F962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供应商提出澄清问题的截止时间和方式</w:t>
            </w:r>
          </w:p>
        </w:tc>
        <w:tc>
          <w:tcPr>
            <w:tcW w:w="5795" w:type="dxa"/>
            <w:vAlign w:val="center"/>
          </w:tcPr>
          <w:p w14:paraId="3E3F097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21</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6C0136A8">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eastAsiaTheme="minorEastAsia"/>
                <w:color w:val="auto"/>
                <w:szCs w:val="21"/>
                <w:highlight w:val="none"/>
              </w:rPr>
              <w:t>提出澄清的方式：</w:t>
            </w:r>
            <w:r>
              <w:rPr>
                <w:rFonts w:hint="eastAsia" w:ascii="宋体" w:hAnsi="宋体" w:cs="宋体"/>
                <w:szCs w:val="21"/>
              </w:rPr>
              <w:t>书面形式提交</w:t>
            </w:r>
            <w:r>
              <w:rPr>
                <w:rFonts w:hint="eastAsia" w:ascii="宋体" w:hAnsi="宋体" w:cs="宋体"/>
                <w:szCs w:val="21"/>
                <w:lang w:val="en-US" w:eastAsia="zh-CN"/>
              </w:rPr>
              <w:t>采购人</w:t>
            </w:r>
          </w:p>
        </w:tc>
      </w:tr>
      <w:tr w14:paraId="1DE24C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16696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.2</w:t>
            </w:r>
          </w:p>
        </w:tc>
        <w:tc>
          <w:tcPr>
            <w:tcW w:w="1666" w:type="dxa"/>
            <w:vAlign w:val="center"/>
          </w:tcPr>
          <w:p w14:paraId="646268C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采购人发出询比文件澄清或者修改的截止时间和方式</w:t>
            </w:r>
          </w:p>
        </w:tc>
        <w:tc>
          <w:tcPr>
            <w:tcW w:w="5795" w:type="dxa"/>
            <w:vAlign w:val="center"/>
          </w:tcPr>
          <w:p w14:paraId="4FD2B68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22</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178B2E5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发出澄清或者修改的方式：</w:t>
            </w:r>
            <w:r>
              <w:rPr>
                <w:rFonts w:asciiTheme="minorEastAsia" w:hAnsiTheme="minorEastAsia" w:eastAsiaTheme="minorEastAsia"/>
                <w:color w:val="auto"/>
                <w:szCs w:val="21"/>
                <w:highlight w:val="none"/>
              </w:rPr>
              <w:t>通过</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系统发</w:t>
            </w:r>
            <w:r>
              <w:rPr>
                <w:rFonts w:asciiTheme="minorEastAsia" w:hAnsiTheme="minorEastAsia" w:eastAsiaTheme="minorEastAsia"/>
                <w:color w:val="auto"/>
                <w:szCs w:val="21"/>
                <w:highlight w:val="none"/>
              </w:rPr>
              <w:t>出</w:t>
            </w:r>
          </w:p>
        </w:tc>
      </w:tr>
      <w:tr w14:paraId="394077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C9CF5AA">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.4</w:t>
            </w:r>
          </w:p>
        </w:tc>
        <w:tc>
          <w:tcPr>
            <w:tcW w:w="1666" w:type="dxa"/>
            <w:vAlign w:val="center"/>
          </w:tcPr>
          <w:p w14:paraId="4C9E38A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供应商确认收到澄清或者修改的时间和方式</w:t>
            </w:r>
          </w:p>
        </w:tc>
        <w:tc>
          <w:tcPr>
            <w:tcW w:w="5795" w:type="dxa"/>
            <w:vAlign w:val="center"/>
          </w:tcPr>
          <w:p w14:paraId="3F3F0BB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供应商收到澄清或修改文件后1日内以</w:t>
            </w:r>
            <w:r>
              <w:rPr>
                <w:rFonts w:hint="eastAsia" w:asciiTheme="minorEastAsia" w:hAnsiTheme="minorEastAsia" w:eastAsiaTheme="minorEastAsia"/>
                <w:color w:val="auto"/>
                <w:szCs w:val="21"/>
                <w:highlight w:val="none"/>
              </w:rPr>
              <w:t>书面方式确认</w:t>
            </w:r>
          </w:p>
        </w:tc>
      </w:tr>
      <w:tr w14:paraId="6005C9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E362A4A">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3635399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询比文件的异议</w:t>
            </w:r>
          </w:p>
        </w:tc>
        <w:tc>
          <w:tcPr>
            <w:tcW w:w="5795" w:type="dxa"/>
            <w:vAlign w:val="center"/>
          </w:tcPr>
          <w:p w14:paraId="701B9F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潜在供应商或者其他利害关系人对询比文件有异议的，应当在提交响应文件截止时间1日前，应以书面形式通过异议接收邮箱实名提出，书面异议材料应包括异议事项及证明材料等内容，异议应当包括下列内容：</w:t>
            </w:r>
          </w:p>
          <w:p w14:paraId="7E90EC7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39D8E8F1">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4451C932">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1F5094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1421912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1CD0A546">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人为法人或者其他组织的，异议函应当由法定代表人/负责人或者其授权代表签字，并加盖单位公章。异议人为自然人的，应当由本人签字并提供有效的身份证明。采购人应当自收到异议之日起3日内作出答复；作出答复前，应当暂停询比活动。已作出明确答复，且无新的事实证据，就同一事项反复提出异议的，不予受理。</w:t>
            </w:r>
          </w:p>
          <w:p w14:paraId="31C4DBAD">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823DE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554F09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3.1</w:t>
            </w:r>
          </w:p>
        </w:tc>
        <w:tc>
          <w:tcPr>
            <w:tcW w:w="1666" w:type="dxa"/>
            <w:vAlign w:val="center"/>
          </w:tcPr>
          <w:p w14:paraId="2285183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响应文件组成</w:t>
            </w:r>
          </w:p>
        </w:tc>
        <w:tc>
          <w:tcPr>
            <w:tcW w:w="5795" w:type="dxa"/>
            <w:vAlign w:val="center"/>
          </w:tcPr>
          <w:p w14:paraId="5081B237">
            <w:pPr>
              <w:spacing w:line="320" w:lineRule="exac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详见第</w:t>
            </w:r>
            <w:r>
              <w:rPr>
                <w:rFonts w:hint="eastAsia" w:cs="宋体" w:asciiTheme="minorEastAsia" w:hAnsiTheme="minorEastAsia" w:eastAsiaTheme="minorEastAsia"/>
                <w:color w:val="auto"/>
                <w:szCs w:val="21"/>
                <w:highlight w:val="none"/>
                <w:lang w:val="en-US" w:eastAsia="zh-CN"/>
              </w:rPr>
              <w:t>六</w:t>
            </w:r>
            <w:r>
              <w:rPr>
                <w:rFonts w:cs="宋体" w:asciiTheme="minorEastAsia" w:hAnsiTheme="minorEastAsia" w:eastAsiaTheme="minorEastAsia"/>
                <w:color w:val="auto"/>
                <w:szCs w:val="21"/>
                <w:highlight w:val="none"/>
              </w:rPr>
              <w:t>章</w:t>
            </w:r>
            <w:r>
              <w:rPr>
                <w:rFonts w:hint="eastAsia" w:cs="宋体" w:asciiTheme="minorEastAsia" w:hAnsiTheme="minorEastAsia" w:eastAsiaTheme="minorEastAsia"/>
                <w:color w:val="auto"/>
                <w:szCs w:val="21"/>
                <w:highlight w:val="none"/>
              </w:rPr>
              <w:t xml:space="preserve"> 响应文件格式</w:t>
            </w:r>
          </w:p>
        </w:tc>
      </w:tr>
      <w:tr w14:paraId="0E7503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E2B329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3.2</w:t>
            </w:r>
          </w:p>
        </w:tc>
        <w:tc>
          <w:tcPr>
            <w:tcW w:w="1666" w:type="dxa"/>
            <w:vAlign w:val="center"/>
          </w:tcPr>
          <w:p w14:paraId="4A0759E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响应文件响应和编写</w:t>
            </w:r>
          </w:p>
        </w:tc>
        <w:tc>
          <w:tcPr>
            <w:tcW w:w="5795" w:type="dxa"/>
            <w:vAlign w:val="center"/>
          </w:tcPr>
          <w:p w14:paraId="7CDB27E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71C4AF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w:t>
            </w:r>
            <w:r>
              <w:rPr>
                <w:rFonts w:hint="eastAsia" w:asciiTheme="minorEastAsia" w:hAnsiTheme="minorEastAsia" w:eastAsiaTheme="minorEastAsia"/>
                <w:color w:val="auto"/>
                <w:szCs w:val="21"/>
                <w:highlight w:val="none"/>
              </w:rPr>
              <w:t>响应</w:t>
            </w:r>
            <w:r>
              <w:rPr>
                <w:rFonts w:hint="eastAsia" w:asciiTheme="minorEastAsia" w:hAnsiTheme="minorEastAsia" w:eastAsiaTheme="minorEastAsia"/>
                <w:color w:val="auto"/>
                <w:highlight w:val="none"/>
              </w:rPr>
              <w:t>和编写的具体要求如下：</w:t>
            </w:r>
          </w:p>
          <w:p w14:paraId="5C446DE5">
            <w:pPr>
              <w:autoSpaceDE w:val="0"/>
              <w:autoSpaceDN w:val="0"/>
              <w:rPr>
                <w:rFonts w:hint="eastAsia" w:asciiTheme="minorEastAsia" w:hAnsiTheme="minorEastAsia" w:eastAsiaTheme="minorEastAsia"/>
                <w:color w:val="auto"/>
                <w:highlight w:val="none"/>
              </w:rPr>
            </w:pP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供应商应认真阅读询比文件中所有的事项、格式、条款等。供应商没有按照询比文件要求提交全部资料，或者没有对询比文件在各方面都做出实质性响应是供应商的风险，并可能导致其响应被否决。</w:t>
            </w:r>
          </w:p>
          <w:p w14:paraId="11A7EAEF">
            <w:pPr>
              <w:autoSpaceDE w:val="0"/>
              <w:autoSpaceDN w:val="0"/>
              <w:rPr>
                <w:rFonts w:hint="eastAsia" w:ascii="宋体" w:hAnsi="宋体" w:eastAsia="宋体" w:cs="宋体"/>
                <w:szCs w:val="21"/>
              </w:rPr>
            </w:pPr>
            <w:r>
              <w:rPr>
                <w:rFonts w:hint="eastAsia" w:ascii="宋体" w:hAnsi="宋体" w:eastAsia="宋体" w:cs="宋体"/>
                <w:szCs w:val="21"/>
                <w:lang w:val="en-US" w:eastAsia="zh-CN"/>
              </w:rPr>
              <w:t>2、响应</w:t>
            </w:r>
            <w:r>
              <w:rPr>
                <w:rFonts w:hint="eastAsia" w:ascii="宋体" w:hAnsi="宋体" w:eastAsia="宋体" w:cs="宋体"/>
                <w:szCs w:val="21"/>
              </w:rPr>
              <w:t>文件第六章“</w:t>
            </w:r>
            <w:r>
              <w:rPr>
                <w:rFonts w:hint="eastAsia" w:ascii="宋体" w:hAnsi="宋体" w:eastAsia="宋体" w:cs="宋体"/>
                <w:szCs w:val="21"/>
                <w:lang w:val="en-US" w:eastAsia="zh-CN"/>
              </w:rPr>
              <w:t>响应</w:t>
            </w:r>
            <w:r>
              <w:rPr>
                <w:rFonts w:hint="eastAsia" w:ascii="宋体" w:hAnsi="宋体" w:eastAsia="宋体" w:cs="宋体"/>
                <w:szCs w:val="21"/>
              </w:rPr>
              <w:t>文件格式”中有</w:t>
            </w:r>
            <w:r>
              <w:rPr>
                <w:rFonts w:hint="eastAsia" w:ascii="宋体" w:hAnsi="宋体" w:eastAsia="宋体" w:cs="Times New Roman"/>
                <w:szCs w:val="21"/>
                <w:lang w:val="en-US" w:eastAsia="zh-CN"/>
              </w:rPr>
              <w:t>供应商</w:t>
            </w:r>
            <w:r>
              <w:rPr>
                <w:rFonts w:hint="eastAsia" w:ascii="宋体" w:hAnsi="宋体" w:eastAsia="宋体" w:cs="Times New Roman"/>
                <w:szCs w:val="21"/>
              </w:rPr>
              <w:t>名称（盖单位公章）</w:t>
            </w:r>
            <w:r>
              <w:rPr>
                <w:rFonts w:hint="eastAsia" w:ascii="宋体" w:hAnsi="宋体" w:eastAsia="宋体" w:cs="宋体"/>
                <w:szCs w:val="21"/>
              </w:rPr>
              <w:t>处必须加盖单位公章，有</w:t>
            </w:r>
            <w:r>
              <w:rPr>
                <w:rFonts w:hint="eastAsia" w:ascii="宋体" w:hAnsi="宋体" w:eastAsia="宋体" w:cs="Times New Roman"/>
                <w:szCs w:val="21"/>
              </w:rPr>
              <w:t>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（签字）处必须有法定代表人/负责人签字或盖章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w:t>
            </w:r>
            <w:r>
              <w:rPr>
                <w:rFonts w:hint="eastAsia" w:ascii="宋体" w:hAnsi="宋体" w:eastAsia="宋体" w:cs="宋体"/>
                <w:szCs w:val="21"/>
              </w:rPr>
              <w:t>。</w:t>
            </w:r>
          </w:p>
          <w:p w14:paraId="0080D404">
            <w:pPr>
              <w:autoSpaceDE w:val="0"/>
              <w:autoSpaceDN w:val="0"/>
              <w:rPr>
                <w:rFonts w:hint="eastAsia" w:asciiTheme="minorEastAsia" w:hAnsiTheme="minorEastAsia" w:eastAsiaTheme="minorEastAsia"/>
                <w:color w:val="auto"/>
                <w:highlight w:val="none"/>
              </w:rPr>
            </w:pPr>
            <w:r>
              <w:rPr>
                <w:rFonts w:hint="eastAsia" w:ascii="宋体" w:hAnsi="宋体" w:eastAsia="宋体" w:cs="宋体"/>
                <w:szCs w:val="21"/>
                <w:lang w:val="en-US" w:eastAsia="zh-CN"/>
              </w:rPr>
              <w:t>/3、</w:t>
            </w:r>
            <w:r>
              <w:rPr>
                <w:rFonts w:hint="eastAsia" w:ascii="宋体" w:hAnsi="宋体" w:eastAsia="宋体" w:cs="宋体"/>
                <w:szCs w:val="21"/>
              </w:rPr>
              <w:t>除上述文件以外的其他</w:t>
            </w:r>
            <w:r>
              <w:rPr>
                <w:rFonts w:hint="eastAsia" w:ascii="宋体" w:hAnsi="宋体" w:eastAsia="宋体" w:cs="宋体"/>
                <w:szCs w:val="21"/>
                <w:lang w:val="en-US" w:eastAsia="zh-CN"/>
              </w:rPr>
              <w:t>响应</w:t>
            </w:r>
            <w:r>
              <w:rPr>
                <w:rFonts w:hint="eastAsia" w:ascii="宋体" w:hAnsi="宋体" w:eastAsia="宋体" w:cs="宋体"/>
                <w:szCs w:val="21"/>
              </w:rPr>
              <w:t>文件组成部分必须加盖骑缝章（</w:t>
            </w:r>
            <w:r>
              <w:rPr>
                <w:rFonts w:hint="eastAsia" w:ascii="宋体" w:hAnsi="宋体" w:eastAsia="宋体" w:cs="宋体"/>
                <w:b/>
                <w:bCs/>
                <w:szCs w:val="21"/>
              </w:rPr>
              <w:t>骑缝章必须覆盖所有</w:t>
            </w:r>
            <w:r>
              <w:rPr>
                <w:rFonts w:hint="eastAsia" w:ascii="宋体" w:hAnsi="宋体" w:eastAsia="宋体" w:cs="宋体"/>
                <w:b/>
                <w:bCs/>
                <w:szCs w:val="21"/>
                <w:lang w:val="en-US" w:eastAsia="zh-CN"/>
              </w:rPr>
              <w:t>响应</w:t>
            </w:r>
            <w:r>
              <w:rPr>
                <w:rFonts w:hint="eastAsia" w:ascii="宋体" w:hAnsi="宋体" w:eastAsia="宋体" w:cs="宋体"/>
                <w:b/>
                <w:bCs/>
                <w:szCs w:val="21"/>
              </w:rPr>
              <w:t>文件</w:t>
            </w:r>
            <w:r>
              <w:rPr>
                <w:rFonts w:hint="eastAsia" w:ascii="宋体" w:hAnsi="宋体" w:eastAsia="宋体" w:cs="宋体"/>
                <w:szCs w:val="21"/>
              </w:rPr>
              <w:t>），或逐页加盖单位公章，或由</w:t>
            </w:r>
            <w:r>
              <w:rPr>
                <w:rFonts w:hint="eastAsia" w:ascii="宋体" w:hAnsi="宋体" w:eastAsia="宋体" w:cs="Times New Roman"/>
                <w:szCs w:val="21"/>
              </w:rPr>
              <w:t>法定代表人/负责人</w:t>
            </w:r>
            <w:r>
              <w:rPr>
                <w:rFonts w:hint="eastAsia" w:ascii="宋体" w:hAnsi="宋体" w:eastAsia="宋体" w:cs="宋体"/>
                <w:szCs w:val="21"/>
              </w:rPr>
              <w:t>或其委托代理人逐页手签或盖人名章。</w:t>
            </w:r>
          </w:p>
        </w:tc>
      </w:tr>
      <w:tr w14:paraId="1838F68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35121DA4">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3.1</w:t>
            </w:r>
          </w:p>
        </w:tc>
        <w:tc>
          <w:tcPr>
            <w:tcW w:w="1666" w:type="dxa"/>
            <w:vAlign w:val="center"/>
          </w:tcPr>
          <w:p w14:paraId="09F1908E">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最高响应限价或者其计算方法</w:t>
            </w:r>
          </w:p>
        </w:tc>
        <w:tc>
          <w:tcPr>
            <w:tcW w:w="5795" w:type="dxa"/>
            <w:vAlign w:val="center"/>
          </w:tcPr>
          <w:p w14:paraId="28C0A94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□不设置最高响应限价</w:t>
            </w:r>
          </w:p>
          <w:p w14:paraId="4440CF30">
            <w:pPr>
              <w:autoSpaceDE w:val="0"/>
              <w:autoSpaceDN w:val="0"/>
              <w:rPr>
                <w:rFonts w:cs="宋体" w:asciiTheme="minorEastAsia" w:hAnsiTheme="minorEastAsia" w:eastAsiaTheme="minorEastAsia"/>
                <w:color w:val="auto"/>
                <w:szCs w:val="21"/>
                <w:highlight w:val="none"/>
                <w:u w:val="single"/>
              </w:rPr>
            </w:pPr>
            <w:r>
              <w:rPr>
                <w:rFonts w:hint="eastAsia" w:ascii="MS Gothic" w:hAnsi="MS Gothic" w:eastAsia="MS Gothic" w:cs="MS Gothic"/>
                <w:color w:val="auto"/>
                <w:szCs w:val="21"/>
                <w:highlight w:val="none"/>
              </w:rPr>
              <w:t>☑</w:t>
            </w:r>
            <w:r>
              <w:rPr>
                <w:rFonts w:hint="eastAsia" w:ascii="宋体" w:hAnsi="宋体" w:cs="宋体"/>
                <w:color w:val="auto"/>
                <w:szCs w:val="21"/>
                <w:highlight w:val="none"/>
              </w:rPr>
              <w:t>设置最高响应限价，最高响应限价详见</w:t>
            </w:r>
            <w:r>
              <w:rPr>
                <w:rFonts w:hint="eastAsia" w:asciiTheme="minorEastAsia" w:hAnsiTheme="minorEastAsia" w:eastAsiaTheme="minorEastAsia"/>
                <w:color w:val="auto"/>
                <w:szCs w:val="21"/>
                <w:highlight w:val="none"/>
              </w:rPr>
              <w:t>第一章 询比公告 “1.项目概况与采购内容”。</w:t>
            </w:r>
          </w:p>
        </w:tc>
      </w:tr>
      <w:tr w14:paraId="1CDBB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F71E8E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55D3D98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w:t>
            </w:r>
            <w:r>
              <w:rPr>
                <w:rFonts w:hint="eastAsia" w:asciiTheme="minorEastAsia" w:hAnsiTheme="minorEastAsia" w:eastAsiaTheme="minorEastAsia"/>
                <w:color w:val="auto"/>
                <w:highlight w:val="none"/>
              </w:rPr>
              <w:t>优惠条件</w:t>
            </w:r>
          </w:p>
        </w:tc>
        <w:tc>
          <w:tcPr>
            <w:tcW w:w="5795" w:type="dxa"/>
            <w:vAlign w:val="center"/>
          </w:tcPr>
          <w:p w14:paraId="57CED59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□报优惠价</w:t>
            </w:r>
          </w:p>
          <w:p w14:paraId="617EE3CA">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不接受报优惠价</w:t>
            </w:r>
          </w:p>
          <w:p w14:paraId="283A0E4E">
            <w:pPr>
              <w:autoSpaceDE w:val="0"/>
              <w:autoSpaceDN w:val="0"/>
              <w:rPr>
                <w:rFonts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rPr>
              <w:t>□报优惠价的其他方式：</w:t>
            </w:r>
            <w:r>
              <w:rPr>
                <w:rFonts w:hint="eastAsia" w:asciiTheme="minorEastAsia" w:hAnsiTheme="minorEastAsia" w:eastAsiaTheme="minorEastAsia"/>
                <w:color w:val="auto"/>
                <w:szCs w:val="21"/>
                <w:highlight w:val="none"/>
                <w:u w:val="single"/>
              </w:rPr>
              <w:t>【</w:t>
            </w:r>
            <w:r>
              <w:rPr>
                <w:rFonts w:hint="eastAsia" w:cs="宋体" w:asciiTheme="minorEastAsia" w:hAnsiTheme="minorEastAsia" w:eastAsiaTheme="minorEastAsia"/>
                <w:color w:val="auto"/>
                <w:szCs w:val="21"/>
                <w:highlight w:val="none"/>
                <w:u w:val="single"/>
              </w:rPr>
              <w:t>具体方式</w:t>
            </w:r>
            <w:r>
              <w:rPr>
                <w:rFonts w:hint="eastAsia" w:asciiTheme="minorEastAsia" w:hAnsiTheme="minorEastAsia" w:eastAsiaTheme="minorEastAsia"/>
                <w:color w:val="auto"/>
                <w:szCs w:val="21"/>
                <w:highlight w:val="none"/>
                <w:u w:val="single"/>
              </w:rPr>
              <w:t>】</w:t>
            </w:r>
          </w:p>
        </w:tc>
      </w:tr>
      <w:tr w14:paraId="5B185F7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3FA73B1">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3BE74C8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响应报价具体要求</w:t>
            </w:r>
          </w:p>
        </w:tc>
        <w:tc>
          <w:tcPr>
            <w:tcW w:w="5795" w:type="dxa"/>
            <w:vAlign w:val="center"/>
          </w:tcPr>
          <w:p w14:paraId="7FCC7F3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377002B">
            <w:pPr>
              <w:autoSpaceDE w:val="0"/>
              <w:autoSpaceDN w:val="0"/>
              <w:rPr>
                <w:rFonts w:ascii="宋体" w:hAnsi="宋体" w:cs="宋体"/>
                <w:color w:val="auto"/>
                <w:szCs w:val="21"/>
                <w:highlight w:val="none"/>
              </w:rPr>
            </w:pPr>
            <w:r>
              <w:rPr>
                <w:rFonts w:hint="eastAsia" w:ascii="宋体" w:hAnsi="宋体" w:cs="宋体"/>
                <w:color w:val="auto"/>
                <w:szCs w:val="21"/>
                <w:highlight w:val="none"/>
              </w:rPr>
              <w:t>（1）供应商按询比文件要求的内容提供报价一览表，详见第六章响应文件格式。</w:t>
            </w:r>
          </w:p>
          <w:p w14:paraId="5CFBE285">
            <w:pPr>
              <w:autoSpaceDE w:val="0"/>
              <w:autoSpaceDN w:val="0"/>
              <w:rPr>
                <w:rFonts w:ascii="宋体" w:hAnsi="宋体" w:cs="宋体"/>
                <w:color w:val="auto"/>
                <w:szCs w:val="21"/>
                <w:highlight w:val="none"/>
              </w:rPr>
            </w:pPr>
            <w:r>
              <w:rPr>
                <w:rFonts w:hint="eastAsia" w:ascii="宋体" w:hAnsi="宋体" w:cs="宋体"/>
                <w:color w:val="auto"/>
                <w:szCs w:val="21"/>
                <w:highlight w:val="none"/>
              </w:rPr>
              <w:t>（2）响应货币：人民币。</w:t>
            </w:r>
          </w:p>
          <w:p w14:paraId="5450F5F8">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（3）响应语言：简体中文。</w:t>
            </w:r>
          </w:p>
        </w:tc>
      </w:tr>
      <w:tr w14:paraId="0A3135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574B88F">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3.4.1</w:t>
            </w:r>
          </w:p>
        </w:tc>
        <w:tc>
          <w:tcPr>
            <w:tcW w:w="1666" w:type="dxa"/>
            <w:vAlign w:val="center"/>
          </w:tcPr>
          <w:p w14:paraId="262BAE3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p>
        </w:tc>
        <w:tc>
          <w:tcPr>
            <w:tcW w:w="5795" w:type="dxa"/>
            <w:vAlign w:val="center"/>
          </w:tcPr>
          <w:p w14:paraId="60512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r>
              <w:rPr>
                <w:rFonts w:hint="eastAsia" w:asciiTheme="minorEastAsia" w:hAnsiTheme="minorEastAsia" w:eastAsiaTheme="minorEastAsia"/>
                <w:color w:val="auto"/>
                <w:szCs w:val="21"/>
                <w:highlight w:val="none"/>
              </w:rPr>
              <w:t>120</w:t>
            </w:r>
            <w:r>
              <w:rPr>
                <w:rFonts w:hint="eastAsia" w:cs="宋体" w:asciiTheme="minorEastAsia" w:hAnsiTheme="minorEastAsia" w:eastAsiaTheme="minorEastAsia"/>
                <w:color w:val="auto"/>
                <w:szCs w:val="21"/>
                <w:highlight w:val="none"/>
              </w:rPr>
              <w:t>天</w:t>
            </w:r>
          </w:p>
        </w:tc>
      </w:tr>
      <w:tr w14:paraId="6C271F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5188D3B">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3.4.2</w:t>
            </w:r>
          </w:p>
        </w:tc>
        <w:tc>
          <w:tcPr>
            <w:tcW w:w="1666" w:type="dxa"/>
            <w:vAlign w:val="center"/>
          </w:tcPr>
          <w:p w14:paraId="11DBD22A">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响应保证金递交要求和金额</w:t>
            </w:r>
          </w:p>
        </w:tc>
        <w:tc>
          <w:tcPr>
            <w:tcW w:w="5795" w:type="dxa"/>
            <w:vAlign w:val="center"/>
          </w:tcPr>
          <w:p w14:paraId="476F90A0">
            <w:pPr>
              <w:autoSpaceDE w:val="0"/>
              <w:autoSpaceDN w:val="0"/>
              <w:jc w:val="left"/>
              <w:rPr>
                <w:rFonts w:hint="eastAsia" w:cs="宋体" w:asciiTheme="minorEastAsia" w:hAnsiTheme="minorEastAsia" w:eastAsiaTheme="minorEastAsia"/>
                <w:szCs w:val="21"/>
                <w:lang w:val="en-US" w:eastAsia="zh-CN"/>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要求提交响应保证金，响应保证金金额：</w:t>
            </w:r>
            <w:r>
              <w:rPr>
                <w:rFonts w:hint="eastAsia" w:cs="宋体" w:asciiTheme="minorEastAsia" w:hAnsiTheme="minorEastAsia" w:eastAsiaTheme="minorEastAsia"/>
                <w:szCs w:val="21"/>
                <w:lang w:val="en-US" w:eastAsia="zh-CN"/>
              </w:rPr>
              <w:t>/</w:t>
            </w:r>
          </w:p>
          <w:p w14:paraId="65772809">
            <w:pPr>
              <w:autoSpaceDE w:val="0"/>
              <w:autoSpaceDN w:val="0"/>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无需提交响应保证金</w:t>
            </w:r>
          </w:p>
        </w:tc>
      </w:tr>
      <w:tr w14:paraId="52D18D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0EBB6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3.4.3</w:t>
            </w:r>
          </w:p>
        </w:tc>
        <w:tc>
          <w:tcPr>
            <w:tcW w:w="1666" w:type="dxa"/>
            <w:vAlign w:val="center"/>
          </w:tcPr>
          <w:p w14:paraId="19F2A1E3">
            <w:pPr>
              <w:autoSpaceDE w:val="0"/>
              <w:autoSpaceDN w:val="0"/>
              <w:jc w:val="left"/>
              <w:rPr>
                <w:rFonts w:hint="eastAsia" w:cs="宋体" w:asciiTheme="minorEastAsia" w:hAnsiTheme="minorEastAsia" w:eastAsiaTheme="minorEastAsia"/>
                <w:b/>
                <w:bCs/>
                <w:strike w:val="0"/>
                <w:szCs w:val="21"/>
              </w:rPr>
            </w:pPr>
            <w:r>
              <w:rPr>
                <w:rFonts w:hint="eastAsia" w:cs="宋体" w:asciiTheme="minorEastAsia" w:hAnsiTheme="minorEastAsia" w:eastAsiaTheme="minorEastAsia"/>
                <w:b/>
                <w:bCs/>
                <w:strike w:val="0"/>
                <w:szCs w:val="21"/>
              </w:rPr>
              <w:t>采购代理服务费金额</w:t>
            </w:r>
          </w:p>
        </w:tc>
        <w:tc>
          <w:tcPr>
            <w:tcW w:w="5795" w:type="dxa"/>
            <w:vAlign w:val="center"/>
          </w:tcPr>
          <w:p w14:paraId="1CEF8E61">
            <w:pPr>
              <w:autoSpaceDE w:val="0"/>
              <w:autoSpaceDN w:val="0"/>
              <w:jc w:val="left"/>
              <w:rPr>
                <w:rFonts w:hint="default" w:cs="宋体" w:asciiTheme="minorEastAsia" w:hAnsiTheme="minorEastAsia" w:eastAsiaTheme="minorEastAsia"/>
                <w:b/>
                <w:bCs/>
                <w:strike w:val="0"/>
                <w:szCs w:val="21"/>
                <w:lang w:val="en-US" w:eastAsia="zh-CN"/>
              </w:rPr>
            </w:pPr>
            <w:r>
              <w:rPr>
                <w:rFonts w:hint="eastAsia" w:cs="宋体" w:asciiTheme="minorEastAsia" w:hAnsiTheme="minorEastAsia" w:eastAsiaTheme="minorEastAsia"/>
                <w:b/>
                <w:bCs/>
                <w:strike w:val="0"/>
                <w:szCs w:val="21"/>
                <w:lang w:val="en-US" w:eastAsia="zh-CN"/>
              </w:rPr>
              <w:t>/</w:t>
            </w:r>
          </w:p>
        </w:tc>
      </w:tr>
      <w:tr w14:paraId="1D5C01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081992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5.1</w:t>
            </w:r>
          </w:p>
        </w:tc>
        <w:tc>
          <w:tcPr>
            <w:tcW w:w="1666" w:type="dxa"/>
            <w:vAlign w:val="center"/>
          </w:tcPr>
          <w:p w14:paraId="4272927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备选响应方案</w:t>
            </w:r>
          </w:p>
        </w:tc>
        <w:tc>
          <w:tcPr>
            <w:tcW w:w="5795" w:type="dxa"/>
            <w:vAlign w:val="center"/>
          </w:tcPr>
          <w:p w14:paraId="09D919B8">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不允许</w:t>
            </w:r>
          </w:p>
          <w:p w14:paraId="59A3218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□允许</w:t>
            </w:r>
          </w:p>
        </w:tc>
      </w:tr>
      <w:tr w14:paraId="2BFB94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517EDB7">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5.2</w:t>
            </w:r>
          </w:p>
        </w:tc>
        <w:tc>
          <w:tcPr>
            <w:tcW w:w="1666" w:type="dxa"/>
            <w:vAlign w:val="center"/>
          </w:tcPr>
          <w:p w14:paraId="20FEFDB2">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文件份数</w:t>
            </w:r>
          </w:p>
        </w:tc>
        <w:tc>
          <w:tcPr>
            <w:tcW w:w="5795" w:type="dxa"/>
            <w:vAlign w:val="center"/>
          </w:tcPr>
          <w:p w14:paraId="3745B9D5">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正本一份，电子版1份（电子版应为U盘存储）。</w:t>
            </w:r>
          </w:p>
        </w:tc>
      </w:tr>
      <w:tr w14:paraId="0A5213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43D52AF">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5.3</w:t>
            </w:r>
          </w:p>
        </w:tc>
        <w:tc>
          <w:tcPr>
            <w:tcW w:w="1666" w:type="dxa"/>
            <w:vAlign w:val="center"/>
          </w:tcPr>
          <w:p w14:paraId="3568E200">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文件的外层包封</w:t>
            </w:r>
          </w:p>
        </w:tc>
        <w:tc>
          <w:tcPr>
            <w:tcW w:w="5795" w:type="dxa"/>
            <w:vAlign w:val="center"/>
          </w:tcPr>
          <w:p w14:paraId="29283BB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本条款增加以下规定：</w:t>
            </w:r>
          </w:p>
          <w:p w14:paraId="386C4E5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在外层包封上应写明参选人的名称与地址、邮政编码，以便参选出现逾期送达时能原封退回。具体样式如下：</w:t>
            </w:r>
          </w:p>
          <w:p w14:paraId="0C13892E">
            <w:pPr>
              <w:autoSpaceDE w:val="0"/>
              <w:autoSpaceDN w:val="0"/>
              <w:rPr>
                <w:rFonts w:hint="eastAsia" w:ascii="宋体" w:hAnsi="宋体" w:cs="宋体"/>
                <w:szCs w:val="21"/>
              </w:rPr>
            </w:pPr>
            <w:r>
              <mc:AlternateContent>
                <mc:Choice Requires="wps">
                  <w:drawing>
                    <wp:anchor distT="0" distB="0" distL="0" distR="0" simplePos="0" relativeHeight="251666432" behindDoc="0" locked="0" layoutInCell="1" allowOverlap="1">
                      <wp:simplePos x="0" y="0"/>
                      <wp:positionH relativeFrom="column">
                        <wp:posOffset>95885</wp:posOffset>
                      </wp:positionH>
                      <wp:positionV relativeFrom="paragraph">
                        <wp:posOffset>59690</wp:posOffset>
                      </wp:positionV>
                      <wp:extent cx="3268345" cy="2453005"/>
                      <wp:effectExtent l="4445" t="4445" r="22860" b="19050"/>
                      <wp:wrapNone/>
                      <wp:docPr id="1" name="文本框 5"/>
                      <wp:cNvGraphicFramePr/>
                      <a:graphic xmlns:a="http://schemas.openxmlformats.org/drawingml/2006/main">
                        <a:graphicData uri="http://schemas.microsoft.com/office/word/2010/wordprocessingShape">
                          <wps:wsp>
                            <wps:cNvSpPr/>
                            <wps:spPr>
                              <a:xfrm>
                                <a:off x="0" y="0"/>
                                <a:ext cx="3268345" cy="24530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wps:txbx>
                            <wps:bodyPr upright="1"/>
                          </wps:wsp>
                        </a:graphicData>
                      </a:graphic>
                    </wp:anchor>
                  </w:drawing>
                </mc:Choice>
                <mc:Fallback>
                  <w:pict>
                    <v:rect id="文本框 5" o:spid="_x0000_s1026" o:spt="1" style="position:absolute;left:0pt;margin-left:7.55pt;margin-top:4.7pt;height:193.15pt;width:257.35pt;z-index:251666432;mso-width-relative:page;mso-height-relative:page;" fillcolor="#FFFFFF" filled="t" stroked="t" coordsize="21600,21600" o:gfxdata="UEsDBAoAAAAAAIdO4kAAAAAAAAAAAAAAAAAEAAAAZHJzL1BLAwQUAAAACACHTuJACh8Q1tYAAAAI&#10;AQAADwAAAGRycy9kb3ducmV2LnhtbE2PQU+DQBSE7yb+h80z8WYXqGhBlh40NfHY0ou3B/sKKLtL&#10;2KVFf73Pkx4nM5n5ptguZhBnmnzvrIJ4FYEg2zjd21bBsdrdbUD4gFbj4Cwp+CIP2/L6qsBcu4vd&#10;0/kQWsEl1ueooAthzKX0TUcG/cqNZNk7uclgYDm1Uk944XIzyCSKHqTB3vJChyM9d9R8HmajoO6T&#10;I37vq9fIZLt1eFuqj/n9Ranbmzh6AhFoCX9h+MVndCiZqXaz1V4MrNOYkwqyexBsp0nGT2oF6yx9&#10;BFkW8v+B8gdQSwMEFAAAAAgAh07iQLbwiqgIAgAALQQAAA4AAABkcnMvZTJvRG9jLnhtbK1TS5LT&#10;MBDdU8UdVNoTO8lkanDFmQUhbCiYqhkO0JFkW1X6laTEzgXgBqzYsOdcOQctOWQ+sMgCL+yW1Xr9&#10;3uvW8nbQiuyFD9Kamk4nJSXCMMulaWv65WHz5oaSEMFwUNaImh5EoLer16+WvavEzHZWceEJgphQ&#10;9a6mXYyuKorAOqEhTKwTBjcb6zVEXPq24B56RNeqmJXlddFbz523TISAf9fjJj0h+ksAbdNIJtaW&#10;7bQwcUT1QkFESaGTLtBVZts0gsXPTRNEJKqmqDTmNxbBeJvexWoJVevBdZKdKMAlFF5o0iANFj1D&#10;rSEC2Xn5F5SWzNtgmzhhVhejkOwIqpiWL7y578CJrAWtDu5sevh/sOzT/s4TyXESKDGgseHH79+O&#10;P34df34li2RP70KFWffuzp9WAcOkdWi8Tl9UQYZs6eFsqRgiYfhzPru+mV8tKGG4N7tazMsyoxaP&#10;x50P8YOwmqSgph57lq2E/ccQsSSm/klJ1YJVkm+kUnnh2+075ckesL+b/CTOeORZmjKkr+nbxSwR&#10;ARzaBocFQ+1QeDBtrvfsRHgKXObnX8CJ2BpCNxLICCkNKi2jSH5B1Qng7w0n8eDQXIN3iiYyWnBK&#10;lMArmKKcGUGqSzJRnTIoMnVm7EWK4rAdECaFW8sP2NWd87Lt0NJppp52cIqyO6eJT2P6dJ1BH2/5&#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HxDW1gAAAAgBAAAPAAAAAAAAAAEAIAAAACIAAABk&#10;cnMvZG93bnJldi54bWxQSwECFAAUAAAACACHTuJAtvCKqAgCAAAtBAAADgAAAAAAAAABACAAAAAl&#10;AQAAZHJzL2Uyb0RvYy54bWxQSwUGAAAAAAYABgBZAQAAnwUAAAAA&#10;">
                      <v:fill on="t" focussize="0,0"/>
                      <v:stroke color="#000000" joinstyle="miter"/>
                      <v:imagedata o:title=""/>
                      <o:lock v:ext="edit" aspectratio="f"/>
                      <v:textbo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v:textbox>
                    </v:rect>
                  </w:pict>
                </mc:Fallback>
              </mc:AlternateContent>
            </w:r>
          </w:p>
          <w:p w14:paraId="66DC1CEE">
            <w:pPr>
              <w:autoSpaceDE w:val="0"/>
              <w:autoSpaceDN w:val="0"/>
              <w:rPr>
                <w:rFonts w:hint="eastAsia" w:ascii="宋体" w:hAnsi="宋体" w:cs="宋体"/>
                <w:szCs w:val="21"/>
              </w:rPr>
            </w:pPr>
          </w:p>
          <w:p w14:paraId="2C391CF4">
            <w:pPr>
              <w:autoSpaceDE w:val="0"/>
              <w:autoSpaceDN w:val="0"/>
              <w:rPr>
                <w:rFonts w:hint="eastAsia" w:ascii="宋体" w:hAnsi="宋体" w:cs="宋体"/>
                <w:szCs w:val="21"/>
              </w:rPr>
            </w:pPr>
          </w:p>
          <w:p w14:paraId="17FA5F5C">
            <w:pPr>
              <w:autoSpaceDE w:val="0"/>
              <w:autoSpaceDN w:val="0"/>
              <w:rPr>
                <w:rFonts w:hint="eastAsia" w:ascii="宋体" w:hAnsi="宋体" w:cs="宋体"/>
                <w:szCs w:val="21"/>
              </w:rPr>
            </w:pPr>
          </w:p>
          <w:p w14:paraId="51F22127">
            <w:pPr>
              <w:autoSpaceDE w:val="0"/>
              <w:autoSpaceDN w:val="0"/>
              <w:rPr>
                <w:rFonts w:hint="eastAsia" w:ascii="宋体" w:hAnsi="宋体" w:cs="宋体"/>
                <w:szCs w:val="21"/>
              </w:rPr>
            </w:pPr>
          </w:p>
          <w:p w14:paraId="33325B13">
            <w:pPr>
              <w:autoSpaceDE w:val="0"/>
              <w:autoSpaceDN w:val="0"/>
              <w:rPr>
                <w:rFonts w:hint="eastAsia" w:ascii="宋体" w:hAnsi="宋体" w:cs="宋体"/>
                <w:szCs w:val="21"/>
              </w:rPr>
            </w:pPr>
          </w:p>
          <w:p w14:paraId="33EB5985">
            <w:pPr>
              <w:autoSpaceDE w:val="0"/>
              <w:autoSpaceDN w:val="0"/>
              <w:rPr>
                <w:rFonts w:hint="eastAsia" w:ascii="宋体" w:hAnsi="宋体" w:cs="宋体"/>
                <w:szCs w:val="21"/>
              </w:rPr>
            </w:pPr>
          </w:p>
          <w:p w14:paraId="059DE0D1">
            <w:pPr>
              <w:autoSpaceDE w:val="0"/>
              <w:autoSpaceDN w:val="0"/>
              <w:rPr>
                <w:rFonts w:hint="eastAsia" w:ascii="宋体" w:hAnsi="宋体" w:cs="宋体"/>
                <w:szCs w:val="21"/>
              </w:rPr>
            </w:pPr>
          </w:p>
          <w:p w14:paraId="4F3A7517">
            <w:pPr>
              <w:autoSpaceDE w:val="0"/>
              <w:autoSpaceDN w:val="0"/>
              <w:rPr>
                <w:rFonts w:hint="eastAsia" w:ascii="宋体" w:hAnsi="宋体" w:cs="宋体"/>
                <w:szCs w:val="21"/>
              </w:rPr>
            </w:pPr>
          </w:p>
          <w:p w14:paraId="212D0647">
            <w:pPr>
              <w:autoSpaceDE w:val="0"/>
              <w:autoSpaceDN w:val="0"/>
              <w:rPr>
                <w:rFonts w:hint="eastAsia" w:ascii="宋体" w:hAnsi="宋体" w:cs="宋体"/>
                <w:szCs w:val="21"/>
              </w:rPr>
            </w:pPr>
          </w:p>
          <w:p w14:paraId="731815A9">
            <w:pPr>
              <w:autoSpaceDE w:val="0"/>
              <w:autoSpaceDN w:val="0"/>
              <w:rPr>
                <w:rFonts w:hint="eastAsia" w:ascii="宋体" w:hAnsi="宋体" w:cs="宋体"/>
                <w:szCs w:val="21"/>
              </w:rPr>
            </w:pPr>
          </w:p>
          <w:p w14:paraId="5F2B0327">
            <w:pPr>
              <w:autoSpaceDE w:val="0"/>
              <w:autoSpaceDN w:val="0"/>
              <w:rPr>
                <w:rFonts w:hint="eastAsia" w:ascii="宋体" w:hAnsi="宋体" w:cs="宋体"/>
                <w:szCs w:val="21"/>
              </w:rPr>
            </w:pPr>
          </w:p>
          <w:p w14:paraId="7764146E">
            <w:pPr>
              <w:autoSpaceDE w:val="0"/>
              <w:autoSpaceDN w:val="0"/>
              <w:rPr>
                <w:rFonts w:hint="eastAsia" w:cs="宋体" w:asciiTheme="minorEastAsia" w:hAnsiTheme="minorEastAsia" w:eastAsiaTheme="minorEastAsia"/>
                <w:color w:val="auto"/>
                <w:szCs w:val="21"/>
                <w:highlight w:val="none"/>
              </w:rPr>
            </w:pPr>
          </w:p>
        </w:tc>
      </w:tr>
      <w:tr w14:paraId="43EB86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73BE2355">
            <w:pPr>
              <w:autoSpaceDE w:val="0"/>
              <w:autoSpaceDN w:val="0"/>
              <w:jc w:val="center"/>
              <w:rPr>
                <w:rFonts w:hint="default" w:cs="宋体" w:asciiTheme="minorEastAsia" w:hAnsiTheme="minorEastAsia" w:eastAsiaTheme="minorEastAsia"/>
                <w:color w:val="auto"/>
                <w:szCs w:val="21"/>
                <w:highlight w:val="none"/>
                <w:lang w:val="en-US"/>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5.4</w:t>
            </w:r>
          </w:p>
        </w:tc>
        <w:tc>
          <w:tcPr>
            <w:tcW w:w="1666" w:type="dxa"/>
            <w:vAlign w:val="center"/>
          </w:tcPr>
          <w:p w14:paraId="18166E77">
            <w:pPr>
              <w:autoSpaceDE w:val="0"/>
              <w:autoSpaceDN w:val="0"/>
              <w:jc w:val="left"/>
              <w:rPr>
                <w:rFonts w:hint="eastAsia" w:cs="宋体" w:asciiTheme="minorEastAsia" w:hAnsiTheme="minorEastAsia" w:eastAsiaTheme="minorEastAsia"/>
                <w:szCs w:val="21"/>
              </w:rPr>
            </w:pPr>
            <w:r>
              <w:rPr>
                <w:rFonts w:hint="eastAsia" w:ascii="宋体" w:hAnsi="宋体" w:cs="宋体"/>
                <w:szCs w:val="21"/>
                <w:lang w:val="en-US" w:eastAsia="zh-CN"/>
              </w:rPr>
              <w:t>响应</w:t>
            </w:r>
            <w:r>
              <w:rPr>
                <w:rFonts w:hint="eastAsia" w:cs="宋体" w:asciiTheme="minorEastAsia" w:hAnsiTheme="minorEastAsia" w:eastAsiaTheme="minorEastAsia"/>
                <w:szCs w:val="21"/>
              </w:rPr>
              <w:t>文件的密封和标记要求</w:t>
            </w:r>
          </w:p>
        </w:tc>
        <w:tc>
          <w:tcPr>
            <w:tcW w:w="5795" w:type="dxa"/>
            <w:vAlign w:val="center"/>
          </w:tcPr>
          <w:p w14:paraId="26ADB42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本条款增加如下规定：</w:t>
            </w:r>
          </w:p>
          <w:p w14:paraId="0CEB1BC5">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（1）所有纸质文件采用A4纸胶装、平装。所有纸质</w:t>
            </w:r>
            <w:r>
              <w:rPr>
                <w:rFonts w:hint="eastAsia" w:ascii="宋体" w:hAnsi="宋体" w:cs="宋体"/>
                <w:szCs w:val="21"/>
                <w:lang w:val="en-US" w:eastAsia="zh-CN"/>
              </w:rPr>
              <w:t>响应</w:t>
            </w:r>
            <w:r>
              <w:rPr>
                <w:rFonts w:hint="eastAsia" w:cs="宋体" w:asciiTheme="minorEastAsia" w:hAnsiTheme="minorEastAsia" w:eastAsiaTheme="minorEastAsia"/>
                <w:szCs w:val="21"/>
              </w:rPr>
              <w:t>文件（除报价文件外）应增加统一外层包封。</w:t>
            </w:r>
          </w:p>
          <w:p w14:paraId="70BD3BDA">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（2）报价文件（单独封装）：封装于独立的信封内，信封上标明“报价文件”字样，并在封口处加盖单位公章或专用章的骑缝章。</w:t>
            </w:r>
          </w:p>
          <w:p w14:paraId="59E2E2E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（3）电子参选文件须存储在USB移动存储介质中，单独密封包装，并于包装上清楚地标记“电子参选文件”字样。</w:t>
            </w:r>
          </w:p>
        </w:tc>
      </w:tr>
      <w:tr w14:paraId="33591B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2B56137">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.1</w:t>
            </w:r>
          </w:p>
        </w:tc>
        <w:tc>
          <w:tcPr>
            <w:tcW w:w="1666" w:type="dxa"/>
            <w:vAlign w:val="center"/>
          </w:tcPr>
          <w:p w14:paraId="76C610FA">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响应文件提交截止时间</w:t>
            </w:r>
          </w:p>
        </w:tc>
        <w:tc>
          <w:tcPr>
            <w:tcW w:w="5795" w:type="dxa"/>
            <w:vAlign w:val="center"/>
          </w:tcPr>
          <w:p w14:paraId="02C3FB47">
            <w:pPr>
              <w:autoSpaceDE w:val="0"/>
              <w:autoSpaceDN w:val="0"/>
              <w:rPr>
                <w:rFonts w:cs="宋体" w:asciiTheme="minorEastAsia" w:hAnsiTheme="minorEastAsia" w:eastAsiaTheme="minorEastAsia"/>
                <w:color w:val="auto"/>
                <w:szCs w:val="21"/>
                <w:highlight w:val="none"/>
              </w:rPr>
            </w:pPr>
            <w:r>
              <w:rPr>
                <w:rFonts w:hint="eastAsia" w:ascii="宋体" w:hAnsi="宋体"/>
                <w:color w:val="auto"/>
                <w:szCs w:val="21"/>
                <w:highlight w:val="none"/>
                <w:u w:val="single"/>
              </w:rPr>
              <w:t>详见询比公告</w:t>
            </w:r>
          </w:p>
        </w:tc>
      </w:tr>
      <w:tr w14:paraId="40B7D0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DB5964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.2</w:t>
            </w:r>
          </w:p>
        </w:tc>
        <w:tc>
          <w:tcPr>
            <w:tcW w:w="1666" w:type="dxa"/>
            <w:vAlign w:val="center"/>
          </w:tcPr>
          <w:p w14:paraId="6BE66A5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响应文件提交地点</w:t>
            </w:r>
          </w:p>
        </w:tc>
        <w:tc>
          <w:tcPr>
            <w:tcW w:w="5795" w:type="dxa"/>
            <w:vAlign w:val="center"/>
          </w:tcPr>
          <w:p w14:paraId="7F3A93B3">
            <w:pPr>
              <w:autoSpaceDE w:val="0"/>
              <w:autoSpaceDN w:val="0"/>
              <w:rPr>
                <w:rFonts w:hint="default" w:cs="宋体"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详见询比公告</w:t>
            </w:r>
          </w:p>
        </w:tc>
      </w:tr>
      <w:tr w14:paraId="57F4CC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1273E5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0B61E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响应文件退还</w:t>
            </w:r>
          </w:p>
        </w:tc>
        <w:tc>
          <w:tcPr>
            <w:tcW w:w="5795" w:type="dxa"/>
            <w:vAlign w:val="center"/>
          </w:tcPr>
          <w:p w14:paraId="10903C1C">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不退还</w:t>
            </w:r>
          </w:p>
          <w:p w14:paraId="4F72CBE3">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□退还，</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响应文件退还的具体要求</w:t>
            </w:r>
            <w:r>
              <w:rPr>
                <w:rFonts w:hint="eastAsia" w:asciiTheme="minorEastAsia" w:hAnsiTheme="minorEastAsia" w:eastAsiaTheme="minorEastAsia"/>
                <w:color w:val="auto"/>
                <w:szCs w:val="21"/>
                <w:highlight w:val="none"/>
              </w:rPr>
              <w:t>】</w:t>
            </w:r>
          </w:p>
        </w:tc>
      </w:tr>
      <w:tr w14:paraId="364D5F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7D633B5">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496C19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提交响应文件的供应商不足三家的处理原则</w:t>
            </w:r>
          </w:p>
        </w:tc>
        <w:tc>
          <w:tcPr>
            <w:tcW w:w="5795" w:type="dxa"/>
            <w:vAlign w:val="center"/>
          </w:tcPr>
          <w:p w14:paraId="264E6D28">
            <w:pPr>
              <w:autoSpaceDE w:val="0"/>
              <w:autoSpaceDN w:val="0"/>
              <w:rPr>
                <w:rFonts w:cs="宋体" w:asciiTheme="minorEastAsia" w:hAnsiTheme="minorEastAsia"/>
                <w:color w:val="auto"/>
                <w:szCs w:val="21"/>
                <w:highlight w:val="none"/>
              </w:rPr>
            </w:pPr>
            <w:r>
              <w:rPr>
                <w:rFonts w:hint="eastAsia" w:cs="宋体" w:asciiTheme="minorEastAsia" w:hAnsiTheme="minorEastAsia"/>
                <w:color w:val="auto"/>
                <w:szCs w:val="21"/>
                <w:highlight w:val="none"/>
              </w:rPr>
              <w:t>第一次递交响应文件不足三家，不得唱价，重新询比。</w:t>
            </w:r>
          </w:p>
          <w:p w14:paraId="143229A9">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color w:val="auto"/>
                <w:szCs w:val="21"/>
                <w:highlight w:val="none"/>
              </w:rPr>
              <w:t>重新询比后，递交响应文件不足三家，采购人可对2家可以继续评审、1家可以转为直接采购，或重新组织询比。</w:t>
            </w:r>
          </w:p>
        </w:tc>
      </w:tr>
      <w:tr w14:paraId="3052BC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D36C33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3.7</w:t>
            </w:r>
          </w:p>
        </w:tc>
        <w:tc>
          <w:tcPr>
            <w:tcW w:w="1666" w:type="dxa"/>
            <w:vAlign w:val="center"/>
          </w:tcPr>
          <w:p w14:paraId="540184B1">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询比响应文件提交异常的处理方式</w:t>
            </w:r>
          </w:p>
        </w:tc>
        <w:tc>
          <w:tcPr>
            <w:tcW w:w="5795" w:type="dxa"/>
            <w:vAlign w:val="center"/>
          </w:tcPr>
          <w:p w14:paraId="09D4915E">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纸质</w:t>
            </w:r>
            <w:r>
              <w:rPr>
                <w:rFonts w:hint="eastAsia" w:eastAsia="宋体" w:cs="宋体" w:asciiTheme="minorEastAsia" w:hAnsiTheme="minorEastAsia"/>
                <w:color w:val="auto"/>
                <w:szCs w:val="21"/>
                <w:highlight w:val="none"/>
                <w:lang w:val="en-US" w:eastAsia="zh-CN"/>
              </w:rPr>
              <w:t>响应</w:t>
            </w:r>
            <w:r>
              <w:rPr>
                <w:rFonts w:hint="eastAsia" w:eastAsia="宋体" w:cs="宋体" w:asciiTheme="minorEastAsia" w:hAnsiTheme="minorEastAsia"/>
                <w:color w:val="auto"/>
                <w:szCs w:val="21"/>
                <w:highlight w:val="none"/>
              </w:rPr>
              <w:t>文件逾期送达或者未送达指定地点的；</w:t>
            </w:r>
          </w:p>
          <w:p w14:paraId="4EF18927">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未按照</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文件要求密封的；</w:t>
            </w:r>
          </w:p>
          <w:p w14:paraId="4999D8B3">
            <w:pPr>
              <w:autoSpaceDE w:val="0"/>
              <w:autoSpaceDN w:val="0"/>
              <w:rPr>
                <w:rFonts w:hint="eastAsia" w:eastAsia="宋体" w:asciiTheme="minorEastAsia" w:hAnsiTheme="minorEastAsia"/>
                <w:color w:val="auto"/>
                <w:szCs w:val="21"/>
                <w:highlight w:val="none"/>
                <w:lang w:eastAsia="zh-CN"/>
              </w:rPr>
            </w:pPr>
            <w:r>
              <w:rPr>
                <w:rFonts w:hint="eastAsia" w:eastAsia="宋体" w:cs="宋体" w:asciiTheme="minorEastAsia" w:hAnsiTheme="minorEastAsia"/>
                <w:color w:val="auto"/>
                <w:szCs w:val="21"/>
                <w:highlight w:val="none"/>
              </w:rPr>
              <w:t>未按照本公告要求获得本项目</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文件的</w:t>
            </w:r>
            <w:r>
              <w:rPr>
                <w:rFonts w:hint="eastAsia" w:eastAsia="宋体" w:cs="宋体" w:asciiTheme="minorEastAsia" w:hAnsiTheme="minorEastAsia"/>
                <w:color w:val="auto"/>
                <w:szCs w:val="21"/>
                <w:highlight w:val="none"/>
                <w:lang w:eastAsia="zh-CN"/>
              </w:rPr>
              <w:t>。</w:t>
            </w:r>
          </w:p>
        </w:tc>
      </w:tr>
      <w:tr w14:paraId="7E9B40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93" w:hRule="atLeast"/>
        </w:trPr>
        <w:tc>
          <w:tcPr>
            <w:tcW w:w="840" w:type="dxa"/>
            <w:vAlign w:val="center"/>
          </w:tcPr>
          <w:p w14:paraId="643FE38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3.8</w:t>
            </w:r>
          </w:p>
        </w:tc>
        <w:tc>
          <w:tcPr>
            <w:tcW w:w="1666" w:type="dxa"/>
            <w:vAlign w:val="center"/>
          </w:tcPr>
          <w:p w14:paraId="6B17A0E9">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已提交的响应文件的修改或者撤回</w:t>
            </w:r>
          </w:p>
        </w:tc>
        <w:tc>
          <w:tcPr>
            <w:tcW w:w="5795" w:type="dxa"/>
            <w:vAlign w:val="center"/>
          </w:tcPr>
          <w:p w14:paraId="465D5B1C">
            <w:pPr>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供应商可以撤回响应文件，供应商可</w:t>
            </w:r>
            <w:r>
              <w:rPr>
                <w:rFonts w:hint="eastAsia" w:asciiTheme="minorEastAsia" w:hAnsiTheme="minorEastAsia" w:eastAsiaTheme="minorEastAsia"/>
                <w:color w:val="auto"/>
                <w:szCs w:val="21"/>
                <w:highlight w:val="none"/>
                <w:lang w:val="en-US" w:eastAsia="zh-CN"/>
              </w:rPr>
              <w:t>在响应截止时间前</w:t>
            </w:r>
            <w:r>
              <w:rPr>
                <w:rFonts w:hint="eastAsia" w:asciiTheme="minorEastAsia" w:hAnsiTheme="minorEastAsia" w:eastAsiaTheme="minorEastAsia"/>
                <w:color w:val="auto"/>
                <w:szCs w:val="21"/>
                <w:highlight w:val="none"/>
              </w:rPr>
              <w:t>重新</w:t>
            </w:r>
            <w:r>
              <w:rPr>
                <w:rFonts w:hint="eastAsia" w:asciiTheme="minorEastAsia" w:hAnsiTheme="minorEastAsia" w:eastAsiaTheme="minorEastAsia"/>
                <w:color w:val="auto"/>
                <w:szCs w:val="21"/>
                <w:highlight w:val="none"/>
                <w:lang w:val="en-US" w:eastAsia="zh-CN"/>
              </w:rPr>
              <w:t>提交</w:t>
            </w:r>
            <w:r>
              <w:rPr>
                <w:rFonts w:hint="eastAsia" w:asciiTheme="minorEastAsia" w:hAnsiTheme="minorEastAsia" w:eastAsiaTheme="minorEastAsia"/>
                <w:color w:val="auto"/>
                <w:szCs w:val="21"/>
                <w:highlight w:val="none"/>
              </w:rPr>
              <w:t>响应文件。</w:t>
            </w:r>
          </w:p>
        </w:tc>
      </w:tr>
      <w:tr w14:paraId="0E1236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54883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3.9</w:t>
            </w:r>
          </w:p>
        </w:tc>
        <w:tc>
          <w:tcPr>
            <w:tcW w:w="1666" w:type="dxa"/>
            <w:vAlign w:val="center"/>
          </w:tcPr>
          <w:p w14:paraId="64A6C86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响应文件开启时间和地点</w:t>
            </w:r>
          </w:p>
        </w:tc>
        <w:tc>
          <w:tcPr>
            <w:tcW w:w="5795" w:type="dxa"/>
            <w:vAlign w:val="center"/>
          </w:tcPr>
          <w:p w14:paraId="72CB5A70">
            <w:pPr>
              <w:autoSpaceDE w:val="0"/>
              <w:autoSpaceDN w:val="0"/>
              <w:rPr>
                <w:rFonts w:hint="default" w:cs="宋体" w:asciiTheme="minorEastAsia" w:hAnsiTheme="minorEastAsia" w:eastAsiaTheme="minorEastAsia"/>
                <w:color w:val="auto"/>
                <w:szCs w:val="21"/>
                <w:highlight w:val="none"/>
                <w:lang w:val="en-US" w:eastAsia="zh-CN"/>
              </w:rPr>
            </w:pPr>
            <w:r>
              <w:rPr>
                <w:rFonts w:hint="eastAsia" w:ascii="宋体" w:hAnsi="宋体" w:cs="宋体"/>
                <w:szCs w:val="21"/>
              </w:rPr>
              <w:t>同</w:t>
            </w:r>
            <w:r>
              <w:rPr>
                <w:rFonts w:hint="eastAsia" w:ascii="宋体" w:hAnsi="宋体" w:cs="宋体"/>
                <w:szCs w:val="21"/>
                <w:lang w:val="en-US" w:eastAsia="zh-CN"/>
              </w:rPr>
              <w:t>响应</w:t>
            </w:r>
            <w:r>
              <w:rPr>
                <w:rFonts w:hint="eastAsia" w:ascii="宋体" w:hAnsi="宋体" w:cs="宋体"/>
                <w:szCs w:val="21"/>
              </w:rPr>
              <w:t>文件递交截止时间和地点。</w:t>
            </w:r>
          </w:p>
        </w:tc>
      </w:tr>
      <w:tr w14:paraId="7D4E94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E92AA5">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2688803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询比的其他要求及异常处理</w:t>
            </w:r>
          </w:p>
        </w:tc>
        <w:tc>
          <w:tcPr>
            <w:tcW w:w="5795" w:type="dxa"/>
            <w:vAlign w:val="center"/>
          </w:tcPr>
          <w:p w14:paraId="52FD892B">
            <w:pPr>
              <w:autoSpaceDE w:val="0"/>
              <w:autoSpaceDN w:val="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val="en-US" w:eastAsia="zh-CN"/>
              </w:rPr>
              <w:t>/</w:t>
            </w:r>
          </w:p>
        </w:tc>
      </w:tr>
      <w:tr w14:paraId="21D32A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0BA680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6.</w:t>
            </w: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 xml:space="preserve"> </w:t>
            </w:r>
          </w:p>
        </w:tc>
        <w:tc>
          <w:tcPr>
            <w:tcW w:w="1666" w:type="dxa"/>
            <w:vAlign w:val="center"/>
          </w:tcPr>
          <w:p w14:paraId="24D1034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成交候选人推荐原则</w:t>
            </w:r>
          </w:p>
        </w:tc>
        <w:tc>
          <w:tcPr>
            <w:tcW w:w="5795" w:type="dxa"/>
            <w:vAlign w:val="center"/>
          </w:tcPr>
          <w:p w14:paraId="0EC2106A">
            <w:pPr>
              <w:autoSpaceDE w:val="0"/>
              <w:autoSpaceDN w:val="0"/>
              <w:rPr>
                <w:rFonts w:cs="Times New Roman" w:asciiTheme="minorEastAsia" w:hAnsiTheme="minorEastAsia" w:eastAsiaTheme="minorEastAsia"/>
                <w:color w:val="auto"/>
                <w:szCs w:val="21"/>
                <w:highlight w:val="none"/>
              </w:rPr>
            </w:pPr>
            <w:bookmarkStart w:id="31" w:name="_Toc346159396"/>
            <w:r>
              <w:rPr>
                <w:rFonts w:hint="eastAsia" w:cs="Times New Roman" w:asciiTheme="minorEastAsia" w:hAnsiTheme="minorEastAsia" w:eastAsiaTheme="minorEastAsia"/>
                <w:color w:val="auto"/>
                <w:szCs w:val="21"/>
                <w:highlight w:val="none"/>
              </w:rPr>
              <w:t>推荐原则如下：</w:t>
            </w:r>
            <w:bookmarkEnd w:id="31"/>
          </w:p>
          <w:p w14:paraId="57A630C8">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当通过初步评审的有效响应供应商为3名或以上时，推荐综合排名前2名为成交候选人；当通过初步评审的有效响应供应商为2名时，可推荐综合排名第1名为成交候选人或重新询比；当通过初步评审的有效响应供应商为1名时，可转为直接采购或重新询比。</w:t>
            </w:r>
          </w:p>
          <w:p w14:paraId="7A2C1D3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通过初步评审的有效响应供应商不足3家，经评审委员会认定具备竞争性可以继续评审，或认定不具备竞争性的否决全部响应，竞争性论证过程和结果，应在评审报告中如实记载。</w:t>
            </w:r>
          </w:p>
          <w:p w14:paraId="3AD3105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31664A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D8F766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7.1</w:t>
            </w:r>
          </w:p>
        </w:tc>
        <w:tc>
          <w:tcPr>
            <w:tcW w:w="1666" w:type="dxa"/>
            <w:vAlign w:val="center"/>
          </w:tcPr>
          <w:p w14:paraId="64E4E53B">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成交结果的异议</w:t>
            </w:r>
          </w:p>
        </w:tc>
        <w:tc>
          <w:tcPr>
            <w:tcW w:w="5795" w:type="dxa"/>
            <w:vAlign w:val="center"/>
          </w:tcPr>
          <w:p w14:paraId="012172EE">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1.异议提出人应为</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或与本项目有关的利害关系人；</w:t>
            </w:r>
          </w:p>
          <w:p w14:paraId="0F710C5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2.异议应以书面形式通过异议接收邮箱实名提出，书面异议材料应包括异议事项及证明材料等内容，异议应当包括下列内容：</w:t>
            </w:r>
          </w:p>
          <w:p w14:paraId="351257A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104354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293416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FFE31A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718747F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47AC346C">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3.异议人为法人或者其他组织的，异议函应当由法定代表人/负责人或者其授权代表签字，并加盖单位公章。异议人为自然人的，应当由本人签字并提供有效的身份证明；</w:t>
            </w:r>
          </w:p>
          <w:p w14:paraId="72134C4D">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4.异议应在公示期内提出;</w:t>
            </w:r>
          </w:p>
          <w:p w14:paraId="77BC6AF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5.异议人应提供关于异议事项的有效线索，且应配合查证；</w:t>
            </w:r>
          </w:p>
          <w:p w14:paraId="5DF9BD6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6.书面异议材料加盖单位公章后以纸质文件或电子扫描件提交；</w:t>
            </w:r>
          </w:p>
          <w:p w14:paraId="63DA04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7.异议人对其他</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的投标文件及评审资料等非公开内容提出异议的，应提供合法信息来源；</w:t>
            </w:r>
          </w:p>
          <w:p w14:paraId="2D80D0F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8.</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认为异议材料不明确、不充分，需要异议人进一步明确或补充的，异议人应按要求进行明确或补充；</w:t>
            </w:r>
          </w:p>
          <w:p w14:paraId="3F7666E3">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9.异议人提出的异议事项属于以下三种情况的，</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有权不予受理：</w:t>
            </w:r>
          </w:p>
          <w:p w14:paraId="27D91F5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（1）异议提出不符合上述任意一项要求的；</w:t>
            </w:r>
          </w:p>
          <w:p w14:paraId="6992877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（2）已作出明确答复，且无新的事实证据，就同一事项反复提出异议的；</w:t>
            </w:r>
          </w:p>
          <w:p w14:paraId="1D72A58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（3）异议事项已进入行政投诉、行政复议、行政诉讼或者其他司法程序的；</w:t>
            </w:r>
          </w:p>
          <w:p w14:paraId="1CF75543">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10.异议人应保证异议内容和相关证明材料的真实性及其来源的合法性，并承担相应的法律责任</w:t>
            </w:r>
          </w:p>
          <w:p w14:paraId="48134AB0">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E4642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935322C">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.1</w:t>
            </w:r>
          </w:p>
        </w:tc>
        <w:tc>
          <w:tcPr>
            <w:tcW w:w="1666" w:type="dxa"/>
            <w:vAlign w:val="center"/>
          </w:tcPr>
          <w:p w14:paraId="357C155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成交供应商数量</w:t>
            </w:r>
          </w:p>
        </w:tc>
        <w:tc>
          <w:tcPr>
            <w:tcW w:w="5795" w:type="dxa"/>
            <w:vAlign w:val="center"/>
          </w:tcPr>
          <w:p w14:paraId="1D257645">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成交供应商数量：</w:t>
            </w:r>
            <w:r>
              <w:rPr>
                <w:rFonts w:hint="eastAsia" w:asciiTheme="minorEastAsia" w:hAnsiTheme="minorEastAsia" w:eastAsiaTheme="minorEastAsia"/>
                <w:color w:val="auto"/>
                <w:szCs w:val="21"/>
                <w:highlight w:val="none"/>
                <w:u w:val="single"/>
              </w:rPr>
              <w:t>1</w:t>
            </w:r>
            <w:r>
              <w:rPr>
                <w:rFonts w:hint="eastAsia" w:asciiTheme="minorEastAsia" w:hAnsiTheme="minorEastAsia" w:eastAsiaTheme="minorEastAsia"/>
                <w:color w:val="auto"/>
                <w:szCs w:val="21"/>
                <w:highlight w:val="none"/>
              </w:rPr>
              <w:t>家</w:t>
            </w:r>
          </w:p>
        </w:tc>
      </w:tr>
      <w:tr w14:paraId="71DB96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291444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.2</w:t>
            </w:r>
          </w:p>
        </w:tc>
        <w:tc>
          <w:tcPr>
            <w:tcW w:w="1666" w:type="dxa"/>
            <w:vAlign w:val="center"/>
          </w:tcPr>
          <w:p w14:paraId="04F0424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成交原则</w:t>
            </w:r>
          </w:p>
        </w:tc>
        <w:tc>
          <w:tcPr>
            <w:tcW w:w="5795" w:type="dxa"/>
            <w:vAlign w:val="center"/>
          </w:tcPr>
          <w:p w14:paraId="6F9FDCBD">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成交原则如下：</w:t>
            </w:r>
          </w:p>
          <w:p w14:paraId="72A5C790">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采购人根据评审委员会推荐的成交候选人确定排名第一的成交候选人为成交人。</w:t>
            </w:r>
          </w:p>
        </w:tc>
      </w:tr>
      <w:tr w14:paraId="562589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268A3D">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7.2.3</w:t>
            </w:r>
          </w:p>
        </w:tc>
        <w:tc>
          <w:tcPr>
            <w:tcW w:w="1666" w:type="dxa"/>
            <w:vAlign w:val="center"/>
          </w:tcPr>
          <w:p w14:paraId="44F06B3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确定成交供应商的特殊情形</w:t>
            </w:r>
          </w:p>
        </w:tc>
        <w:tc>
          <w:tcPr>
            <w:tcW w:w="5795" w:type="dxa"/>
            <w:vAlign w:val="center"/>
          </w:tcPr>
          <w:p w14:paraId="05341FC8">
            <w:pPr>
              <w:wordWrap w:val="0"/>
              <w:autoSpaceDE w:val="0"/>
              <w:autoSpaceDN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在合同签订之前，排名第一的成交候选人放弃成交、因不可抗力提出不能履行合同、不按照询比文件要求在规定的时间内提交履约保证金、被查实存在影响成交结果的违法行为、未通过网络安全审查等不符合成交条件情形的，采购人按评审委员会提出的排名顺序依次确定其他成交候选人为成交供应商，或重新询比。</w:t>
            </w:r>
          </w:p>
        </w:tc>
      </w:tr>
      <w:tr w14:paraId="3524FE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3C7B07A5">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8.1</w:t>
            </w:r>
          </w:p>
        </w:tc>
        <w:tc>
          <w:tcPr>
            <w:tcW w:w="1666" w:type="dxa"/>
            <w:vAlign w:val="center"/>
          </w:tcPr>
          <w:p w14:paraId="4772B00A">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履约保证金金额和形式</w:t>
            </w:r>
          </w:p>
        </w:tc>
        <w:tc>
          <w:tcPr>
            <w:tcW w:w="5795" w:type="dxa"/>
            <w:vAlign w:val="center"/>
          </w:tcPr>
          <w:p w14:paraId="72494F01">
            <w:pPr>
              <w:autoSpaceDE w:val="0"/>
              <w:autoSpaceDN w:val="0"/>
              <w:jc w:val="left"/>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rPr>
              <w:t>不收取</w:t>
            </w:r>
          </w:p>
        </w:tc>
      </w:tr>
      <w:tr w14:paraId="49BD23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1037DCA1">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9</w:t>
            </w:r>
          </w:p>
        </w:tc>
        <w:tc>
          <w:tcPr>
            <w:tcW w:w="1666" w:type="dxa"/>
            <w:vAlign w:val="center"/>
          </w:tcPr>
          <w:p w14:paraId="20B31BD7">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w:t>
            </w:r>
          </w:p>
        </w:tc>
        <w:tc>
          <w:tcPr>
            <w:tcW w:w="5795" w:type="dxa"/>
            <w:vAlign w:val="center"/>
          </w:tcPr>
          <w:p w14:paraId="757A6E34">
            <w:pPr>
              <w:numPr>
                <w:ilvl w:val="0"/>
                <w:numId w:val="0"/>
              </w:num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供应商试图对采购人进行影响，或对评审委员会的评审、比较或成交候选人的决定进行影响，都可能导致其响应被否决。</w:t>
            </w:r>
          </w:p>
          <w:p w14:paraId="28F629C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2.</w:t>
            </w:r>
            <w:r>
              <w:rPr>
                <w:rFonts w:hint="eastAsia" w:cs="宋体" w:asciiTheme="minorEastAsia" w:hAnsiTheme="minorEastAsia" w:eastAsiaTheme="minorEastAsia"/>
                <w:b w:val="0"/>
                <w:bCs w:val="0"/>
                <w:color w:val="auto"/>
                <w:szCs w:val="21"/>
                <w:highlight w:val="none"/>
                <w:lang w:eastAsia="zh-CN"/>
              </w:rPr>
              <w:t>不</w:t>
            </w:r>
            <w:r>
              <w:rPr>
                <w:rFonts w:hint="eastAsia" w:cs="宋体" w:asciiTheme="minorEastAsia" w:hAnsiTheme="minorEastAsia" w:eastAsiaTheme="minorEastAsia"/>
                <w:color w:val="auto"/>
                <w:szCs w:val="21"/>
                <w:highlight w:val="none"/>
                <w:lang w:eastAsia="zh-CN"/>
              </w:rPr>
              <w:t>同供应商之间有下列</w:t>
            </w:r>
            <w:r>
              <w:rPr>
                <w:rFonts w:hint="eastAsia" w:cs="宋体" w:asciiTheme="minorEastAsia" w:hAnsiTheme="minorEastAsia" w:eastAsiaTheme="minorEastAsia"/>
                <w:b w:val="0"/>
                <w:bCs w:val="0"/>
                <w:color w:val="auto"/>
                <w:szCs w:val="21"/>
                <w:highlight w:val="none"/>
                <w:lang w:eastAsia="zh-CN"/>
              </w:rPr>
              <w:t>情形的，视为供应商相互串通</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，评</w:t>
            </w:r>
            <w:r>
              <w:rPr>
                <w:rFonts w:hint="eastAsia" w:cs="宋体" w:asciiTheme="minorEastAsia" w:hAnsiTheme="minorEastAsia" w:eastAsiaTheme="minorEastAsia"/>
                <w:b w:val="0"/>
                <w:bCs w:val="0"/>
                <w:color w:val="auto"/>
                <w:szCs w:val="21"/>
                <w:highlight w:val="none"/>
                <w:lang w:val="en-US" w:eastAsia="zh-CN"/>
              </w:rPr>
              <w:t>审</w:t>
            </w:r>
            <w:r>
              <w:rPr>
                <w:rFonts w:hint="eastAsia" w:cs="宋体" w:asciiTheme="minorEastAsia" w:hAnsiTheme="minorEastAsia" w:eastAsiaTheme="minorEastAsia"/>
                <w:b w:val="0"/>
                <w:bCs w:val="0"/>
                <w:color w:val="auto"/>
                <w:szCs w:val="21"/>
                <w:highlight w:val="none"/>
                <w:lang w:eastAsia="zh-CN"/>
              </w:rPr>
              <w:t>委员会应当否决相关</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w:t>
            </w:r>
          </w:p>
          <w:p w14:paraId="545D683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（1）不同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文件由同一单位或者个人编制；</w:t>
            </w:r>
          </w:p>
          <w:p w14:paraId="0F334218">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（2）不同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委托同一单位或者个人办理</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事宜；</w:t>
            </w:r>
          </w:p>
          <w:p w14:paraId="325E099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（3）不同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文件载明的项目管理成员为同一人；</w:t>
            </w:r>
          </w:p>
          <w:p w14:paraId="0F2C408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（4）不同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文件异常一致或者</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报价呈规律性差异；</w:t>
            </w:r>
          </w:p>
          <w:p w14:paraId="766DE331">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（5）不同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文件相互混装；</w:t>
            </w:r>
          </w:p>
          <w:p w14:paraId="2E744EEA">
            <w:pPr>
              <w:numPr>
                <w:ilvl w:val="0"/>
                <w:numId w:val="0"/>
              </w:numPr>
              <w:autoSpaceDE w:val="0"/>
              <w:autoSpaceDN w:val="0"/>
              <w:ind w:left="0" w:leftChars="0" w:firstLine="0" w:firstLineChars="0"/>
              <w:rPr>
                <w:rFonts w:hint="eastAsia" w:ascii="宋体" w:hAnsi="宋体" w:cs="宋体"/>
                <w:color w:val="auto"/>
                <w:szCs w:val="21"/>
                <w:highlight w:val="none"/>
              </w:rPr>
            </w:pPr>
            <w:r>
              <w:rPr>
                <w:rFonts w:hint="eastAsia" w:cs="宋体" w:asciiTheme="minorEastAsia" w:hAnsiTheme="minorEastAsia" w:eastAsiaTheme="minorEastAsia"/>
                <w:b w:val="0"/>
                <w:bCs w:val="0"/>
                <w:color w:val="auto"/>
                <w:szCs w:val="21"/>
                <w:highlight w:val="none"/>
                <w:lang w:eastAsia="zh-CN"/>
              </w:rPr>
              <w:t>（</w:t>
            </w:r>
            <w:r>
              <w:rPr>
                <w:rFonts w:hint="eastAsia" w:cs="宋体" w:asciiTheme="minorEastAsia" w:hAnsiTheme="minorEastAsia" w:eastAsiaTheme="minorEastAsia"/>
                <w:b w:val="0"/>
                <w:bCs w:val="0"/>
                <w:color w:val="auto"/>
                <w:szCs w:val="21"/>
                <w:highlight w:val="none"/>
                <w:lang w:val="en-US" w:eastAsia="zh-CN"/>
              </w:rPr>
              <w:t>6</w:t>
            </w:r>
            <w:r>
              <w:rPr>
                <w:rFonts w:hint="eastAsia" w:cs="宋体" w:asciiTheme="minorEastAsia" w:hAnsiTheme="minorEastAsia" w:eastAsiaTheme="minorEastAsia"/>
                <w:b w:val="0"/>
                <w:bCs w:val="0"/>
                <w:color w:val="auto"/>
                <w:szCs w:val="21"/>
                <w:highlight w:val="none"/>
                <w:lang w:eastAsia="zh-CN"/>
              </w:rPr>
              <w:t>）法律法规规定的其他情形。</w:t>
            </w:r>
          </w:p>
        </w:tc>
      </w:tr>
      <w:tr w14:paraId="7106B2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7FB96DC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10</w:t>
            </w:r>
          </w:p>
        </w:tc>
        <w:tc>
          <w:tcPr>
            <w:tcW w:w="1666" w:type="dxa"/>
            <w:vAlign w:val="center"/>
          </w:tcPr>
          <w:p w14:paraId="470E870E">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合同金额</w:t>
            </w:r>
          </w:p>
        </w:tc>
        <w:tc>
          <w:tcPr>
            <w:tcW w:w="5795" w:type="dxa"/>
            <w:vAlign w:val="center"/>
          </w:tcPr>
          <w:p w14:paraId="392FFC01">
            <w:pPr>
              <w:autoSpaceDE w:val="0"/>
              <w:autoSpaceDN w:val="0"/>
              <w:rPr>
                <w:rFonts w:hint="default" w:cs="宋体" w:asciiTheme="minorEastAsia" w:hAnsiTheme="minorEastAsia" w:eastAsiaTheme="minorEastAsia"/>
                <w:b w:val="0"/>
                <w:bCs w:val="0"/>
                <w:color w:val="auto"/>
                <w:szCs w:val="21"/>
                <w:highlight w:val="none"/>
                <w:lang w:val="en-US" w:eastAsia="zh-CN"/>
              </w:rPr>
            </w:pPr>
            <w:r>
              <w:rPr>
                <w:rFonts w:hint="eastAsia" w:cs="宋体" w:asciiTheme="minorEastAsia" w:hAnsiTheme="minorEastAsia" w:eastAsiaTheme="minorEastAsia"/>
                <w:b w:val="0"/>
                <w:bCs w:val="0"/>
                <w:color w:val="auto"/>
                <w:szCs w:val="21"/>
                <w:highlight w:val="none"/>
                <w:lang w:val="en-US" w:eastAsia="zh-CN"/>
              </w:rPr>
              <w:t>/</w:t>
            </w:r>
          </w:p>
        </w:tc>
      </w:tr>
      <w:tr w14:paraId="11F540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301" w:type="dxa"/>
            <w:gridSpan w:val="3"/>
            <w:vAlign w:val="center"/>
          </w:tcPr>
          <w:p w14:paraId="47190F84">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询比文件否决响应条款汇总</w:t>
            </w:r>
          </w:p>
        </w:tc>
      </w:tr>
      <w:tr w14:paraId="6EAEE7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46466297">
            <w:pPr>
              <w:autoSpaceDE w:val="0"/>
              <w:autoSpaceDN w:val="0"/>
              <w:jc w:val="center"/>
              <w:rPr>
                <w:rFonts w:ascii="宋体" w:hAnsi="宋体" w:cs="宋体"/>
                <w:color w:val="auto"/>
                <w:szCs w:val="21"/>
                <w:highlight w:val="none"/>
              </w:rPr>
            </w:pPr>
            <w:bookmarkStart w:id="32" w:name="_Toc28292"/>
            <w:r>
              <w:rPr>
                <w:rFonts w:hint="eastAsia" w:ascii="宋体" w:hAnsi="宋体" w:cs="宋体"/>
                <w:color w:val="auto"/>
                <w:szCs w:val="21"/>
                <w:highlight w:val="none"/>
              </w:rPr>
              <w:t>第</w:t>
            </w:r>
            <w:r>
              <w:rPr>
                <w:rFonts w:ascii="宋体" w:hAnsi="宋体" w:cs="宋体"/>
                <w:color w:val="auto"/>
                <w:szCs w:val="21"/>
                <w:highlight w:val="none"/>
              </w:rPr>
              <w:t>二</w:t>
            </w:r>
            <w:r>
              <w:rPr>
                <w:rFonts w:hint="eastAsia" w:ascii="宋体" w:hAnsi="宋体" w:cs="宋体"/>
                <w:color w:val="auto"/>
                <w:szCs w:val="21"/>
                <w:highlight w:val="none"/>
              </w:rPr>
              <w:t>章 供应商须知</w:t>
            </w:r>
          </w:p>
        </w:tc>
        <w:tc>
          <w:tcPr>
            <w:tcW w:w="1666" w:type="dxa"/>
            <w:vAlign w:val="center"/>
          </w:tcPr>
          <w:p w14:paraId="7979BCBB">
            <w:pPr>
              <w:autoSpaceDE w:val="0"/>
              <w:autoSpaceDN w:val="0"/>
              <w:rPr>
                <w:rFonts w:ascii="宋体" w:hAnsi="宋体" w:cs="宋体"/>
                <w:color w:val="auto"/>
                <w:szCs w:val="21"/>
                <w:highlight w:val="none"/>
              </w:rPr>
            </w:pPr>
            <w:r>
              <w:rPr>
                <w:rFonts w:hint="eastAsia" w:ascii="宋体" w:hAnsi="宋体" w:cs="宋体"/>
                <w:color w:val="auto"/>
                <w:szCs w:val="20"/>
                <w:highlight w:val="none"/>
              </w:rPr>
              <w:t>1.7.2 资格审查</w:t>
            </w:r>
          </w:p>
        </w:tc>
        <w:tc>
          <w:tcPr>
            <w:tcW w:w="5795" w:type="dxa"/>
            <w:vAlign w:val="center"/>
          </w:tcPr>
          <w:p w14:paraId="25C7416C">
            <w:pPr>
              <w:autoSpaceDE w:val="0"/>
              <w:autoSpaceDN w:val="0"/>
              <w:rPr>
                <w:rFonts w:ascii="宋体" w:hAnsi="宋体"/>
                <w:color w:val="auto"/>
                <w:highlight w:val="none"/>
              </w:rPr>
            </w:pPr>
            <w:r>
              <w:rPr>
                <w:rFonts w:hint="eastAsia" w:ascii="宋体" w:hAnsi="宋体"/>
                <w:color w:val="auto"/>
                <w:szCs w:val="20"/>
                <w:highlight w:val="none"/>
              </w:rPr>
              <w:t>资格后审不合格的供应商，评审委员会应当否决其响应。</w:t>
            </w:r>
          </w:p>
        </w:tc>
      </w:tr>
      <w:tr w14:paraId="3E0894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32182023">
            <w:pPr>
              <w:autoSpaceDE w:val="0"/>
              <w:autoSpaceDN w:val="0"/>
              <w:jc w:val="center"/>
              <w:rPr>
                <w:rFonts w:ascii="宋体" w:hAnsi="宋体" w:cs="宋体"/>
                <w:color w:val="auto"/>
                <w:szCs w:val="21"/>
                <w:highlight w:val="none"/>
              </w:rPr>
            </w:pPr>
          </w:p>
        </w:tc>
        <w:tc>
          <w:tcPr>
            <w:tcW w:w="1666" w:type="dxa"/>
            <w:vAlign w:val="center"/>
          </w:tcPr>
          <w:p w14:paraId="73671835">
            <w:pPr>
              <w:autoSpaceDE w:val="0"/>
              <w:autoSpaceDN w:val="0"/>
              <w:rPr>
                <w:rFonts w:ascii="宋体" w:hAnsi="宋体" w:cs="宋体"/>
                <w:color w:val="auto"/>
                <w:szCs w:val="21"/>
                <w:highlight w:val="none"/>
              </w:rPr>
            </w:pPr>
            <w:r>
              <w:rPr>
                <w:rFonts w:hint="eastAsia" w:ascii="宋体" w:hAnsi="宋体" w:cs="宋体"/>
                <w:color w:val="auto"/>
                <w:szCs w:val="20"/>
                <w:highlight w:val="none"/>
              </w:rPr>
              <w:t>2.1.3 实质性条款不满足</w:t>
            </w:r>
          </w:p>
        </w:tc>
        <w:tc>
          <w:tcPr>
            <w:tcW w:w="5795" w:type="dxa"/>
            <w:vAlign w:val="center"/>
          </w:tcPr>
          <w:p w14:paraId="6A5913C9">
            <w:pPr>
              <w:autoSpaceDE w:val="0"/>
              <w:autoSpaceDN w:val="0"/>
              <w:rPr>
                <w:rFonts w:ascii="宋体" w:hAnsi="宋体" w:cs="宋体"/>
                <w:color w:val="auto"/>
                <w:szCs w:val="20"/>
                <w:highlight w:val="none"/>
              </w:rPr>
            </w:pPr>
            <w:r>
              <w:rPr>
                <w:rFonts w:hint="eastAsia" w:ascii="宋体" w:hAnsi="宋体" w:cs="宋体"/>
                <w:color w:val="auto"/>
                <w:szCs w:val="20"/>
                <w:highlight w:val="none"/>
              </w:rPr>
              <w:t>（1）询比文件中标识“</w:t>
            </w:r>
            <w:r>
              <w:rPr>
                <w:rFonts w:ascii="宋体" w:hAnsi="宋体"/>
                <w:color w:val="auto"/>
                <w:szCs w:val="20"/>
                <w:highlight w:val="none"/>
              </w:rPr>
              <w:t>★</w:t>
            </w:r>
            <w:r>
              <w:rPr>
                <w:rFonts w:hint="eastAsia" w:ascii="宋体" w:hAnsi="宋体" w:cs="宋体"/>
                <w:color w:val="auto"/>
                <w:szCs w:val="20"/>
                <w:highlight w:val="none"/>
              </w:rPr>
              <w:t>”的条款，均为实质性条款，供应商任何不满足实质性条款的响应均将被否决。</w:t>
            </w:r>
          </w:p>
          <w:p w14:paraId="3ABC851D">
            <w:pPr>
              <w:autoSpaceDE w:val="0"/>
              <w:autoSpaceDN w:val="0"/>
              <w:rPr>
                <w:rFonts w:ascii="宋体" w:hAnsi="宋体" w:cs="宋体"/>
                <w:color w:val="auto"/>
                <w:szCs w:val="21"/>
                <w:highlight w:val="none"/>
              </w:rPr>
            </w:pPr>
            <w:r>
              <w:rPr>
                <w:rFonts w:hint="eastAsia" w:ascii="宋体" w:hAnsi="宋体" w:cs="宋体"/>
                <w:color w:val="auto"/>
                <w:szCs w:val="20"/>
                <w:highlight w:val="none"/>
              </w:rPr>
              <w:t>（2）非实质性要求的偏离要求：</w:t>
            </w:r>
            <w:r>
              <w:rPr>
                <w:rFonts w:hint="eastAsia" w:ascii="宋体" w:hAnsi="宋体" w:cs="宋体"/>
                <w:color w:val="auto"/>
                <w:szCs w:val="20"/>
                <w:highlight w:val="none"/>
                <w:u w:val="single"/>
              </w:rPr>
              <w:t xml:space="preserve"> /</w:t>
            </w:r>
            <w:r>
              <w:rPr>
                <w:rFonts w:ascii="宋体" w:hAnsi="宋体" w:cs="宋体"/>
                <w:color w:val="auto"/>
                <w:szCs w:val="20"/>
                <w:highlight w:val="none"/>
                <w:u w:val="single"/>
              </w:rPr>
              <w:t xml:space="preserve"> </w:t>
            </w:r>
          </w:p>
        </w:tc>
      </w:tr>
      <w:tr w14:paraId="58EED1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4D9E0D89">
            <w:pPr>
              <w:autoSpaceDE w:val="0"/>
              <w:autoSpaceDN w:val="0"/>
              <w:jc w:val="center"/>
              <w:rPr>
                <w:rFonts w:ascii="宋体" w:hAnsi="宋体" w:cs="宋体"/>
                <w:color w:val="auto"/>
                <w:szCs w:val="21"/>
                <w:highlight w:val="none"/>
              </w:rPr>
            </w:pPr>
          </w:p>
        </w:tc>
        <w:tc>
          <w:tcPr>
            <w:tcW w:w="1666" w:type="dxa"/>
            <w:vAlign w:val="center"/>
          </w:tcPr>
          <w:p w14:paraId="2064677C">
            <w:pPr>
              <w:autoSpaceDE w:val="0"/>
              <w:autoSpaceDN w:val="0"/>
              <w:rPr>
                <w:rFonts w:ascii="宋体" w:hAnsi="宋体" w:cs="宋体"/>
                <w:color w:val="auto"/>
                <w:szCs w:val="20"/>
                <w:highlight w:val="none"/>
              </w:rPr>
            </w:pPr>
            <w:r>
              <w:rPr>
                <w:rFonts w:hint="eastAsia" w:ascii="宋体" w:hAnsi="宋体" w:cs="宋体"/>
                <w:color w:val="auto"/>
                <w:szCs w:val="20"/>
                <w:highlight w:val="none"/>
              </w:rPr>
              <w:t>3.2.2 响应文件编制</w:t>
            </w:r>
          </w:p>
        </w:tc>
        <w:tc>
          <w:tcPr>
            <w:tcW w:w="5795" w:type="dxa"/>
            <w:vAlign w:val="center"/>
          </w:tcPr>
          <w:p w14:paraId="62923000">
            <w:pPr>
              <w:autoSpaceDE w:val="0"/>
              <w:autoSpaceDN w:val="0"/>
              <w:rPr>
                <w:rFonts w:ascii="宋体" w:hAnsi="宋体" w:cs="宋体"/>
                <w:color w:val="auto"/>
                <w:szCs w:val="20"/>
                <w:highlight w:val="none"/>
              </w:rPr>
            </w:pPr>
            <w:r>
              <w:rPr>
                <w:rFonts w:hint="eastAsia" w:asciiTheme="minorEastAsia" w:hAnsiTheme="minorEastAsia" w:eastAsiaTheme="minorEastAsia"/>
                <w:color w:val="auto"/>
                <w:highlight w:val="none"/>
              </w:rPr>
              <w:t>供应商应认真阅读询比文件中所有的事项、格式、条款等。供应商没有按照询比文件要求提交全部资料，或者响应没有对响应文件在各方面都做出实质性响应是供应商的风险，并可能导致其响应被否决。</w:t>
            </w:r>
          </w:p>
        </w:tc>
      </w:tr>
      <w:tr w14:paraId="3ACCFC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8617943">
            <w:pPr>
              <w:autoSpaceDE w:val="0"/>
              <w:autoSpaceDN w:val="0"/>
              <w:jc w:val="center"/>
              <w:rPr>
                <w:rFonts w:ascii="宋体" w:hAnsi="宋体" w:cs="宋体"/>
                <w:color w:val="auto"/>
                <w:szCs w:val="21"/>
                <w:highlight w:val="none"/>
              </w:rPr>
            </w:pPr>
          </w:p>
        </w:tc>
        <w:tc>
          <w:tcPr>
            <w:tcW w:w="1666" w:type="dxa"/>
            <w:vAlign w:val="center"/>
          </w:tcPr>
          <w:p w14:paraId="14D620A3">
            <w:pPr>
              <w:autoSpaceDE w:val="0"/>
              <w:autoSpaceDN w:val="0"/>
              <w:rPr>
                <w:rFonts w:ascii="宋体" w:hAnsi="宋体" w:cs="宋体"/>
                <w:color w:val="auto"/>
                <w:szCs w:val="20"/>
                <w:highlight w:val="none"/>
              </w:rPr>
            </w:pPr>
            <w:r>
              <w:rPr>
                <w:rFonts w:hint="eastAsia" w:ascii="宋体" w:hAnsi="宋体" w:cs="宋体"/>
                <w:color w:val="auto"/>
                <w:szCs w:val="20"/>
                <w:highlight w:val="none"/>
              </w:rPr>
              <w:t>3.3.3 最高响应限价</w:t>
            </w:r>
          </w:p>
        </w:tc>
        <w:tc>
          <w:tcPr>
            <w:tcW w:w="5795" w:type="dxa"/>
            <w:vAlign w:val="center"/>
          </w:tcPr>
          <w:p w14:paraId="54C82FB4">
            <w:pPr>
              <w:autoSpaceDE w:val="0"/>
              <w:autoSpaceDN w:val="0"/>
              <w:rPr>
                <w:rFonts w:ascii="宋体" w:hAnsi="宋体"/>
                <w:color w:val="auto"/>
                <w:szCs w:val="20"/>
                <w:highlight w:val="none"/>
              </w:rPr>
            </w:pPr>
            <w:r>
              <w:rPr>
                <w:rFonts w:hint="eastAsia" w:ascii="宋体" w:hAnsi="宋体"/>
                <w:color w:val="auto"/>
                <w:szCs w:val="20"/>
                <w:highlight w:val="none"/>
              </w:rPr>
              <w:t>采购人设有最高响应限价的，供应商的响应报价不得超过最高响应限价，否则其响应将被否决。</w:t>
            </w:r>
          </w:p>
        </w:tc>
      </w:tr>
      <w:tr w14:paraId="5DDC0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5038B22D">
            <w:pPr>
              <w:autoSpaceDE w:val="0"/>
              <w:autoSpaceDN w:val="0"/>
              <w:jc w:val="center"/>
              <w:rPr>
                <w:rFonts w:ascii="宋体" w:hAnsi="宋体" w:cs="宋体"/>
                <w:color w:val="auto"/>
                <w:szCs w:val="21"/>
                <w:highlight w:val="none"/>
              </w:rPr>
            </w:pPr>
          </w:p>
        </w:tc>
        <w:tc>
          <w:tcPr>
            <w:tcW w:w="1666" w:type="dxa"/>
            <w:vAlign w:val="center"/>
          </w:tcPr>
          <w:p w14:paraId="035B415A">
            <w:pPr>
              <w:autoSpaceDE w:val="0"/>
              <w:autoSpaceDN w:val="0"/>
              <w:rPr>
                <w:rFonts w:ascii="宋体" w:hAnsi="宋体" w:cs="宋体"/>
                <w:color w:val="auto"/>
                <w:szCs w:val="20"/>
                <w:highlight w:val="none"/>
              </w:rPr>
            </w:pPr>
            <w:r>
              <w:rPr>
                <w:rFonts w:hint="eastAsia" w:ascii="宋体" w:hAnsi="宋体" w:cs="宋体"/>
                <w:color w:val="auto"/>
                <w:szCs w:val="20"/>
                <w:highlight w:val="none"/>
              </w:rPr>
              <w:t>3.4.1 响应有效期</w:t>
            </w:r>
          </w:p>
        </w:tc>
        <w:tc>
          <w:tcPr>
            <w:tcW w:w="5795" w:type="dxa"/>
            <w:vAlign w:val="center"/>
          </w:tcPr>
          <w:p w14:paraId="601C2596">
            <w:pPr>
              <w:autoSpaceDE w:val="0"/>
              <w:autoSpaceDN w:val="0"/>
              <w:rPr>
                <w:rFonts w:ascii="宋体" w:hAnsi="宋体"/>
                <w:color w:val="auto"/>
                <w:szCs w:val="20"/>
                <w:highlight w:val="none"/>
              </w:rPr>
            </w:pPr>
            <w:r>
              <w:rPr>
                <w:rFonts w:hint="eastAsia" w:ascii="宋体" w:hAnsi="宋体"/>
                <w:color w:val="auto"/>
                <w:szCs w:val="20"/>
                <w:highlight w:val="none"/>
              </w:rPr>
              <w:t>响应有效期不满足询比文件要求的响应将被否决。</w:t>
            </w:r>
          </w:p>
        </w:tc>
      </w:tr>
      <w:tr w14:paraId="734123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6381AE20">
            <w:pPr>
              <w:autoSpaceDE w:val="0"/>
              <w:autoSpaceDN w:val="0"/>
              <w:jc w:val="center"/>
              <w:rPr>
                <w:rFonts w:ascii="宋体" w:hAnsi="宋体" w:cs="宋体"/>
                <w:color w:val="auto"/>
                <w:szCs w:val="21"/>
                <w:highlight w:val="none"/>
              </w:rPr>
            </w:pPr>
            <w:r>
              <w:rPr>
                <w:rFonts w:ascii="宋体" w:hAnsi="宋体" w:cs="宋体"/>
                <w:color w:val="auto"/>
                <w:szCs w:val="21"/>
                <w:highlight w:val="none"/>
              </w:rPr>
              <w:t>评选办法</w:t>
            </w:r>
          </w:p>
        </w:tc>
        <w:tc>
          <w:tcPr>
            <w:tcW w:w="1666" w:type="dxa"/>
            <w:vAlign w:val="center"/>
          </w:tcPr>
          <w:p w14:paraId="0E2994FC">
            <w:pPr>
              <w:autoSpaceDE w:val="0"/>
              <w:autoSpaceDN w:val="0"/>
              <w:rPr>
                <w:rFonts w:ascii="宋体" w:hAnsi="宋体" w:cs="宋体"/>
                <w:color w:val="auto"/>
                <w:szCs w:val="20"/>
                <w:highlight w:val="none"/>
              </w:rPr>
            </w:pPr>
            <w:r>
              <w:rPr>
                <w:rFonts w:hint="eastAsia" w:ascii="宋体" w:hAnsi="宋体" w:cs="宋体"/>
                <w:color w:val="auto"/>
                <w:szCs w:val="21"/>
                <w:highlight w:val="none"/>
              </w:rPr>
              <w:t>3.1.1 初步评审</w:t>
            </w:r>
          </w:p>
        </w:tc>
        <w:tc>
          <w:tcPr>
            <w:tcW w:w="5795" w:type="dxa"/>
            <w:vAlign w:val="center"/>
          </w:tcPr>
          <w:p w14:paraId="7D9516D2">
            <w:pPr>
              <w:autoSpaceDE w:val="0"/>
              <w:autoSpaceDN w:val="0"/>
              <w:rPr>
                <w:rFonts w:ascii="宋体" w:hAnsi="宋体"/>
                <w:color w:val="auto"/>
                <w:szCs w:val="20"/>
                <w:highlight w:val="none"/>
              </w:rPr>
            </w:pPr>
            <w:r>
              <w:rPr>
                <w:rFonts w:hint="eastAsia" w:ascii="宋体" w:hAnsi="宋体"/>
                <w:color w:val="auto"/>
                <w:highlight w:val="none"/>
              </w:rPr>
              <w:t>评审委员会根据第三章第2.1款规定的初步评审标准对响应文件进行初步评审。有一项不符合评审标准的，评审委员会应当否决其响应。</w:t>
            </w:r>
          </w:p>
        </w:tc>
      </w:tr>
      <w:tr w14:paraId="40D2ED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CA022A7">
            <w:pPr>
              <w:autoSpaceDE w:val="0"/>
              <w:autoSpaceDN w:val="0"/>
              <w:jc w:val="center"/>
              <w:rPr>
                <w:rFonts w:ascii="宋体" w:hAnsi="宋体" w:cs="宋体"/>
                <w:color w:val="auto"/>
                <w:szCs w:val="21"/>
                <w:highlight w:val="none"/>
              </w:rPr>
            </w:pPr>
          </w:p>
        </w:tc>
        <w:tc>
          <w:tcPr>
            <w:tcW w:w="1666" w:type="dxa"/>
            <w:vAlign w:val="center"/>
          </w:tcPr>
          <w:p w14:paraId="4884ED5A">
            <w:pPr>
              <w:autoSpaceDE w:val="0"/>
              <w:autoSpaceDN w:val="0"/>
              <w:rPr>
                <w:rFonts w:ascii="宋体" w:hAnsi="宋体" w:cs="宋体"/>
                <w:color w:val="auto"/>
                <w:szCs w:val="21"/>
                <w:highlight w:val="none"/>
              </w:rPr>
            </w:pPr>
            <w:r>
              <w:rPr>
                <w:rFonts w:hint="eastAsia" w:ascii="宋体" w:hAnsi="宋体" w:cs="宋体"/>
                <w:color w:val="auto"/>
                <w:szCs w:val="21"/>
                <w:highlight w:val="none"/>
              </w:rPr>
              <w:t xml:space="preserve">3.1.2 初步评审 </w:t>
            </w:r>
          </w:p>
        </w:tc>
        <w:tc>
          <w:tcPr>
            <w:tcW w:w="5795" w:type="dxa"/>
            <w:vAlign w:val="center"/>
          </w:tcPr>
          <w:p w14:paraId="5DD8EB47">
            <w:pPr>
              <w:autoSpaceDE w:val="0"/>
              <w:autoSpaceDN w:val="0"/>
              <w:adjustRightInd w:val="0"/>
              <w:snapToGrid w:val="0"/>
              <w:rPr>
                <w:rFonts w:ascii="宋体" w:hAnsi="宋体"/>
                <w:color w:val="auto"/>
                <w:highlight w:val="none"/>
              </w:rPr>
            </w:pPr>
            <w:r>
              <w:rPr>
                <w:rFonts w:hint="eastAsia" w:ascii="宋体" w:hAnsi="宋体"/>
                <w:color w:val="auto"/>
                <w:highlight w:val="none"/>
              </w:rPr>
              <w:t>供应商有以下情形之一的，评审委员会应当否决其响应：</w:t>
            </w:r>
          </w:p>
          <w:p w14:paraId="41284BB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（1）第二章“供应商须知”第1.8款规定的任何一种情形的；</w:t>
            </w:r>
          </w:p>
          <w:p w14:paraId="41EDAC4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（2）响应文件未按照询比文件要求盖章和签字的；</w:t>
            </w:r>
          </w:p>
          <w:p w14:paraId="05F4DB6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（3）响应供应商提交两份以上不同内容的响应文件，或在一份响应文件中有两个或多个报价，且未声明哪一个为最终报价的，但按询比文件规定提交备选响应方案的除外；</w:t>
            </w:r>
          </w:p>
          <w:p w14:paraId="7DD79C8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4</w:t>
            </w:r>
            <w:r>
              <w:rPr>
                <w:rFonts w:hint="eastAsia" w:ascii="宋体" w:hAnsi="宋体" w:eastAsia="宋体" w:cs="Times New Roman"/>
                <w:color w:val="auto"/>
                <w:highlight w:val="none"/>
              </w:rPr>
              <w:t>）响应供应商名称或组织结构与资格预审时不一致且未提供有效证明的；</w:t>
            </w:r>
          </w:p>
          <w:p w14:paraId="539C814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）响应供应商以他人名义响应或者响应供应商经资格审查不符合资格条件的；</w:t>
            </w:r>
          </w:p>
          <w:p w14:paraId="3617FDB9">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7</w:t>
            </w:r>
            <w:r>
              <w:rPr>
                <w:rFonts w:hint="eastAsia" w:ascii="宋体" w:hAnsi="宋体" w:eastAsia="宋体" w:cs="Times New Roman"/>
                <w:color w:val="auto"/>
                <w:highlight w:val="none"/>
              </w:rPr>
              <w:t>）响应有效期不满足询比文件要求或响应文件载明的询比项目完成期限超过询比文件规定的期限的；</w:t>
            </w:r>
          </w:p>
          <w:p w14:paraId="516D6AE3">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8</w:t>
            </w:r>
            <w:r>
              <w:rPr>
                <w:rFonts w:hint="eastAsia" w:ascii="宋体" w:hAnsi="宋体" w:eastAsia="宋体" w:cs="Times New Roman"/>
                <w:color w:val="auto"/>
                <w:highlight w:val="none"/>
              </w:rPr>
              <w:t>）响应供应商报价低于成本价或严重影响履约，且供应商不能按评审委员会要求对其报价进行合理说明或提供相关证明材料的；</w:t>
            </w:r>
          </w:p>
          <w:p w14:paraId="6DAA67A5">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9</w:t>
            </w:r>
            <w:r>
              <w:rPr>
                <w:rFonts w:hint="eastAsia" w:ascii="宋体" w:hAnsi="宋体" w:eastAsia="宋体" w:cs="Times New Roman"/>
                <w:color w:val="auto"/>
                <w:highlight w:val="none"/>
              </w:rPr>
              <w:t>）响应供应商报价高于询比文件设定的最高响应限价的；</w:t>
            </w:r>
          </w:p>
          <w:p w14:paraId="3D57155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10</w:t>
            </w:r>
            <w:r>
              <w:rPr>
                <w:rFonts w:hint="eastAsia" w:ascii="宋体" w:hAnsi="宋体" w:eastAsia="宋体" w:cs="Times New Roman"/>
                <w:color w:val="auto"/>
                <w:highlight w:val="none"/>
              </w:rPr>
              <w:t>）明显不符合技术规格、技术标准的要求；</w:t>
            </w:r>
          </w:p>
          <w:p w14:paraId="50DA496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11</w:t>
            </w:r>
            <w:r>
              <w:rPr>
                <w:rFonts w:hint="eastAsia" w:ascii="宋体" w:hAnsi="宋体" w:eastAsia="宋体" w:cs="Times New Roman"/>
                <w:color w:val="auto"/>
                <w:highlight w:val="none"/>
              </w:rPr>
              <w:t>）响应文件载明的货物包装方式、检验标准和方法等不符合询比文件的要求；</w:t>
            </w:r>
          </w:p>
          <w:p w14:paraId="613EC0FE">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12</w:t>
            </w:r>
            <w:r>
              <w:rPr>
                <w:rFonts w:hint="eastAsia" w:ascii="宋体" w:hAnsi="宋体" w:eastAsia="宋体" w:cs="Times New Roman"/>
                <w:color w:val="auto"/>
                <w:highlight w:val="none"/>
              </w:rPr>
              <w:t>）响应文件附有采购人不能接受的条件；</w:t>
            </w:r>
          </w:p>
          <w:p w14:paraId="3F7EC28A">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13</w:t>
            </w:r>
            <w:r>
              <w:rPr>
                <w:rFonts w:hint="eastAsia" w:ascii="宋体" w:hAnsi="宋体" w:eastAsia="宋体" w:cs="Times New Roman"/>
                <w:color w:val="auto"/>
                <w:highlight w:val="none"/>
              </w:rPr>
              <w:t>）响应文件未能对询比文件中提出的实质性要求和条件做出实质性响应的；</w:t>
            </w:r>
          </w:p>
          <w:p w14:paraId="7CFA020B">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14</w:t>
            </w:r>
            <w:r>
              <w:rPr>
                <w:rFonts w:hint="eastAsia" w:ascii="宋体" w:hAnsi="宋体" w:eastAsia="宋体" w:cs="Times New Roman"/>
                <w:color w:val="auto"/>
                <w:highlight w:val="none"/>
              </w:rPr>
              <w:t>）响应供应商有串通响应、弄虚作假、行贿等违法行为的；</w:t>
            </w:r>
          </w:p>
          <w:p w14:paraId="1E2D5F00">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5</w:t>
            </w:r>
            <w:r>
              <w:rPr>
                <w:rFonts w:hint="eastAsia" w:ascii="宋体" w:hAnsi="宋体" w:eastAsia="宋体" w:cs="Times New Roman"/>
                <w:color w:val="auto"/>
                <w:highlight w:val="none"/>
              </w:rPr>
              <w:t>）响应供应商拒不按照要求对响应文件进行澄清、说明或者补正的；</w:t>
            </w:r>
          </w:p>
          <w:p w14:paraId="1808B5AB">
            <w:pPr>
              <w:autoSpaceDE w:val="0"/>
              <w:autoSpaceDN w:val="0"/>
              <w:adjustRightInd w:val="0"/>
              <w:snapToGrid w:val="0"/>
              <w:rPr>
                <w:rFonts w:ascii="宋体" w:hAnsi="宋体"/>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）询比文件明确规定可以否决响应的其他情形。</w:t>
            </w:r>
          </w:p>
        </w:tc>
      </w:tr>
      <w:tr w14:paraId="64B14A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7932F283">
            <w:pPr>
              <w:autoSpaceDE w:val="0"/>
              <w:autoSpaceDN w:val="0"/>
              <w:jc w:val="center"/>
              <w:rPr>
                <w:rFonts w:ascii="宋体" w:hAnsi="宋体" w:cs="宋体"/>
                <w:color w:val="auto"/>
                <w:szCs w:val="21"/>
                <w:highlight w:val="none"/>
              </w:rPr>
            </w:pPr>
          </w:p>
        </w:tc>
        <w:tc>
          <w:tcPr>
            <w:tcW w:w="1666" w:type="dxa"/>
            <w:vAlign w:val="center"/>
          </w:tcPr>
          <w:p w14:paraId="2028239B">
            <w:pPr>
              <w:autoSpaceDE w:val="0"/>
              <w:autoSpaceDN w:val="0"/>
              <w:rPr>
                <w:rFonts w:ascii="宋体" w:hAnsi="宋体" w:cs="宋体"/>
                <w:color w:val="auto"/>
                <w:szCs w:val="21"/>
                <w:highlight w:val="none"/>
              </w:rPr>
            </w:pPr>
            <w:r>
              <w:rPr>
                <w:rFonts w:hint="eastAsia" w:ascii="宋体" w:hAnsi="宋体" w:cs="宋体"/>
                <w:color w:val="auto"/>
                <w:szCs w:val="21"/>
                <w:highlight w:val="none"/>
              </w:rPr>
              <w:t>3.1.3 低于成本价</w:t>
            </w:r>
          </w:p>
        </w:tc>
        <w:tc>
          <w:tcPr>
            <w:tcW w:w="5795" w:type="dxa"/>
            <w:vAlign w:val="center"/>
          </w:tcPr>
          <w:p w14:paraId="4BE481FE">
            <w:pPr>
              <w:autoSpaceDE w:val="0"/>
              <w:autoSpaceDN w:val="0"/>
              <w:adjustRightInd w:val="0"/>
              <w:snapToGrid w:val="0"/>
              <w:rPr>
                <w:rFonts w:ascii="宋体" w:hAnsi="宋体"/>
                <w:color w:val="auto"/>
                <w:highlight w:val="none"/>
              </w:rPr>
            </w:pPr>
            <w:r>
              <w:rPr>
                <w:rFonts w:hint="eastAsia" w:ascii="宋体" w:hAnsi="宋体"/>
                <w:color w:val="auto"/>
                <w:highlight w:val="none"/>
              </w:rPr>
              <w:t>供应商不能合理说明或者不能提供相应证明材料的，由评审委员会认定该供应商以低于成本报价竞标，评审委员会应当否决其响应。</w:t>
            </w:r>
          </w:p>
        </w:tc>
      </w:tr>
      <w:tr w14:paraId="3EFD6F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0857EEA0">
            <w:pPr>
              <w:autoSpaceDE w:val="0"/>
              <w:autoSpaceDN w:val="0"/>
              <w:jc w:val="center"/>
              <w:rPr>
                <w:rFonts w:ascii="宋体" w:hAnsi="宋体" w:cs="宋体"/>
                <w:color w:val="auto"/>
                <w:szCs w:val="21"/>
                <w:highlight w:val="none"/>
              </w:rPr>
            </w:pPr>
          </w:p>
        </w:tc>
        <w:tc>
          <w:tcPr>
            <w:tcW w:w="1666" w:type="dxa"/>
            <w:vAlign w:val="center"/>
          </w:tcPr>
          <w:p w14:paraId="00E08FF3">
            <w:pPr>
              <w:autoSpaceDE w:val="0"/>
              <w:autoSpaceDN w:val="0"/>
              <w:rPr>
                <w:rFonts w:ascii="宋体" w:hAnsi="宋体" w:cs="宋体"/>
                <w:color w:val="auto"/>
                <w:szCs w:val="21"/>
                <w:highlight w:val="none"/>
              </w:rPr>
            </w:pPr>
            <w:r>
              <w:rPr>
                <w:rFonts w:hint="eastAsia" w:ascii="宋体" w:hAnsi="宋体" w:cs="宋体"/>
                <w:color w:val="auto"/>
                <w:szCs w:val="21"/>
                <w:highlight w:val="none"/>
              </w:rPr>
              <w:t>3.1.4 算术修正</w:t>
            </w:r>
          </w:p>
        </w:tc>
        <w:tc>
          <w:tcPr>
            <w:tcW w:w="5795" w:type="dxa"/>
            <w:vAlign w:val="center"/>
          </w:tcPr>
          <w:p w14:paraId="5C304BD1">
            <w:pPr>
              <w:autoSpaceDE w:val="0"/>
              <w:autoSpaceDN w:val="0"/>
              <w:adjustRightInd w:val="0"/>
              <w:snapToGrid w:val="0"/>
              <w:rPr>
                <w:rFonts w:ascii="宋体" w:hAnsi="宋体"/>
                <w:color w:val="auto"/>
                <w:highlight w:val="none"/>
              </w:rPr>
            </w:pPr>
            <w:r>
              <w:rPr>
                <w:rFonts w:hint="eastAsia" w:ascii="宋体" w:hAnsi="宋体"/>
                <w:color w:val="auto"/>
                <w:highlight w:val="none"/>
              </w:rPr>
              <w:t>响应报价有算术错误的，评审委员会按照以下原则对响应报价进行修正，修正的价格经供应商书面确认后具有约束力。供应商不接受修正价格的，评审委员会应当否决其响应。</w:t>
            </w:r>
          </w:p>
          <w:p w14:paraId="66729B2E">
            <w:pPr>
              <w:autoSpaceDE w:val="0"/>
              <w:autoSpaceDN w:val="0"/>
              <w:adjustRightInd w:val="0"/>
              <w:snapToGrid w:val="0"/>
              <w:rPr>
                <w:rFonts w:ascii="宋体" w:hAnsi="宋体"/>
                <w:color w:val="auto"/>
                <w:highlight w:val="none"/>
              </w:rPr>
            </w:pPr>
            <w:r>
              <w:rPr>
                <w:rFonts w:hint="eastAsia" w:ascii="宋体" w:hAnsi="宋体"/>
                <w:color w:val="auto"/>
                <w:highlight w:val="none"/>
              </w:rPr>
              <w:t>（1）响应文件中的大写金额与小写金额不一致的，以大写金额为准；</w:t>
            </w:r>
          </w:p>
          <w:p w14:paraId="4D171ACC">
            <w:pPr>
              <w:autoSpaceDE w:val="0"/>
              <w:autoSpaceDN w:val="0"/>
              <w:adjustRightInd w:val="0"/>
              <w:snapToGrid w:val="0"/>
              <w:rPr>
                <w:rFonts w:ascii="宋体" w:hAnsi="宋体"/>
                <w:color w:val="auto"/>
                <w:highlight w:val="none"/>
              </w:rPr>
            </w:pPr>
            <w:r>
              <w:rPr>
                <w:rFonts w:hint="eastAsia" w:ascii="宋体" w:hAnsi="宋体"/>
                <w:color w:val="auto"/>
                <w:highlight w:val="none"/>
              </w:rPr>
              <w:t>（2）总价金额与根据单价计算出的结果不一致的，以单价金额为准修正总价，但单价金额小数点有明显错误的除外。</w:t>
            </w:r>
          </w:p>
        </w:tc>
      </w:tr>
    </w:tbl>
    <w:p w14:paraId="6E86ADC9">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 w:name="_Toc21785"/>
      <w:r>
        <w:rPr>
          <w:rFonts w:hint="eastAsia" w:asciiTheme="minorEastAsia" w:hAnsiTheme="minorEastAsia" w:eastAsiaTheme="minorEastAsia"/>
          <w:color w:val="auto"/>
          <w:sz w:val="28"/>
          <w:szCs w:val="28"/>
          <w:highlight w:val="none"/>
        </w:rPr>
        <w:t>总则</w:t>
      </w:r>
      <w:bookmarkEnd w:id="24"/>
      <w:bookmarkEnd w:id="25"/>
      <w:bookmarkEnd w:id="26"/>
      <w:bookmarkEnd w:id="32"/>
      <w:bookmarkEnd w:id="33"/>
    </w:p>
    <w:p w14:paraId="63A5EC2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4" w:name="_Toc447265503"/>
      <w:bookmarkStart w:id="35" w:name="_Toc246996919"/>
      <w:bookmarkStart w:id="36" w:name="_Toc246996176"/>
      <w:bookmarkStart w:id="37" w:name="_Toc26846"/>
      <w:bookmarkStart w:id="38" w:name="_Toc152042306"/>
      <w:bookmarkStart w:id="39" w:name="_Toc22964"/>
      <w:bookmarkStart w:id="40" w:name="_Toc247085690"/>
      <w:bookmarkStart w:id="41" w:name="_Toc152045530"/>
      <w:bookmarkStart w:id="42" w:name="_Toc296602421"/>
      <w:bookmarkStart w:id="43" w:name="_Toc179632547"/>
      <w:bookmarkStart w:id="44" w:name="_Toc447188668"/>
      <w:bookmarkStart w:id="45" w:name="_Toc447265217"/>
      <w:bookmarkStart w:id="46" w:name="_Toc144974498"/>
      <w:r>
        <w:rPr>
          <w:rFonts w:hint="eastAsia" w:asciiTheme="minorEastAsia" w:hAnsiTheme="minorEastAsia" w:eastAsiaTheme="minorEastAsia"/>
          <w:color w:val="auto"/>
          <w:sz w:val="24"/>
          <w:szCs w:val="24"/>
          <w:highlight w:val="none"/>
        </w:rPr>
        <w:t>1.1项目概况</w:t>
      </w:r>
      <w:bookmarkEnd w:id="34"/>
      <w:bookmarkEnd w:id="35"/>
      <w:bookmarkEnd w:id="36"/>
      <w:bookmarkEnd w:id="37"/>
      <w:bookmarkEnd w:id="38"/>
      <w:bookmarkEnd w:id="39"/>
      <w:bookmarkEnd w:id="40"/>
      <w:bookmarkEnd w:id="41"/>
      <w:bookmarkEnd w:id="42"/>
      <w:bookmarkEnd w:id="43"/>
      <w:bookmarkEnd w:id="44"/>
      <w:bookmarkEnd w:id="45"/>
      <w:bookmarkEnd w:id="46"/>
    </w:p>
    <w:bookmarkEnd w:id="27"/>
    <w:bookmarkEnd w:id="28"/>
    <w:p w14:paraId="75FB4F42">
      <w:pPr>
        <w:pStyle w:val="40"/>
        <w:tabs>
          <w:tab w:val="left" w:pos="630"/>
        </w:tabs>
        <w:snapToGrid w:val="0"/>
        <w:spacing w:line="440" w:lineRule="exact"/>
        <w:ind w:firstLine="424" w:firstLineChars="202"/>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1.1</w:t>
      </w:r>
      <w:r>
        <w:rPr>
          <w:rFonts w:hint="eastAsia" w:asciiTheme="minorEastAsia" w:hAnsiTheme="minorEastAsia" w:eastAsiaTheme="minorEastAsia"/>
          <w:color w:val="auto"/>
          <w:highlight w:val="none"/>
        </w:rPr>
        <w:t>采购人：采购人单位名称及联系方式见供应商须知前附表。</w:t>
      </w:r>
    </w:p>
    <w:p w14:paraId="56A807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1.1.2</w:t>
      </w:r>
      <w:r>
        <w:rPr>
          <w:rFonts w:hint="eastAsia" w:asciiTheme="minorEastAsia" w:hAnsiTheme="minorEastAsia" w:eastAsiaTheme="minorEastAsia"/>
          <w:color w:val="auto"/>
          <w:highlight w:val="none"/>
        </w:rPr>
        <w:t>项目名称：项目名称及项目编号见供应商须知前附表</w:t>
      </w:r>
    </w:p>
    <w:p w14:paraId="03F5BA8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7" w:name="_Toc227057886"/>
      <w:bookmarkStart w:id="48" w:name="_Toc447188669"/>
      <w:bookmarkStart w:id="49" w:name="_Toc226969279"/>
      <w:bookmarkStart w:id="50" w:name="_Toc24397"/>
      <w:bookmarkStart w:id="51" w:name="_Toc9661"/>
      <w:bookmarkStart w:id="52" w:name="_Toc447265218"/>
      <w:bookmarkStart w:id="53" w:name="_Toc447265504"/>
      <w:r>
        <w:rPr>
          <w:rFonts w:hint="eastAsia" w:asciiTheme="minorEastAsia" w:hAnsiTheme="minorEastAsia" w:eastAsiaTheme="minorEastAsia"/>
          <w:color w:val="auto"/>
          <w:sz w:val="24"/>
          <w:szCs w:val="24"/>
          <w:highlight w:val="none"/>
        </w:rPr>
        <w:t>1.2资金</w:t>
      </w:r>
      <w:bookmarkEnd w:id="47"/>
      <w:bookmarkEnd w:id="48"/>
      <w:bookmarkEnd w:id="49"/>
      <w:r>
        <w:rPr>
          <w:rFonts w:hint="eastAsia" w:asciiTheme="minorEastAsia" w:hAnsiTheme="minorEastAsia" w:eastAsiaTheme="minorEastAsia"/>
          <w:color w:val="auto"/>
          <w:sz w:val="24"/>
          <w:szCs w:val="24"/>
          <w:highlight w:val="none"/>
        </w:rPr>
        <w:t>落实情况</w:t>
      </w:r>
      <w:bookmarkEnd w:id="50"/>
      <w:bookmarkEnd w:id="51"/>
      <w:bookmarkEnd w:id="52"/>
      <w:bookmarkEnd w:id="53"/>
    </w:p>
    <w:p w14:paraId="7702CD0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本项目资金已落实。</w:t>
      </w:r>
    </w:p>
    <w:p w14:paraId="38BECDE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4" w:name="_Toc447265505"/>
      <w:bookmarkStart w:id="55" w:name="_Toc447188670"/>
      <w:bookmarkStart w:id="56" w:name="_Toc7411"/>
      <w:bookmarkStart w:id="57" w:name="_Toc447265219"/>
      <w:bookmarkStart w:id="58" w:name="_Toc6988"/>
      <w:r>
        <w:rPr>
          <w:rFonts w:hint="eastAsia" w:asciiTheme="minorEastAsia" w:hAnsiTheme="minorEastAsia" w:eastAsiaTheme="minorEastAsia"/>
          <w:color w:val="auto"/>
          <w:sz w:val="24"/>
          <w:szCs w:val="24"/>
          <w:highlight w:val="none"/>
        </w:rPr>
        <w:t>1.3采购范围</w:t>
      </w:r>
      <w:bookmarkEnd w:id="54"/>
      <w:bookmarkEnd w:id="55"/>
      <w:bookmarkEnd w:id="56"/>
      <w:bookmarkEnd w:id="57"/>
      <w:bookmarkEnd w:id="58"/>
    </w:p>
    <w:p w14:paraId="4806DF1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本项目采购范围：见供应商须知前附表。</w:t>
      </w:r>
    </w:p>
    <w:p w14:paraId="6745DADA">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9" w:name="_Toc7840"/>
      <w:bookmarkStart w:id="60" w:name="_Toc26180"/>
      <w:r>
        <w:rPr>
          <w:rFonts w:hint="eastAsia" w:asciiTheme="minorEastAsia" w:hAnsiTheme="minorEastAsia" w:eastAsiaTheme="minorEastAsia"/>
          <w:color w:val="auto"/>
          <w:sz w:val="24"/>
          <w:szCs w:val="24"/>
          <w:highlight w:val="none"/>
        </w:rPr>
        <w:t>1.4标包划分</w:t>
      </w:r>
      <w:bookmarkEnd w:id="59"/>
      <w:bookmarkEnd w:id="60"/>
    </w:p>
    <w:p w14:paraId="1A2CA1B6">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w:t>
      </w:r>
      <w:r>
        <w:rPr>
          <w:rFonts w:hint="eastAsia" w:asciiTheme="minorEastAsia" w:hAnsiTheme="minorEastAsia" w:eastAsiaTheme="minorEastAsia"/>
          <w:color w:val="auto"/>
          <w:highlight w:val="none"/>
          <w:lang w:val="en-US" w:eastAsia="zh-CN"/>
        </w:rPr>
        <w:t>不划分标包</w:t>
      </w:r>
      <w:r>
        <w:rPr>
          <w:rFonts w:hint="eastAsia" w:asciiTheme="minorEastAsia" w:hAnsiTheme="minorEastAsia" w:eastAsiaTheme="minorEastAsia"/>
          <w:color w:val="auto"/>
          <w:highlight w:val="none"/>
        </w:rPr>
        <w:t>。</w:t>
      </w:r>
    </w:p>
    <w:bookmarkEnd w:id="29"/>
    <w:p w14:paraId="502D9B5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1" w:name="_Toc227057888"/>
      <w:bookmarkStart w:id="62" w:name="_Toc12765"/>
      <w:bookmarkStart w:id="63" w:name="_Toc14319"/>
      <w:bookmarkStart w:id="64" w:name="_Toc447188672"/>
      <w:bookmarkStart w:id="65" w:name="_Toc447265507"/>
      <w:bookmarkStart w:id="66" w:name="_Toc447265221"/>
      <w:bookmarkStart w:id="67" w:name="_Toc226969281"/>
      <w:bookmarkStart w:id="68" w:name="_Toc107822486"/>
      <w:r>
        <w:rPr>
          <w:rFonts w:hint="eastAsia" w:asciiTheme="minorEastAsia" w:hAnsiTheme="minorEastAsia" w:eastAsiaTheme="minorEastAsia"/>
          <w:color w:val="auto"/>
          <w:sz w:val="24"/>
          <w:szCs w:val="24"/>
          <w:highlight w:val="none"/>
        </w:rPr>
        <w:t>1.5询比方式</w:t>
      </w:r>
      <w:bookmarkEnd w:id="61"/>
      <w:bookmarkEnd w:id="62"/>
      <w:bookmarkEnd w:id="63"/>
      <w:bookmarkEnd w:id="64"/>
      <w:bookmarkEnd w:id="65"/>
      <w:bookmarkEnd w:id="66"/>
      <w:bookmarkEnd w:id="67"/>
      <w:bookmarkEnd w:id="68"/>
    </w:p>
    <w:p w14:paraId="5A91ED3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1.5.1询比方式见供应商须知前附表。</w:t>
      </w:r>
    </w:p>
    <w:p w14:paraId="2EC3ADD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1.5.2公开询比，是指采购人以询比公告的方式邀请不特定的法人或者其他组织参加询比响应。</w:t>
      </w:r>
    </w:p>
    <w:p w14:paraId="736EC7A5">
      <w:pPr>
        <w:pStyle w:val="40"/>
        <w:tabs>
          <w:tab w:val="left" w:pos="630"/>
        </w:tabs>
        <w:snapToGrid w:val="0"/>
        <w:spacing w:line="440" w:lineRule="exact"/>
        <w:ind w:firstLine="424" w:firstLineChars="202"/>
        <w:rPr>
          <w:rFonts w:hint="eastAsia" w:asciiTheme="minorEastAsia" w:hAnsiTheme="minorEastAsia" w:eastAsiaTheme="minorEastAsia"/>
          <w:color w:val="auto"/>
          <w:highlight w:val="none"/>
          <w:lang w:eastAsia="zh-CN"/>
        </w:rPr>
      </w:pPr>
      <w:r>
        <w:rPr>
          <w:rFonts w:asciiTheme="minorEastAsia" w:hAnsiTheme="minorEastAsia" w:eastAsiaTheme="minorEastAsia"/>
          <w:color w:val="auto"/>
          <w:highlight w:val="none"/>
        </w:rPr>
        <w:t>1.5.3</w:t>
      </w:r>
      <w:r>
        <w:rPr>
          <w:rFonts w:hint="eastAsia" w:asciiTheme="minorEastAsia" w:hAnsiTheme="minorEastAsia" w:eastAsiaTheme="minorEastAsia"/>
          <w:color w:val="auto"/>
          <w:highlight w:val="none"/>
        </w:rPr>
        <w:t>邀请询比，是指采购人以询比邀请书的方式邀请特定的法人或者其他组织参加询比响应。</w:t>
      </w:r>
    </w:p>
    <w:p w14:paraId="77CC63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9" w:name="_Toc227057887"/>
      <w:bookmarkStart w:id="70" w:name="_Toc31553"/>
      <w:bookmarkStart w:id="71" w:name="_Toc447265508"/>
      <w:bookmarkStart w:id="72" w:name="_Toc107822485"/>
      <w:bookmarkStart w:id="73" w:name="_Toc226969280"/>
      <w:bookmarkStart w:id="74" w:name="_Toc447188673"/>
      <w:bookmarkStart w:id="75" w:name="_Toc447265222"/>
      <w:bookmarkStart w:id="76" w:name="_Toc26221"/>
      <w:bookmarkStart w:id="77" w:name="_Toc226969282"/>
      <w:bookmarkStart w:id="78" w:name="_Toc227057889"/>
      <w:r>
        <w:rPr>
          <w:rFonts w:hint="eastAsia" w:asciiTheme="minorEastAsia" w:hAnsiTheme="minorEastAsia" w:eastAsiaTheme="minorEastAsia"/>
          <w:color w:val="auto"/>
          <w:sz w:val="24"/>
          <w:szCs w:val="24"/>
          <w:highlight w:val="none"/>
        </w:rPr>
        <w:t>1.6询比组织形式</w:t>
      </w:r>
      <w:bookmarkEnd w:id="69"/>
      <w:bookmarkEnd w:id="70"/>
      <w:bookmarkEnd w:id="71"/>
      <w:bookmarkEnd w:id="72"/>
      <w:bookmarkEnd w:id="73"/>
      <w:bookmarkEnd w:id="74"/>
      <w:bookmarkEnd w:id="75"/>
      <w:bookmarkEnd w:id="76"/>
    </w:p>
    <w:p w14:paraId="4B12225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本项目由采购人自行组织</w:t>
      </w:r>
      <w:r>
        <w:rPr>
          <w:rFonts w:cs="宋体" w:asciiTheme="minorEastAsia" w:hAnsiTheme="minorEastAsia" w:eastAsiaTheme="minorEastAsia"/>
          <w:color w:val="auto"/>
          <w:szCs w:val="21"/>
          <w:highlight w:val="none"/>
        </w:rPr>
        <w:t>/委托</w:t>
      </w:r>
      <w:r>
        <w:rPr>
          <w:rFonts w:hint="eastAsia" w:cs="宋体" w:asciiTheme="minorEastAsia" w:hAnsiTheme="minorEastAsia" w:eastAsiaTheme="minorEastAsia"/>
          <w:color w:val="auto"/>
          <w:szCs w:val="21"/>
          <w:highlight w:val="none"/>
        </w:rPr>
        <w:t>采购代理机构采用代理询比的方式进行，询比组织形式、采购代理机构名称及联系方式见供应商须知前附表。</w:t>
      </w:r>
    </w:p>
    <w:p w14:paraId="657D173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79" w:name="_Toc447265509"/>
      <w:bookmarkStart w:id="80" w:name="_Toc11103"/>
      <w:bookmarkStart w:id="81" w:name="_Toc447188674"/>
      <w:bookmarkStart w:id="82" w:name="_Toc447265223"/>
      <w:bookmarkStart w:id="83" w:name="_Toc17788"/>
      <w:r>
        <w:rPr>
          <w:rFonts w:hint="eastAsia" w:asciiTheme="minorEastAsia" w:hAnsiTheme="minorEastAsia" w:eastAsiaTheme="minorEastAsia"/>
          <w:color w:val="auto"/>
          <w:sz w:val="24"/>
          <w:szCs w:val="24"/>
          <w:highlight w:val="none"/>
        </w:rPr>
        <w:t>1.7资格审查</w:t>
      </w:r>
      <w:bookmarkEnd w:id="77"/>
      <w:bookmarkEnd w:id="78"/>
      <w:bookmarkEnd w:id="79"/>
      <w:bookmarkEnd w:id="80"/>
      <w:bookmarkEnd w:id="81"/>
      <w:bookmarkEnd w:id="82"/>
      <w:bookmarkEnd w:id="83"/>
    </w:p>
    <w:p w14:paraId="74E2EEFE">
      <w:pPr>
        <w:adjustRightInd w:val="0"/>
        <w:snapToGrid w:val="0"/>
        <w:spacing w:line="440" w:lineRule="exact"/>
        <w:ind w:firstLine="424" w:firstLineChars="202"/>
        <w:rPr>
          <w:rFonts w:cs="宋体" w:asciiTheme="minorEastAsia" w:hAnsiTheme="minorEastAsia" w:eastAsiaTheme="minorEastAsia"/>
          <w:color w:val="auto"/>
          <w:szCs w:val="21"/>
          <w:highlight w:val="none"/>
        </w:rPr>
      </w:pPr>
      <w:bookmarkStart w:id="84" w:name="_Toc447188675"/>
      <w:bookmarkStart w:id="85" w:name="_Toc447265224"/>
      <w:bookmarkStart w:id="86" w:name="_Toc447265510"/>
      <w:r>
        <w:rPr>
          <w:rFonts w:hint="eastAsia" w:cs="宋体" w:asciiTheme="minorEastAsia" w:hAnsiTheme="minorEastAsia" w:eastAsiaTheme="minorEastAsia"/>
          <w:color w:val="auto"/>
          <w:szCs w:val="21"/>
          <w:highlight w:val="none"/>
        </w:rPr>
        <w:t>1.7.1本询比项目资格审查方式见供应商须知前附表。</w:t>
      </w:r>
    </w:p>
    <w:p w14:paraId="2BAA2AA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1.7.2资格预审是指在发出询比文件或者询比邀请书前，由资格审查委员会进行的资格审查。采用资格预审方式的，资格条件已经在询比文件发出前的“资格预审文件”中做出规定。</w:t>
      </w:r>
    </w:p>
    <w:p w14:paraId="644CE7E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87" w:name="_Toc226969283"/>
      <w:r>
        <w:rPr>
          <w:rFonts w:hint="eastAsia" w:asciiTheme="minorEastAsia" w:hAnsiTheme="minorEastAsia" w:eastAsiaTheme="minorEastAsia"/>
          <w:color w:val="auto"/>
          <w:highlight w:val="none"/>
        </w:rPr>
        <w:t>资格后审是指在评审阶段，由评审委员会进行的资格审查。</w:t>
      </w:r>
      <w:bookmarkEnd w:id="87"/>
      <w:r>
        <w:rPr>
          <w:rFonts w:hint="eastAsia" w:asciiTheme="minorEastAsia" w:hAnsiTheme="minorEastAsia" w:eastAsiaTheme="minorEastAsia"/>
          <w:color w:val="auto"/>
          <w:highlight w:val="none"/>
        </w:rPr>
        <w:t>采用资格后审方式的，供应商应当具备的资格条件见供应商须知前附表。</w:t>
      </w:r>
    </w:p>
    <w:p w14:paraId="54C5F17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采用资格后审的，采购人必须在询比文件中详细规定资格审查标准和方法。</w:t>
      </w:r>
    </w:p>
    <w:p w14:paraId="1241B10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资格后审一般包括下列内容：</w:t>
      </w:r>
    </w:p>
    <w:p w14:paraId="75A6D548">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资格要求；</w:t>
      </w:r>
    </w:p>
    <w:p w14:paraId="4830E72E">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其他业绩要求；</w:t>
      </w:r>
    </w:p>
    <w:p w14:paraId="2878AABA">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审查标准和方法。</w:t>
      </w:r>
    </w:p>
    <w:p w14:paraId="3A31204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资格后审不合格的供应商，评审委员会应当否决其响应。</w:t>
      </w:r>
    </w:p>
    <w:p w14:paraId="357D137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88" w:name="_Toc12999"/>
      <w:bookmarkStart w:id="89" w:name="_Toc27702"/>
      <w:r>
        <w:rPr>
          <w:rFonts w:hint="eastAsia" w:asciiTheme="minorEastAsia" w:hAnsiTheme="minorEastAsia" w:eastAsiaTheme="minorEastAsia"/>
          <w:color w:val="auto"/>
          <w:sz w:val="24"/>
          <w:szCs w:val="24"/>
          <w:highlight w:val="none"/>
        </w:rPr>
        <w:t>1.8供应商不得存在的情形</w:t>
      </w:r>
      <w:bookmarkEnd w:id="84"/>
      <w:bookmarkEnd w:id="85"/>
      <w:bookmarkEnd w:id="86"/>
      <w:bookmarkEnd w:id="88"/>
      <w:bookmarkEnd w:id="89"/>
    </w:p>
    <w:p w14:paraId="558807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1.8.1单位负责人为同一人或者存在控股、管理关系的不同单位，不得同时参加本项目中同一标包</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或者未划分标包的同一项目</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w:t>
      </w:r>
    </w:p>
    <w:p w14:paraId="5CEDB7E5">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cs="宋体" w:asciiTheme="minorEastAsia" w:hAnsiTheme="minorEastAsia" w:eastAsiaTheme="minorEastAsia"/>
          <w:color w:val="auto"/>
          <w:szCs w:val="21"/>
          <w:highlight w:val="none"/>
        </w:rPr>
        <w:t>1.8.2</w:t>
      </w:r>
      <w:r>
        <w:rPr>
          <w:rFonts w:hint="eastAsia" w:ascii="Times New Roman" w:hAnsi="宋体" w:cs="Times New Roman" w:eastAsiaTheme="minorEastAsia"/>
          <w:color w:val="auto"/>
          <w:highlight w:val="none"/>
        </w:rPr>
        <w:t>供应商不得存在的其他情形详见第一章询比公告或询比邀请书。</w:t>
      </w:r>
    </w:p>
    <w:p w14:paraId="46AAFFB7">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ascii="Times New Roman" w:hAnsi="宋体" w:cs="Times New Roman" w:eastAsiaTheme="minorEastAsia"/>
          <w:color w:val="auto"/>
          <w:highlight w:val="none"/>
        </w:rPr>
        <w:t>供应商是代理商的，本条所指的供应商也包括其所代理的制造商；联合体响应的，联合体成员均不得存在上述任一情形。</w:t>
      </w:r>
    </w:p>
    <w:p w14:paraId="5D1CDCF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0" w:name="_Toc447265511"/>
      <w:bookmarkStart w:id="91" w:name="_Toc227057890"/>
      <w:bookmarkStart w:id="92" w:name="_Toc447188676"/>
      <w:bookmarkStart w:id="93" w:name="_Toc14296"/>
      <w:bookmarkStart w:id="94" w:name="_Toc447265225"/>
      <w:bookmarkStart w:id="95" w:name="_Toc2398"/>
      <w:bookmarkStart w:id="96" w:name="_Toc107822487"/>
      <w:bookmarkStart w:id="97" w:name="_Toc226969284"/>
      <w:r>
        <w:rPr>
          <w:rFonts w:hint="eastAsia" w:asciiTheme="minorEastAsia" w:hAnsiTheme="minorEastAsia" w:eastAsiaTheme="minorEastAsia"/>
          <w:color w:val="auto"/>
          <w:sz w:val="24"/>
          <w:szCs w:val="24"/>
          <w:highlight w:val="none"/>
        </w:rPr>
        <w:t>1.9合格的货物和服务</w:t>
      </w:r>
      <w:bookmarkEnd w:id="90"/>
      <w:bookmarkEnd w:id="91"/>
      <w:bookmarkEnd w:id="92"/>
      <w:bookmarkEnd w:id="93"/>
      <w:bookmarkEnd w:id="94"/>
      <w:bookmarkEnd w:id="95"/>
      <w:bookmarkEnd w:id="96"/>
      <w:bookmarkEnd w:id="97"/>
    </w:p>
    <w:p w14:paraId="6DF9514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1.9.1供应商提供的所有货物及其有关服务的原产地，均应当来自中国或者是与中国有正常贸易往来的国家或者地区。采购人的支付也仅限于这些货物和服务。</w:t>
      </w:r>
    </w:p>
    <w:p w14:paraId="0425B68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1.9.2本询比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0A3C29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1.9.3供应商提供的所有货物及其有关服务应当符合国家规定的资格条件。</w:t>
      </w:r>
    </w:p>
    <w:p w14:paraId="07BC9AB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8" w:name="_Toc107822488"/>
      <w:bookmarkStart w:id="99" w:name="_Toc447265512"/>
      <w:bookmarkStart w:id="100" w:name="_Toc447265226"/>
      <w:bookmarkStart w:id="101" w:name="_Toc227057891"/>
      <w:bookmarkStart w:id="102" w:name="_Toc447188677"/>
      <w:bookmarkStart w:id="103" w:name="_Toc25317"/>
      <w:bookmarkStart w:id="104" w:name="_Toc13037"/>
      <w:bookmarkStart w:id="105" w:name="_Toc226969285"/>
      <w:r>
        <w:rPr>
          <w:rFonts w:hint="eastAsia" w:asciiTheme="minorEastAsia" w:hAnsiTheme="minorEastAsia" w:eastAsiaTheme="minorEastAsia"/>
          <w:color w:val="auto"/>
          <w:sz w:val="24"/>
          <w:szCs w:val="24"/>
          <w:highlight w:val="none"/>
        </w:rPr>
        <w:t>1.10响应费用</w:t>
      </w:r>
      <w:bookmarkEnd w:id="98"/>
      <w:bookmarkEnd w:id="99"/>
      <w:bookmarkEnd w:id="100"/>
      <w:bookmarkEnd w:id="101"/>
      <w:bookmarkEnd w:id="102"/>
      <w:bookmarkEnd w:id="103"/>
      <w:bookmarkEnd w:id="104"/>
      <w:bookmarkEnd w:id="105"/>
    </w:p>
    <w:p w14:paraId="7606B55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不论结果如何，供应商自行承担所有准备和参与询比响应有关的费用。</w:t>
      </w:r>
      <w:bookmarkStart w:id="106" w:name="_Toc107822489"/>
      <w:bookmarkStart w:id="107" w:name="_Toc227057892"/>
      <w:bookmarkStart w:id="108" w:name="_Toc226969286"/>
    </w:p>
    <w:p w14:paraId="571126F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09" w:name="_Toc447265227"/>
      <w:bookmarkStart w:id="110" w:name="_Toc20079"/>
      <w:bookmarkStart w:id="111" w:name="_Toc21593"/>
      <w:bookmarkStart w:id="112" w:name="_Toc447265513"/>
      <w:r>
        <w:rPr>
          <w:rFonts w:hint="eastAsia" w:asciiTheme="minorEastAsia" w:hAnsiTheme="minorEastAsia" w:eastAsiaTheme="minorEastAsia"/>
          <w:color w:val="auto"/>
          <w:sz w:val="24"/>
          <w:szCs w:val="24"/>
          <w:highlight w:val="none"/>
        </w:rPr>
        <w:t>1.11保密</w:t>
      </w:r>
      <w:bookmarkEnd w:id="109"/>
      <w:bookmarkEnd w:id="110"/>
      <w:bookmarkEnd w:id="111"/>
      <w:bookmarkEnd w:id="112"/>
    </w:p>
    <w:p w14:paraId="5099B06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参与询比活动的各方应当对询比文件和响应文件中的商业和技术等秘密保密，违者应当对由此造成的后果承担法律责任。</w:t>
      </w:r>
    </w:p>
    <w:p w14:paraId="0A28622E">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13" w:name="_Toc8595"/>
      <w:r>
        <w:rPr>
          <w:rFonts w:hint="eastAsia" w:asciiTheme="minorEastAsia" w:hAnsiTheme="minorEastAsia" w:eastAsiaTheme="minorEastAsia"/>
          <w:color w:val="auto"/>
          <w:sz w:val="28"/>
          <w:szCs w:val="28"/>
          <w:highlight w:val="none"/>
        </w:rPr>
        <w:t>询比文件</w:t>
      </w:r>
      <w:bookmarkEnd w:id="113"/>
      <w:r>
        <w:rPr>
          <w:rFonts w:hint="eastAsia" w:asciiTheme="minorEastAsia" w:hAnsiTheme="minorEastAsia" w:eastAsiaTheme="minorEastAsia"/>
          <w:color w:val="auto"/>
          <w:sz w:val="28"/>
          <w:szCs w:val="28"/>
          <w:highlight w:val="none"/>
        </w:rPr>
        <w:t xml:space="preserve"> </w:t>
      </w:r>
    </w:p>
    <w:p w14:paraId="109D268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4" w:name="_Toc4956"/>
      <w:bookmarkStart w:id="115" w:name="_Toc447188679"/>
      <w:bookmarkStart w:id="116" w:name="_Toc447265515"/>
      <w:bookmarkStart w:id="117" w:name="_Toc447265229"/>
      <w:bookmarkStart w:id="118" w:name="_Toc11807"/>
      <w:r>
        <w:rPr>
          <w:rFonts w:hint="eastAsia" w:asciiTheme="minorEastAsia" w:hAnsiTheme="minorEastAsia" w:eastAsiaTheme="minorEastAsia"/>
          <w:color w:val="auto"/>
          <w:sz w:val="24"/>
          <w:szCs w:val="24"/>
          <w:highlight w:val="none"/>
        </w:rPr>
        <w:t>2.1</w:t>
      </w:r>
      <w:bookmarkEnd w:id="106"/>
      <w:r>
        <w:rPr>
          <w:rFonts w:hint="eastAsia" w:asciiTheme="minorEastAsia" w:hAnsiTheme="minorEastAsia" w:eastAsiaTheme="minorEastAsia"/>
          <w:color w:val="auto"/>
          <w:sz w:val="24"/>
          <w:szCs w:val="24"/>
          <w:highlight w:val="none"/>
        </w:rPr>
        <w:t>询比文件的组成</w:t>
      </w:r>
      <w:bookmarkEnd w:id="107"/>
      <w:bookmarkEnd w:id="108"/>
      <w:bookmarkEnd w:id="114"/>
      <w:bookmarkEnd w:id="115"/>
      <w:bookmarkEnd w:id="116"/>
      <w:bookmarkEnd w:id="117"/>
      <w:bookmarkEnd w:id="118"/>
    </w:p>
    <w:p w14:paraId="74BA74A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2.1.1询比文件一般由以下部分组成：</w:t>
      </w:r>
    </w:p>
    <w:p w14:paraId="550E49EF">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询比公告</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询比邀请书</w:t>
      </w:r>
    </w:p>
    <w:p w14:paraId="53F8C63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供应商须知</w:t>
      </w:r>
    </w:p>
    <w:p w14:paraId="4ADF4584">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评审办法</w:t>
      </w:r>
    </w:p>
    <w:p w14:paraId="313C6DB6">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商务规范书</w:t>
      </w:r>
    </w:p>
    <w:p w14:paraId="138BEC70">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技术标准和要求/技术规范书/工作任务书</w:t>
      </w:r>
    </w:p>
    <w:p w14:paraId="11437A8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第六章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响应文件格式</w:t>
      </w:r>
    </w:p>
    <w:p w14:paraId="132FD9DB">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第七章 其他</w:t>
      </w:r>
    </w:p>
    <w:p w14:paraId="6A299E49">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r>
        <w:rPr>
          <w:rFonts w:cs="宋体" w:asciiTheme="minorEastAsia" w:hAnsiTheme="minorEastAsia" w:eastAsiaTheme="minorEastAsia"/>
          <w:color w:val="auto"/>
          <w:szCs w:val="21"/>
          <w:highlight w:val="none"/>
        </w:rPr>
        <w:t>另有规定的</w:t>
      </w:r>
      <w:r>
        <w:rPr>
          <w:rFonts w:hint="eastAsia"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见</w:t>
      </w:r>
      <w:r>
        <w:rPr>
          <w:rFonts w:hint="eastAsia" w:cs="宋体" w:asciiTheme="minorEastAsia" w:hAnsiTheme="minorEastAsia" w:eastAsiaTheme="minorEastAsia"/>
          <w:color w:val="auto"/>
          <w:szCs w:val="21"/>
          <w:highlight w:val="none"/>
        </w:rPr>
        <w:t>供应商</w:t>
      </w:r>
      <w:r>
        <w:rPr>
          <w:rFonts w:cs="宋体" w:asciiTheme="minorEastAsia" w:hAnsiTheme="minorEastAsia" w:eastAsiaTheme="minorEastAsia"/>
          <w:color w:val="auto"/>
          <w:szCs w:val="21"/>
          <w:highlight w:val="none"/>
        </w:rPr>
        <w:t>须知前附表</w:t>
      </w:r>
      <w:r>
        <w:rPr>
          <w:rFonts w:hint="eastAsia" w:cs="宋体" w:asciiTheme="minorEastAsia" w:hAnsiTheme="minorEastAsia" w:eastAsiaTheme="minorEastAsia"/>
          <w:color w:val="auto"/>
          <w:szCs w:val="21"/>
          <w:highlight w:val="none"/>
        </w:rPr>
        <w:t>。</w:t>
      </w:r>
    </w:p>
    <w:p w14:paraId="13A086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2.1.2询比文件对同一内容的表述应当一致。第一章“询比公告”或者“询比邀请书”与询比文件在同一内容的表述上有矛盾或者冲突时，以第一章“询比公告”或者“询比邀请书”为准；供应商须知前附表与供应商须知正文在同一内容的表述上有矛盾或者冲突时，以供应商须知前附表为准。</w:t>
      </w:r>
    </w:p>
    <w:p w14:paraId="19DB36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2.1.3采购人在询比文件中以显著的方式标明实质性要求、条件以及不满足实质性要求和条件的响应将被否决的提示；对于非实质性要求和条件，规定允许偏差的最大范围、最高项数和调整偏差的方法。显著标识方式和具体要求见供应商须知前附表。</w:t>
      </w:r>
    </w:p>
    <w:p w14:paraId="70907A5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2.1.4采购人可要求以某一单项报价核定是否低于成本，具体要求见供应商须知前附表。</w:t>
      </w:r>
    </w:p>
    <w:p w14:paraId="3B2CC2D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9" w:name="_Toc29693"/>
      <w:bookmarkStart w:id="120" w:name="_Toc10196"/>
      <w:bookmarkStart w:id="121" w:name="_Toc447265516"/>
      <w:bookmarkStart w:id="122" w:name="_Toc447188680"/>
      <w:bookmarkStart w:id="123" w:name="_Toc447265230"/>
      <w:bookmarkStart w:id="124" w:name="_Toc227057893"/>
      <w:bookmarkStart w:id="125" w:name="_Toc226969287"/>
      <w:bookmarkStart w:id="126" w:name="_Toc107822490"/>
      <w:r>
        <w:rPr>
          <w:rFonts w:hint="eastAsia" w:asciiTheme="minorEastAsia" w:hAnsiTheme="minorEastAsia" w:eastAsiaTheme="minorEastAsia"/>
          <w:color w:val="auto"/>
          <w:sz w:val="24"/>
          <w:szCs w:val="24"/>
          <w:highlight w:val="none"/>
        </w:rPr>
        <w:t>2.2踏勘现场</w:t>
      </w:r>
      <w:bookmarkEnd w:id="119"/>
      <w:bookmarkEnd w:id="120"/>
      <w:bookmarkEnd w:id="121"/>
      <w:bookmarkEnd w:id="122"/>
      <w:bookmarkEnd w:id="123"/>
    </w:p>
    <w:p w14:paraId="75FFE7E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2.2.1供应商须知前附表规定组织踏勘现场的，采购人按照供应商须知前附表规定的时间、地点组织供应商踏勘项目现场。 </w:t>
      </w:r>
    </w:p>
    <w:p w14:paraId="1BF85FE7">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2.2.2</w:t>
      </w:r>
      <w:r>
        <w:rPr>
          <w:rFonts w:hint="eastAsia" w:cs="宋体" w:asciiTheme="minorEastAsia" w:hAnsiTheme="minorEastAsia" w:eastAsiaTheme="minorEastAsia"/>
          <w:color w:val="auto"/>
          <w:szCs w:val="21"/>
          <w:highlight w:val="none"/>
        </w:rPr>
        <w:t>潜在供应商踏勘现场发生的费用自理。</w:t>
      </w:r>
    </w:p>
    <w:p w14:paraId="2DD1999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2.2.3</w:t>
      </w:r>
      <w:r>
        <w:rPr>
          <w:rFonts w:hint="eastAsia" w:cs="宋体" w:asciiTheme="minorEastAsia" w:hAnsiTheme="minorEastAsia" w:eastAsiaTheme="minorEastAsia"/>
          <w:color w:val="auto"/>
          <w:szCs w:val="21"/>
          <w:highlight w:val="none"/>
        </w:rPr>
        <w:t>除采购人的原因外，潜在供应商自行负责在踏勘现场中所发生的人员伤亡和财产损失。</w:t>
      </w:r>
    </w:p>
    <w:p w14:paraId="70A1DDB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2.2.4</w:t>
      </w:r>
      <w:r>
        <w:rPr>
          <w:rFonts w:hint="eastAsia" w:cs="宋体" w:asciiTheme="minorEastAsia" w:hAnsiTheme="minorEastAsia" w:eastAsiaTheme="minorEastAsia"/>
          <w:color w:val="auto"/>
          <w:szCs w:val="21"/>
          <w:highlight w:val="none"/>
        </w:rPr>
        <w:t>采购人在踏勘现场中介绍的项目现场和相关的周边环境情况，供潜在供应商在编制响应文件时参考，采购人不对供应商据此作出的判断和决策负责。</w:t>
      </w:r>
    </w:p>
    <w:p w14:paraId="1D2BABF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27" w:name="_Toc447188681"/>
      <w:bookmarkStart w:id="128" w:name="_Toc18238"/>
      <w:bookmarkStart w:id="129" w:name="_Toc447265517"/>
      <w:bookmarkStart w:id="130" w:name="_Toc447265231"/>
      <w:bookmarkStart w:id="131" w:name="_Toc27297"/>
      <w:r>
        <w:rPr>
          <w:rFonts w:hint="eastAsia" w:asciiTheme="minorEastAsia" w:hAnsiTheme="minorEastAsia" w:eastAsiaTheme="minorEastAsia"/>
          <w:color w:val="auto"/>
          <w:sz w:val="24"/>
          <w:szCs w:val="24"/>
          <w:highlight w:val="none"/>
        </w:rPr>
        <w:t>2.3预备会</w:t>
      </w:r>
      <w:bookmarkEnd w:id="127"/>
      <w:bookmarkEnd w:id="128"/>
      <w:bookmarkEnd w:id="129"/>
      <w:bookmarkEnd w:id="130"/>
      <w:bookmarkEnd w:id="131"/>
    </w:p>
    <w:p w14:paraId="5BA8579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供应商须知前附表规定召开预备会的，采购人按照供应商须知前附表规定的时间和地点召开，澄清潜在供应商提出的问题。</w:t>
      </w:r>
    </w:p>
    <w:p w14:paraId="781180F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32" w:name="_Toc19486"/>
      <w:bookmarkStart w:id="133" w:name="_Toc10381"/>
      <w:bookmarkStart w:id="134" w:name="_Toc447265232"/>
      <w:bookmarkStart w:id="135" w:name="_Toc447265518"/>
      <w:bookmarkStart w:id="136" w:name="_Toc447188682"/>
      <w:r>
        <w:rPr>
          <w:rFonts w:hint="eastAsia" w:asciiTheme="minorEastAsia" w:hAnsiTheme="minorEastAsia" w:eastAsiaTheme="minorEastAsia"/>
          <w:color w:val="auto"/>
          <w:sz w:val="24"/>
          <w:szCs w:val="24"/>
          <w:highlight w:val="none"/>
        </w:rPr>
        <w:t>2.4询比文件的澄清</w:t>
      </w:r>
      <w:bookmarkEnd w:id="124"/>
      <w:bookmarkEnd w:id="125"/>
      <w:bookmarkEnd w:id="126"/>
      <w:r>
        <w:rPr>
          <w:rFonts w:hint="eastAsia" w:asciiTheme="minorEastAsia" w:hAnsiTheme="minorEastAsia" w:eastAsiaTheme="minorEastAsia"/>
          <w:color w:val="auto"/>
          <w:sz w:val="24"/>
          <w:szCs w:val="24"/>
          <w:highlight w:val="none"/>
        </w:rPr>
        <w:t>和修改</w:t>
      </w:r>
      <w:bookmarkEnd w:id="132"/>
      <w:bookmarkEnd w:id="133"/>
      <w:bookmarkEnd w:id="134"/>
      <w:bookmarkEnd w:id="135"/>
      <w:bookmarkEnd w:id="136"/>
    </w:p>
    <w:p w14:paraId="23330CFC">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137" w:name="_Toc152042322"/>
      <w:bookmarkStart w:id="138" w:name="_Toc447265233"/>
      <w:bookmarkStart w:id="139" w:name="_Toc447188683"/>
      <w:bookmarkStart w:id="140" w:name="_Toc447265519"/>
      <w:bookmarkStart w:id="141" w:name="_Toc246996934"/>
      <w:bookmarkStart w:id="142" w:name="_Toc296602436"/>
      <w:bookmarkStart w:id="143" w:name="_Toc246996191"/>
      <w:bookmarkStart w:id="144" w:name="_Toc144974514"/>
      <w:bookmarkStart w:id="145" w:name="_Toc247085705"/>
      <w:bookmarkStart w:id="146" w:name="_Toc179632564"/>
      <w:bookmarkStart w:id="147" w:name="_Toc152045546"/>
      <w:bookmarkStart w:id="148" w:name="_Toc227057895"/>
      <w:bookmarkStart w:id="149" w:name="_Toc226969289"/>
      <w:bookmarkStart w:id="150" w:name="_Toc107822492"/>
      <w:r>
        <w:rPr>
          <w:rFonts w:hint="eastAsia" w:cs="宋体" w:asciiTheme="minorEastAsia" w:hAnsiTheme="minorEastAsia" w:eastAsiaTheme="minorEastAsia"/>
          <w:color w:val="auto"/>
          <w:szCs w:val="21"/>
          <w:highlight w:val="none"/>
        </w:rPr>
        <w:t>2.4.1供应商对询比文件有疑问的，应当按照供应商须知前附表规定的时间和方式，要求采购人对询比文件进行澄清。</w:t>
      </w:r>
    </w:p>
    <w:p w14:paraId="270EAC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2.4.2</w:t>
      </w:r>
      <w:r>
        <w:rPr>
          <w:rFonts w:hint="eastAsia" w:cs="宋体" w:asciiTheme="minorEastAsia" w:hAnsiTheme="minorEastAsia" w:eastAsiaTheme="minorEastAsia"/>
          <w:color w:val="auto"/>
          <w:szCs w:val="21"/>
          <w:highlight w:val="none"/>
        </w:rPr>
        <w:t>采购人应当将澄清或者修改内容发给所有获取询比文件的供应商，但不指明问题的来源。</w:t>
      </w:r>
    </w:p>
    <w:p w14:paraId="705F69C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2.4.3</w:t>
      </w:r>
      <w:r>
        <w:rPr>
          <w:rFonts w:hint="eastAsia" w:cs="宋体" w:asciiTheme="minorEastAsia" w:hAnsiTheme="minorEastAsia" w:eastAsiaTheme="minorEastAsia"/>
          <w:color w:val="auto"/>
          <w:szCs w:val="21"/>
          <w:highlight w:val="none"/>
        </w:rPr>
        <w:t>如澄清或者修改的内容可能影响响应文件编制的，应当在提交响应文件截止时间至少2日前发出，不足2日的，采购人应当相应顺延响应截止时间。</w:t>
      </w:r>
    </w:p>
    <w:p w14:paraId="4BFE9F2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2.4.4供应商收到澄清或者修改后，应当按照供应商须知前附表规定的时间和方式通知采购人，确认已收到该澄清或者修改。</w:t>
      </w:r>
    </w:p>
    <w:p w14:paraId="0A6BF34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2.4.5所有关于询比文件的澄清和修改均作为询比文件的补充部分。当询比文件、询比文件的澄清或者修改等在同一内容的表述上不一致时，以最后发出的书面文件为准。</w:t>
      </w:r>
    </w:p>
    <w:p w14:paraId="610DD38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1" w:name="_Toc1798"/>
      <w:bookmarkStart w:id="152" w:name="_Toc14853"/>
      <w:r>
        <w:rPr>
          <w:rFonts w:hint="eastAsia" w:asciiTheme="minorEastAsia" w:hAnsiTheme="minorEastAsia" w:eastAsiaTheme="minorEastAsia"/>
          <w:color w:val="auto"/>
          <w:sz w:val="24"/>
          <w:szCs w:val="24"/>
          <w:highlight w:val="none"/>
        </w:rPr>
        <w:t>2.5 询比文件的异议</w:t>
      </w:r>
      <w:bookmarkEnd w:id="151"/>
      <w:bookmarkEnd w:id="152"/>
    </w:p>
    <w:p w14:paraId="632E731B">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以书面形式提出。采购人应当自收到异议之日起3日内作出答复；作出答复前，应当暂停询比活动。已作出明确答复，且无新的事实证据，就同一事项反复提出异议的，不予受理。</w:t>
      </w:r>
    </w:p>
    <w:bookmarkEnd w:id="137"/>
    <w:bookmarkEnd w:id="138"/>
    <w:bookmarkEnd w:id="139"/>
    <w:bookmarkEnd w:id="140"/>
    <w:bookmarkEnd w:id="141"/>
    <w:bookmarkEnd w:id="142"/>
    <w:bookmarkEnd w:id="143"/>
    <w:bookmarkEnd w:id="144"/>
    <w:bookmarkEnd w:id="145"/>
    <w:bookmarkEnd w:id="146"/>
    <w:bookmarkEnd w:id="147"/>
    <w:p w14:paraId="51ABB4E8">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53" w:name="_Toc24915"/>
      <w:r>
        <w:rPr>
          <w:rFonts w:hint="eastAsia" w:asciiTheme="minorEastAsia" w:hAnsiTheme="minorEastAsia" w:eastAsiaTheme="minorEastAsia"/>
          <w:color w:val="auto"/>
          <w:sz w:val="28"/>
          <w:szCs w:val="28"/>
          <w:highlight w:val="none"/>
        </w:rPr>
        <w:t>响应文件</w:t>
      </w:r>
      <w:bookmarkEnd w:id="153"/>
    </w:p>
    <w:bookmarkEnd w:id="30"/>
    <w:bookmarkEnd w:id="148"/>
    <w:bookmarkEnd w:id="149"/>
    <w:bookmarkEnd w:id="150"/>
    <w:p w14:paraId="50C9ED7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4" w:name="_Toc107822493"/>
      <w:bookmarkStart w:id="155" w:name="_Toc226969290"/>
      <w:bookmarkStart w:id="156" w:name="_Toc227057896"/>
      <w:bookmarkStart w:id="157" w:name="_Toc30191"/>
      <w:bookmarkStart w:id="158" w:name="_Toc9159"/>
      <w:bookmarkStart w:id="159" w:name="_Toc447265234"/>
      <w:bookmarkStart w:id="160" w:name="_Toc447188684"/>
      <w:bookmarkStart w:id="161" w:name="_Toc450489293"/>
      <w:bookmarkStart w:id="162" w:name="_Toc447265520"/>
      <w:bookmarkStart w:id="163" w:name="_Toc447265528"/>
      <w:bookmarkStart w:id="164" w:name="_Toc184635074"/>
      <w:bookmarkStart w:id="165" w:name="_Toc447265242"/>
      <w:bookmarkStart w:id="166" w:name="_Toc488655848"/>
      <w:bookmarkStart w:id="167" w:name="_Toc107822503"/>
      <w:bookmarkStart w:id="168" w:name="_Toc227057906"/>
      <w:bookmarkStart w:id="169" w:name="_Toc226969300"/>
      <w:r>
        <w:rPr>
          <w:rFonts w:hint="eastAsia" w:asciiTheme="minorEastAsia" w:hAnsiTheme="minorEastAsia" w:eastAsiaTheme="minorEastAsia"/>
          <w:color w:val="auto"/>
          <w:sz w:val="24"/>
          <w:szCs w:val="24"/>
          <w:highlight w:val="none"/>
        </w:rPr>
        <w:t>3.1响应文件的</w:t>
      </w:r>
      <w:bookmarkEnd w:id="154"/>
      <w:bookmarkEnd w:id="155"/>
      <w:bookmarkEnd w:id="156"/>
      <w:r>
        <w:rPr>
          <w:rFonts w:hint="eastAsia" w:asciiTheme="minorEastAsia" w:hAnsiTheme="minorEastAsia" w:eastAsiaTheme="minorEastAsia"/>
          <w:color w:val="auto"/>
          <w:sz w:val="24"/>
          <w:szCs w:val="24"/>
          <w:highlight w:val="none"/>
        </w:rPr>
        <w:t>组成</w:t>
      </w:r>
      <w:bookmarkEnd w:id="157"/>
      <w:bookmarkEnd w:id="158"/>
      <w:bookmarkEnd w:id="159"/>
      <w:bookmarkEnd w:id="160"/>
      <w:bookmarkEnd w:id="161"/>
      <w:bookmarkEnd w:id="162"/>
    </w:p>
    <w:p w14:paraId="29592C6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供应商应当按照供应商须知前附表的要求制作并提交响应文件。响应文件组成见供应商须知前附表。</w:t>
      </w:r>
    </w:p>
    <w:p w14:paraId="71EAFE5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0" w:name="_Toc447265521"/>
      <w:bookmarkStart w:id="171" w:name="_Toc32640"/>
      <w:bookmarkStart w:id="172" w:name="_Toc28462"/>
      <w:bookmarkStart w:id="173" w:name="_Toc447265235"/>
      <w:bookmarkStart w:id="174" w:name="_Toc447188685"/>
      <w:bookmarkStart w:id="175" w:name="_Toc450489294"/>
      <w:r>
        <w:rPr>
          <w:rFonts w:hint="eastAsia" w:asciiTheme="minorEastAsia" w:hAnsiTheme="minorEastAsia" w:eastAsiaTheme="minorEastAsia"/>
          <w:color w:val="auto"/>
          <w:sz w:val="24"/>
          <w:szCs w:val="24"/>
          <w:highlight w:val="none"/>
        </w:rPr>
        <w:t>3.2响应文件的编制</w:t>
      </w:r>
      <w:bookmarkEnd w:id="170"/>
      <w:bookmarkEnd w:id="171"/>
      <w:bookmarkEnd w:id="172"/>
      <w:bookmarkEnd w:id="173"/>
      <w:bookmarkEnd w:id="174"/>
      <w:bookmarkEnd w:id="175"/>
    </w:p>
    <w:p w14:paraId="0AA9929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3.2.1供应商应当按照询比文件的要求编制响应文件，响应文件应当对询比文件提出的实质性要求和条件作出响应。</w:t>
      </w:r>
    </w:p>
    <w:p w14:paraId="2DCA618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3.2.2</w:t>
      </w:r>
      <w:r>
        <w:rPr>
          <w:rFonts w:hint="eastAsia" w:asciiTheme="minorEastAsia" w:hAnsiTheme="minorEastAsia" w:eastAsiaTheme="minorEastAsia"/>
          <w:color w:val="auto"/>
          <w:highlight w:val="none"/>
        </w:rPr>
        <w:t>供应商应当认真阅读询比文件中所有的事项、格式、条款和技术规范等。供应商没有按照询比文件要求提交全部资料或者供应商没有对询比文件在各方面都作出实质性响应是供应商的风险，并可能导致其响应被否决。响应文件响应和编写的具体要求见供应商须知前附表。</w:t>
      </w:r>
    </w:p>
    <w:p w14:paraId="7E0343F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3.2.3供应商提交的响应文件以及供应商与采购人就有关响应的所有往来函电均应当使用中文。供应商提交的证明文件和文献可以使用另一种语言，但相应内容应当译成中文，在解释响应文件时以中文译本为准。</w:t>
      </w:r>
    </w:p>
    <w:p w14:paraId="4C721B9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3.2.4纸质响应文件应当使用不褪色的材料书写或者打印，并加盖单位公章或者由供应商的法定代表人或者其委托代理人签字。委托代理人签字的，响应文件应当附法定代表人签署的授权委托书。响应文件应当尽量避免涂改、行间插字或者删除。如果出现上述情况，改动之处应当加盖单位公章或者由供应商的法定代表人或者其委托代理人签字确认。盖章或者签字另有要求的，见供应商须知前附表。</w:t>
      </w:r>
    </w:p>
    <w:p w14:paraId="579B3DC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6" w:name="_Toc447265236"/>
      <w:bookmarkStart w:id="177" w:name="_Toc24856"/>
      <w:bookmarkStart w:id="178" w:name="_Toc447265522"/>
      <w:bookmarkStart w:id="179" w:name="_Toc450489295"/>
      <w:bookmarkStart w:id="180" w:name="_Toc447188686"/>
      <w:bookmarkStart w:id="181" w:name="_Toc107822495"/>
      <w:bookmarkStart w:id="182" w:name="_Toc226969292"/>
      <w:bookmarkStart w:id="183" w:name="_Toc227057898"/>
      <w:bookmarkStart w:id="184" w:name="_Toc14032"/>
      <w:r>
        <w:rPr>
          <w:rFonts w:hint="eastAsia" w:asciiTheme="minorEastAsia" w:hAnsiTheme="minorEastAsia" w:eastAsiaTheme="minorEastAsia"/>
          <w:color w:val="auto"/>
          <w:sz w:val="24"/>
          <w:szCs w:val="24"/>
          <w:highlight w:val="none"/>
        </w:rPr>
        <w:t>3.3响应报价</w:t>
      </w:r>
      <w:bookmarkEnd w:id="176"/>
      <w:bookmarkEnd w:id="177"/>
      <w:bookmarkEnd w:id="178"/>
      <w:bookmarkEnd w:id="179"/>
      <w:bookmarkEnd w:id="180"/>
      <w:bookmarkEnd w:id="181"/>
      <w:bookmarkEnd w:id="182"/>
      <w:bookmarkEnd w:id="183"/>
      <w:bookmarkEnd w:id="184"/>
    </w:p>
    <w:p w14:paraId="40A429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3.3.1供应商应当根据询比文件要求进行报价，供应商应当报出符合询比文件要求的拟提供响应货物的单价（如适用）和总价。</w:t>
      </w:r>
    </w:p>
    <w:p w14:paraId="7853BAD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3.3.2</w:t>
      </w:r>
      <w:r>
        <w:rPr>
          <w:rFonts w:hint="eastAsia" w:asciiTheme="minorEastAsia" w:hAnsiTheme="minorEastAsia" w:eastAsiaTheme="minorEastAsia"/>
          <w:color w:val="auto"/>
          <w:highlight w:val="none"/>
        </w:rPr>
        <w:t>响应货币：人民币。</w:t>
      </w:r>
    </w:p>
    <w:p w14:paraId="311B63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3.3.3采购人设有最高响应限价的，供应商的响应报价不得超过最高响应限价，否则其响应将被否决。最高响应限价或者其计算方法见供应商须知前附表。</w:t>
      </w:r>
    </w:p>
    <w:p w14:paraId="584CEF6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3.3.4采购人不接受供应商的任何低于成本报价的不正当竞争方式。</w:t>
      </w:r>
    </w:p>
    <w:p w14:paraId="2E05B1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3.3.5只有在询比文件要求或者允许报优惠价时，供应商才可以报出。供应商优惠报价的数额，响应文件开启时也必须当众公布。关于优惠条件的规定见供应商须知前附表。</w:t>
      </w:r>
    </w:p>
    <w:p w14:paraId="36BAEF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3.3.6响应报价的具体要求见供应商须知前附表。</w:t>
      </w:r>
    </w:p>
    <w:p w14:paraId="70EADDD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85" w:name="_Toc31915"/>
      <w:bookmarkStart w:id="186" w:name="_Toc447188687"/>
      <w:bookmarkStart w:id="187" w:name="_Toc447265237"/>
      <w:bookmarkStart w:id="188" w:name="_Toc226969296"/>
      <w:bookmarkStart w:id="189" w:name="_Toc450489296"/>
      <w:bookmarkStart w:id="190" w:name="_Toc107822500"/>
      <w:bookmarkStart w:id="191" w:name="_Toc447265523"/>
      <w:bookmarkStart w:id="192" w:name="_Toc227057902"/>
      <w:bookmarkStart w:id="193" w:name="_Toc22091"/>
      <w:bookmarkStart w:id="194" w:name="_Toc226969295"/>
      <w:bookmarkStart w:id="195" w:name="_Toc227057901"/>
      <w:bookmarkStart w:id="196" w:name="_Toc107822499"/>
      <w:r>
        <w:rPr>
          <w:rFonts w:hint="eastAsia" w:asciiTheme="minorEastAsia" w:hAnsiTheme="minorEastAsia" w:eastAsiaTheme="minorEastAsia"/>
          <w:color w:val="auto"/>
          <w:sz w:val="24"/>
          <w:szCs w:val="24"/>
          <w:highlight w:val="none"/>
        </w:rPr>
        <w:t>3.4</w:t>
      </w:r>
      <w:bookmarkEnd w:id="185"/>
      <w:bookmarkEnd w:id="186"/>
      <w:bookmarkEnd w:id="187"/>
      <w:bookmarkEnd w:id="188"/>
      <w:bookmarkEnd w:id="189"/>
      <w:bookmarkEnd w:id="190"/>
      <w:bookmarkEnd w:id="191"/>
      <w:bookmarkEnd w:id="192"/>
      <w:r>
        <w:rPr>
          <w:rFonts w:hint="eastAsia" w:asciiTheme="minorEastAsia" w:hAnsiTheme="minorEastAsia" w:eastAsiaTheme="minorEastAsia"/>
          <w:color w:val="auto"/>
          <w:sz w:val="24"/>
          <w:szCs w:val="24"/>
          <w:highlight w:val="none"/>
        </w:rPr>
        <w:t>响应有效期</w:t>
      </w:r>
      <w:bookmarkEnd w:id="193"/>
    </w:p>
    <w:p w14:paraId="3AB8D52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3.4.1响应有效期从提交响应文件截止日起计算。响应有效期的具体时间见供应商须知前附表。在此期间，供应商不得要求撤销或者修改其响应文件。响应有效期不满足询比文件要求的响应将被否决。</w:t>
      </w:r>
    </w:p>
    <w:p w14:paraId="56E734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3.4.2</w:t>
      </w:r>
      <w:r>
        <w:rPr>
          <w:rFonts w:hint="eastAsia" w:asciiTheme="minorEastAsia" w:hAnsiTheme="minorEastAsia" w:eastAsiaTheme="minorEastAsia"/>
          <w:color w:val="auto"/>
          <w:highlight w:val="none"/>
        </w:rPr>
        <w:t>在原定响应有效期满之前，如果出现特殊情况，采购人决定延长响应有效期的，应当以书面形式向供应商提出延长响应有效期的要求，供应商须以书面形式予以答复。供应商同意延长响应有效期的，不得修改其响应文件的实质性内容，但应当相应延长其响应保证金有效期；供应商拒绝延长响应有效期的，其响应失效，供应商有权收回其响应保证金。</w:t>
      </w:r>
    </w:p>
    <w:p w14:paraId="60FC45B7">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97" w:name="_Toc447265524"/>
      <w:bookmarkStart w:id="198" w:name="_Toc447188688"/>
      <w:bookmarkStart w:id="199" w:name="_Toc19693"/>
      <w:bookmarkStart w:id="200" w:name="_Toc447265238"/>
      <w:bookmarkStart w:id="201" w:name="_Toc450489297"/>
      <w:bookmarkStart w:id="202" w:name="_Toc9033"/>
      <w:r>
        <w:rPr>
          <w:rFonts w:hint="eastAsia" w:asciiTheme="minorEastAsia" w:hAnsiTheme="minorEastAsia" w:eastAsiaTheme="minorEastAsia"/>
          <w:color w:val="auto"/>
          <w:sz w:val="24"/>
          <w:szCs w:val="24"/>
          <w:highlight w:val="none"/>
        </w:rPr>
        <w:t>3.5</w:t>
      </w:r>
      <w:bookmarkEnd w:id="194"/>
      <w:bookmarkEnd w:id="195"/>
      <w:bookmarkEnd w:id="196"/>
      <w:bookmarkEnd w:id="197"/>
      <w:bookmarkEnd w:id="198"/>
      <w:bookmarkEnd w:id="199"/>
      <w:bookmarkEnd w:id="200"/>
      <w:bookmarkEnd w:id="201"/>
      <w:r>
        <w:rPr>
          <w:rFonts w:hint="eastAsia" w:asciiTheme="minorEastAsia" w:hAnsiTheme="minorEastAsia" w:eastAsiaTheme="minorEastAsia"/>
          <w:color w:val="auto"/>
          <w:sz w:val="24"/>
          <w:szCs w:val="24"/>
          <w:highlight w:val="none"/>
        </w:rPr>
        <w:t>响应保证金</w:t>
      </w:r>
      <w:bookmarkEnd w:id="202"/>
    </w:p>
    <w:p w14:paraId="79D0E3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采购人要求供应商递交响应保证金的，供应商必须在提交响应文件的同时，按照供应商须知前附表的规定递交响应保证金。响应保证金一般不超过项目估算价的2%，本询比项目的响应保证金金额见供应商须知前附表。</w:t>
      </w:r>
    </w:p>
    <w:p w14:paraId="3262C48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3.5.2采购人可以规定响应保证金是以现金、支票、银行汇票、在中国注册的银行出具的银行保函等方式递交，响应保证金有效期应当与响应有效期一致。响应保证金的形式见供应商须知前附表。</w:t>
      </w:r>
    </w:p>
    <w:p w14:paraId="04AE346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3.5.3采购人最迟应当在书面合同签订后5日内向成交供应商和未成交的供应商退还响应保证金及银行同期存款利息。</w:t>
      </w:r>
    </w:p>
    <w:p w14:paraId="173F9ED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3.5.4</w:t>
      </w:r>
      <w:r>
        <w:rPr>
          <w:rFonts w:hint="eastAsia" w:asciiTheme="minorEastAsia" w:hAnsiTheme="minorEastAsia" w:eastAsiaTheme="minorEastAsia"/>
          <w:color w:val="auto"/>
          <w:highlight w:val="none"/>
        </w:rPr>
        <w:t>下列任何情况发生时，响应保证金可不予退还：</w:t>
      </w:r>
    </w:p>
    <w:p w14:paraId="17B506A2">
      <w:pPr>
        <w:tabs>
          <w:tab w:val="left" w:pos="630"/>
        </w:tabs>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（1）供应商</w:t>
      </w:r>
      <w:r>
        <w:rPr>
          <w:rFonts w:asciiTheme="minorEastAsia" w:hAnsiTheme="minorEastAsia" w:eastAsiaTheme="minorEastAsia"/>
          <w:color w:val="auto"/>
          <w:highlight w:val="none"/>
        </w:rPr>
        <w:t>在</w:t>
      </w:r>
      <w:r>
        <w:rPr>
          <w:rFonts w:hint="eastAsia" w:asciiTheme="minorEastAsia" w:hAnsiTheme="minorEastAsia" w:eastAsiaTheme="minorEastAsia"/>
          <w:color w:val="auto"/>
          <w:highlight w:val="none"/>
        </w:rPr>
        <w:t>询比文件</w:t>
      </w:r>
      <w:r>
        <w:rPr>
          <w:rFonts w:asciiTheme="minorEastAsia" w:hAnsiTheme="minorEastAsia" w:eastAsiaTheme="minorEastAsia"/>
          <w:color w:val="auto"/>
          <w:highlight w:val="none"/>
        </w:rPr>
        <w:t>中规定的</w:t>
      </w:r>
      <w:r>
        <w:rPr>
          <w:rFonts w:hint="eastAsia" w:asciiTheme="minorEastAsia" w:hAnsiTheme="minorEastAsia" w:eastAsiaTheme="minorEastAsia"/>
          <w:color w:val="auto"/>
          <w:highlight w:val="none"/>
        </w:rPr>
        <w:t>响应有效期</w:t>
      </w:r>
      <w:r>
        <w:rPr>
          <w:rFonts w:asciiTheme="minorEastAsia" w:hAnsiTheme="minorEastAsia" w:eastAsiaTheme="minorEastAsia"/>
          <w:color w:val="auto"/>
          <w:highlight w:val="none"/>
        </w:rPr>
        <w:t>内</w:t>
      </w:r>
      <w:r>
        <w:rPr>
          <w:rFonts w:hint="eastAsia" w:asciiTheme="minorEastAsia" w:hAnsiTheme="minorEastAsia" w:eastAsiaTheme="minorEastAsia"/>
          <w:color w:val="auto"/>
          <w:highlight w:val="none"/>
        </w:rPr>
        <w:t>撤销响应的；</w:t>
      </w:r>
    </w:p>
    <w:p w14:paraId="4BB4BADB">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（2）成交供应商无正当理由不与采购人订立合同，在签订合同时向采购人提出附加条件，或者不按照询比文件要求递交履约保证金的；</w:t>
      </w:r>
    </w:p>
    <w:p w14:paraId="1C16A8AA">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（3）供应商</w:t>
      </w:r>
      <w:r>
        <w:rPr>
          <w:rFonts w:asciiTheme="minorEastAsia" w:hAnsiTheme="minorEastAsia" w:eastAsiaTheme="minorEastAsia"/>
          <w:color w:val="auto"/>
          <w:highlight w:val="none"/>
        </w:rPr>
        <w:t>有串通</w:t>
      </w:r>
      <w:r>
        <w:rPr>
          <w:rFonts w:hint="eastAsia" w:asciiTheme="minorEastAsia" w:hAnsiTheme="minorEastAsia" w:eastAsiaTheme="minorEastAsia"/>
          <w:color w:val="auto"/>
          <w:highlight w:val="none"/>
        </w:rPr>
        <w:t>响应</w:t>
      </w:r>
      <w:r>
        <w:rPr>
          <w:rFonts w:asciiTheme="minorEastAsia" w:hAnsiTheme="minorEastAsia" w:eastAsiaTheme="minorEastAsia"/>
          <w:color w:val="auto"/>
          <w:highlight w:val="none"/>
        </w:rPr>
        <w:t>、弄虚作假等行为的；</w:t>
      </w:r>
    </w:p>
    <w:p w14:paraId="507376AE">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其他规定</w:t>
      </w:r>
      <w:r>
        <w:rPr>
          <w:rFonts w:hint="eastAsia" w:asciiTheme="minorEastAsia" w:hAnsiTheme="minorEastAsia" w:eastAsiaTheme="minorEastAsia"/>
          <w:color w:val="auto"/>
          <w:highlight w:val="none"/>
        </w:rPr>
        <w:t>见供应商须知前附表</w:t>
      </w:r>
      <w:r>
        <w:rPr>
          <w:rFonts w:asciiTheme="minorEastAsia" w:hAnsiTheme="minorEastAsia" w:eastAsiaTheme="minorEastAsia"/>
          <w:color w:val="auto"/>
          <w:highlight w:val="none"/>
        </w:rPr>
        <w:t>。</w:t>
      </w:r>
    </w:p>
    <w:p w14:paraId="33C1952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3.5.5未递交响应保证金或者递交的响应保证金有瑕疵的响应将被否决。</w:t>
      </w:r>
    </w:p>
    <w:p w14:paraId="6D1F504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03" w:name="_Toc227057903"/>
      <w:bookmarkStart w:id="204" w:name="_Toc447265525"/>
      <w:bookmarkStart w:id="205" w:name="_Toc20064"/>
      <w:bookmarkStart w:id="206" w:name="_Toc450489298"/>
      <w:bookmarkStart w:id="207" w:name="_Toc226969297"/>
      <w:bookmarkStart w:id="208" w:name="_Toc1778"/>
      <w:bookmarkStart w:id="209" w:name="_Toc447265239"/>
      <w:bookmarkStart w:id="210" w:name="_Toc447188689"/>
      <w:bookmarkStart w:id="211" w:name="_Toc107822501"/>
      <w:r>
        <w:rPr>
          <w:rFonts w:hint="eastAsia" w:asciiTheme="minorEastAsia" w:hAnsiTheme="minorEastAsia" w:eastAsiaTheme="minorEastAsia"/>
          <w:color w:val="auto"/>
          <w:sz w:val="24"/>
          <w:szCs w:val="24"/>
          <w:highlight w:val="none"/>
        </w:rPr>
        <w:t>3.6备选响应方案</w:t>
      </w:r>
      <w:bookmarkEnd w:id="203"/>
      <w:bookmarkEnd w:id="204"/>
      <w:bookmarkEnd w:id="205"/>
      <w:bookmarkEnd w:id="206"/>
      <w:bookmarkEnd w:id="207"/>
      <w:bookmarkEnd w:id="208"/>
      <w:bookmarkEnd w:id="209"/>
      <w:bookmarkEnd w:id="210"/>
    </w:p>
    <w:p w14:paraId="111763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3.6.1除供应商须知前附表另有规定外，供应商不得提交备选响应方案。</w:t>
      </w:r>
    </w:p>
    <w:p w14:paraId="760FDB5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3.6.2</w:t>
      </w:r>
      <w:r>
        <w:rPr>
          <w:rFonts w:hint="eastAsia" w:asciiTheme="minorEastAsia" w:hAnsiTheme="minorEastAsia" w:eastAsiaTheme="minorEastAsia"/>
          <w:color w:val="auto"/>
          <w:highlight w:val="none"/>
        </w:rPr>
        <w:t>若采购人在询比文件中邀请供应商提交备选方案，则供应商除按照询比文件规定的基本方案编制和提交响应文件外，可以附加提交备选响应方案。</w:t>
      </w:r>
    </w:p>
    <w:p w14:paraId="24DA45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3.6.3</w:t>
      </w:r>
      <w:r>
        <w:rPr>
          <w:rFonts w:hint="eastAsia" w:asciiTheme="minorEastAsia" w:hAnsiTheme="minorEastAsia" w:eastAsiaTheme="minorEastAsia"/>
          <w:color w:val="auto"/>
          <w:highlight w:val="none"/>
        </w:rPr>
        <w:t>备选响应方案应当说明其对基本方案的改进意见和带来的效益，并附必要的图纸、设计计算、技术要求及其它有关资料，在封面上应当注明“备选响应方案”字样。</w:t>
      </w:r>
    </w:p>
    <w:p w14:paraId="55612B5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3.6.4允许供应商提交备选响应方案的，只有符合询比文件要求且综合评分最高而被推荐为成交候选人的供应商所提交的备选响应方案，可予以考虑。评审委员会认为其备选响应方案优于其按照询比文件要求编制的响应方案的，采购人可以接受该备选响应方案。</w:t>
      </w:r>
    </w:p>
    <w:p w14:paraId="18EF04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12" w:name="_Toc226969298"/>
      <w:bookmarkStart w:id="213" w:name="_Toc227057904"/>
      <w:bookmarkStart w:id="214" w:name="_Toc450489299"/>
      <w:bookmarkStart w:id="215" w:name="_Toc447188690"/>
      <w:bookmarkStart w:id="216" w:name="_Toc447265240"/>
      <w:bookmarkStart w:id="217" w:name="_Toc447265526"/>
      <w:bookmarkStart w:id="218" w:name="_Toc8654"/>
      <w:bookmarkStart w:id="219" w:name="_Toc21817"/>
      <w:r>
        <w:rPr>
          <w:rFonts w:hint="eastAsia" w:asciiTheme="minorEastAsia" w:hAnsiTheme="minorEastAsia" w:eastAsiaTheme="minorEastAsia"/>
          <w:color w:val="auto"/>
          <w:sz w:val="24"/>
          <w:szCs w:val="24"/>
          <w:highlight w:val="none"/>
        </w:rPr>
        <w:t>3.7响应文件的式样</w:t>
      </w:r>
      <w:bookmarkEnd w:id="211"/>
      <w:bookmarkEnd w:id="212"/>
      <w:bookmarkEnd w:id="213"/>
      <w:r>
        <w:rPr>
          <w:rFonts w:hint="eastAsia" w:asciiTheme="minorEastAsia" w:hAnsiTheme="minorEastAsia" w:eastAsiaTheme="minorEastAsia"/>
          <w:color w:val="auto"/>
          <w:sz w:val="24"/>
          <w:szCs w:val="24"/>
          <w:highlight w:val="none"/>
        </w:rPr>
        <w:t>、密封和标记</w:t>
      </w:r>
      <w:bookmarkEnd w:id="214"/>
      <w:bookmarkEnd w:id="215"/>
      <w:bookmarkEnd w:id="216"/>
      <w:bookmarkEnd w:id="217"/>
      <w:r>
        <w:rPr>
          <w:rFonts w:hint="eastAsia" w:asciiTheme="minorEastAsia" w:hAnsiTheme="minorEastAsia" w:eastAsiaTheme="minorEastAsia"/>
          <w:color w:val="auto"/>
          <w:sz w:val="24"/>
          <w:szCs w:val="24"/>
          <w:highlight w:val="none"/>
        </w:rPr>
        <w:t>（递交纸质文件适用）</w:t>
      </w:r>
      <w:bookmarkEnd w:id="218"/>
      <w:bookmarkEnd w:id="219"/>
    </w:p>
    <w:p w14:paraId="0942B9D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3.7.1</w:t>
      </w:r>
      <w:r>
        <w:rPr>
          <w:rFonts w:hint="eastAsia" w:asciiTheme="minorEastAsia" w:hAnsiTheme="minorEastAsia" w:eastAsiaTheme="minorEastAsia"/>
          <w:color w:val="auto"/>
          <w:highlight w:val="none"/>
        </w:rPr>
        <w:t>供应商应当编制一份响应文件“正本”和供应商须知前附表所述份数的“副本”和“电子版”，副本为正本复印件。响应文件正本和副本如有不一致之处，以正本为准；纸质版文件与电子版文件不一致时，以纸质版文件为准。</w:t>
      </w:r>
    </w:p>
    <w:p w14:paraId="7B82BD5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3.7.2每份响应文件的正本、副本及电子版应当分别装订，并于封面上明确标明“正本”、“副本”和“电子版”字样。</w:t>
      </w:r>
    </w:p>
    <w:p w14:paraId="3790CC3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3.7.3响应文件应当按照询比文件规定密封包装，并于封装封面上明确标明“正本”、“副本”和“电子版”字样。密封的所有粘接缝隙必须加盖单位公章或者由供应商的法定代表人或者其委托代理人签字。</w:t>
      </w:r>
    </w:p>
    <w:p w14:paraId="1FF5E4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3.7.4外层包封应当写明采购人名称和地址、项目名称、项目编号、并注明响应文件开启时间以前不得开封。还应当写明供应商的名称与地址、邮政编码，以便响应出现逾期送达时能原封退回。</w:t>
      </w:r>
    </w:p>
    <w:p w14:paraId="3F4B0A2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3.7.5递交响应文件时，采购人应当对符合询比文件规定密封和标记的响应文件进行签收。</w:t>
      </w:r>
    </w:p>
    <w:p w14:paraId="3C0768E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3.7.6</w:t>
      </w:r>
      <w:r>
        <w:rPr>
          <w:rFonts w:hint="eastAsia" w:asciiTheme="minorEastAsia" w:hAnsiTheme="minorEastAsia" w:eastAsiaTheme="minorEastAsia"/>
          <w:color w:val="auto"/>
          <w:highlight w:val="none"/>
        </w:rPr>
        <w:t>采购人对于响应文件密封、标记另有要求的，见供应商须知前附表。</w:t>
      </w:r>
    </w:p>
    <w:bookmarkEnd w:id="163"/>
    <w:bookmarkEnd w:id="164"/>
    <w:bookmarkEnd w:id="165"/>
    <w:p w14:paraId="159F48C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20" w:name="_Toc477190296"/>
      <w:bookmarkEnd w:id="220"/>
      <w:bookmarkStart w:id="221" w:name="_Toc477190297"/>
      <w:bookmarkEnd w:id="221"/>
      <w:bookmarkStart w:id="222" w:name="_Toc25154"/>
      <w:r>
        <w:rPr>
          <w:rFonts w:hint="eastAsia" w:asciiTheme="minorEastAsia" w:hAnsiTheme="minorEastAsia" w:eastAsiaTheme="minorEastAsia"/>
          <w:color w:val="auto"/>
          <w:sz w:val="28"/>
          <w:szCs w:val="28"/>
          <w:highlight w:val="none"/>
        </w:rPr>
        <w:t>询比响应</w:t>
      </w:r>
      <w:bookmarkEnd w:id="222"/>
    </w:p>
    <w:p w14:paraId="0BAC8D3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23" w:name="_Toc24706"/>
      <w:bookmarkStart w:id="224" w:name="_Toc447188692"/>
      <w:bookmarkStart w:id="225" w:name="_Toc447265243"/>
      <w:bookmarkStart w:id="226" w:name="_Toc447265529"/>
      <w:bookmarkStart w:id="227" w:name="_Toc21111"/>
      <w:r>
        <w:rPr>
          <w:rFonts w:hint="eastAsia" w:asciiTheme="minorEastAsia" w:hAnsiTheme="minorEastAsia" w:eastAsiaTheme="minorEastAsia"/>
          <w:color w:val="auto"/>
          <w:sz w:val="24"/>
          <w:szCs w:val="24"/>
          <w:highlight w:val="none"/>
        </w:rPr>
        <w:t>4.1</w:t>
      </w:r>
      <w:bookmarkEnd w:id="166"/>
      <w:bookmarkEnd w:id="167"/>
      <w:r>
        <w:rPr>
          <w:rFonts w:hint="eastAsia" w:asciiTheme="minorEastAsia" w:hAnsiTheme="minorEastAsia" w:eastAsiaTheme="minorEastAsia"/>
          <w:color w:val="auto"/>
          <w:sz w:val="24"/>
          <w:szCs w:val="24"/>
          <w:highlight w:val="none"/>
        </w:rPr>
        <w:t>响应文件的</w:t>
      </w:r>
      <w:bookmarkEnd w:id="168"/>
      <w:bookmarkEnd w:id="169"/>
      <w:bookmarkEnd w:id="223"/>
      <w:bookmarkEnd w:id="224"/>
      <w:bookmarkEnd w:id="225"/>
      <w:bookmarkEnd w:id="226"/>
      <w:r>
        <w:rPr>
          <w:rFonts w:hint="eastAsia" w:asciiTheme="minorEastAsia" w:hAnsiTheme="minorEastAsia" w:eastAsiaTheme="minorEastAsia"/>
          <w:color w:val="auto"/>
          <w:sz w:val="24"/>
          <w:szCs w:val="24"/>
          <w:highlight w:val="none"/>
        </w:rPr>
        <w:t>提交</w:t>
      </w:r>
      <w:bookmarkEnd w:id="227"/>
    </w:p>
    <w:p w14:paraId="2D0B76A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28" w:name="_Toc107822504"/>
      <w:bookmarkStart w:id="229" w:name="_Toc488655849"/>
      <w:bookmarkStart w:id="230" w:name="_Toc226969301"/>
      <w:bookmarkStart w:id="231" w:name="_Toc227057907"/>
      <w:bookmarkStart w:id="232" w:name="_Toc107822505"/>
      <w:bookmarkStart w:id="233" w:name="_Toc488655850"/>
      <w:bookmarkStart w:id="234" w:name="_Toc447265244"/>
      <w:bookmarkStart w:id="235" w:name="_Toc447188693"/>
      <w:bookmarkStart w:id="236" w:name="_Toc447265530"/>
      <w:r>
        <w:rPr>
          <w:rFonts w:hint="eastAsia" w:asciiTheme="minorEastAsia" w:hAnsiTheme="minorEastAsia" w:eastAsiaTheme="minorEastAsia"/>
          <w:color w:val="auto"/>
          <w:highlight w:val="none"/>
        </w:rPr>
        <w:t>4.1.1响应文件提交截止时间：见供应商须知前附表。</w:t>
      </w:r>
    </w:p>
    <w:p w14:paraId="7693936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4.1.2</w:t>
      </w:r>
      <w:r>
        <w:rPr>
          <w:rFonts w:hint="eastAsia" w:asciiTheme="minorEastAsia" w:hAnsiTheme="minorEastAsia" w:eastAsiaTheme="minorEastAsia"/>
          <w:color w:val="auto"/>
          <w:highlight w:val="none"/>
        </w:rPr>
        <w:t>响应文件提交地点：见供应商须知前附表。</w:t>
      </w:r>
    </w:p>
    <w:p w14:paraId="0D244F7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4.1.3采购人收到响应文件后，向供应商出具签收凭证。</w:t>
      </w:r>
    </w:p>
    <w:p w14:paraId="6936048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4.1.4</w:t>
      </w:r>
      <w:r>
        <w:rPr>
          <w:rFonts w:hint="eastAsia" w:asciiTheme="minorEastAsia" w:hAnsiTheme="minorEastAsia" w:eastAsiaTheme="minorEastAsia"/>
          <w:color w:val="auto"/>
          <w:highlight w:val="none"/>
        </w:rPr>
        <w:t>除供应商须知前附表另有规定外，供应商所提交的响应文件不予退还。</w:t>
      </w:r>
    </w:p>
    <w:p w14:paraId="5947D3E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4.1.5出现以下情形之一时，采购人/采购代理机构不予接收响应文件：</w:t>
      </w:r>
    </w:p>
    <w:p w14:paraId="14DAB7CE">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响应文件未按要求加密的；</w:t>
      </w:r>
    </w:p>
    <w:p w14:paraId="4C90226A">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未按规定获取询比文件的；</w:t>
      </w:r>
    </w:p>
    <w:p w14:paraId="5D296344">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未通过资格预审的申请人提交响应文件的；</w:t>
      </w:r>
    </w:p>
    <w:p w14:paraId="64488439">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未在响应文件提交截止时间前按规定提交响应文件的。</w:t>
      </w:r>
    </w:p>
    <w:p w14:paraId="79919814">
      <w:pPr>
        <w:pStyle w:val="40"/>
        <w:tabs>
          <w:tab w:val="left" w:pos="630"/>
        </w:tabs>
        <w:snapToGrid w:val="0"/>
        <w:spacing w:line="360" w:lineRule="exact"/>
        <w:ind w:firstLine="424" w:firstLineChars="202"/>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4.1.6提交</w:t>
      </w:r>
      <w:r>
        <w:rPr>
          <w:rFonts w:hint="eastAsia" w:asciiTheme="minorEastAsia" w:hAnsiTheme="minorEastAsia" w:eastAsiaTheme="minorEastAsia"/>
          <w:color w:val="auto"/>
          <w:szCs w:val="21"/>
          <w:highlight w:val="none"/>
        </w:rPr>
        <w:t>响应文件的供应商不足三家的，</w:t>
      </w:r>
      <w:r>
        <w:rPr>
          <w:rFonts w:hint="eastAsia" w:asciiTheme="minorEastAsia" w:hAnsiTheme="minorEastAsia" w:eastAsiaTheme="minorEastAsia"/>
          <w:color w:val="auto"/>
          <w:highlight w:val="none"/>
        </w:rPr>
        <w:t>处理原则见供应商须知前附表。</w:t>
      </w:r>
    </w:p>
    <w:p w14:paraId="62BEAFB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4.1.7 采购人采用电子询比方式的，响应文件提交异常的处理方式见供应商须知前附表。</w:t>
      </w:r>
    </w:p>
    <w:bookmarkEnd w:id="228"/>
    <w:bookmarkEnd w:id="229"/>
    <w:p w14:paraId="53C655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37" w:name="_Toc16535"/>
      <w:bookmarkStart w:id="238" w:name="_Toc19084"/>
      <w:r>
        <w:rPr>
          <w:rFonts w:hint="eastAsia" w:asciiTheme="minorEastAsia" w:hAnsiTheme="minorEastAsia" w:eastAsiaTheme="minorEastAsia"/>
          <w:color w:val="auto"/>
          <w:sz w:val="24"/>
          <w:szCs w:val="24"/>
          <w:highlight w:val="none"/>
        </w:rPr>
        <w:t>4.2响应文件的修改、撤回</w:t>
      </w:r>
      <w:bookmarkEnd w:id="230"/>
      <w:bookmarkEnd w:id="231"/>
      <w:bookmarkEnd w:id="232"/>
      <w:bookmarkEnd w:id="233"/>
      <w:r>
        <w:rPr>
          <w:rFonts w:hint="eastAsia" w:asciiTheme="minorEastAsia" w:hAnsiTheme="minorEastAsia" w:eastAsiaTheme="minorEastAsia"/>
          <w:color w:val="auto"/>
          <w:sz w:val="24"/>
          <w:szCs w:val="24"/>
          <w:highlight w:val="none"/>
        </w:rPr>
        <w:t>和撤销</w:t>
      </w:r>
      <w:bookmarkEnd w:id="234"/>
      <w:bookmarkEnd w:id="235"/>
      <w:bookmarkEnd w:id="236"/>
      <w:bookmarkEnd w:id="237"/>
      <w:bookmarkEnd w:id="238"/>
    </w:p>
    <w:p w14:paraId="5BA6DF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39" w:name="_Toc152045559"/>
      <w:bookmarkStart w:id="240" w:name="_Toc246996203"/>
      <w:bookmarkStart w:id="241" w:name="_Toc447188694"/>
      <w:bookmarkStart w:id="242" w:name="_Toc246996946"/>
      <w:bookmarkStart w:id="243" w:name="_Toc447265531"/>
      <w:bookmarkStart w:id="244" w:name="_Toc144974527"/>
      <w:bookmarkStart w:id="245" w:name="_Toc152042335"/>
      <w:bookmarkStart w:id="246" w:name="_Toc247085717"/>
      <w:bookmarkStart w:id="247" w:name="_Toc179632577"/>
      <w:bookmarkStart w:id="248" w:name="_Toc296602447"/>
      <w:bookmarkStart w:id="249" w:name="_Toc447265245"/>
      <w:bookmarkStart w:id="250" w:name="_Toc107822506"/>
      <w:bookmarkStart w:id="251" w:name="_Toc227057908"/>
      <w:bookmarkStart w:id="252" w:name="_Toc488655852"/>
      <w:bookmarkStart w:id="253" w:name="_Toc226969302"/>
      <w:r>
        <w:rPr>
          <w:rFonts w:asciiTheme="minorEastAsia" w:hAnsiTheme="minorEastAsia" w:eastAsiaTheme="minorEastAsia"/>
          <w:color w:val="auto"/>
          <w:highlight w:val="none"/>
        </w:rPr>
        <w:t>4.2.1</w:t>
      </w:r>
      <w:r>
        <w:rPr>
          <w:rFonts w:hint="eastAsia" w:asciiTheme="minorEastAsia" w:hAnsiTheme="minorEastAsia" w:eastAsiaTheme="minorEastAsia"/>
          <w:color w:val="auto"/>
          <w:highlight w:val="none"/>
        </w:rPr>
        <w:t>在规定的响应截止时间前，供应商可以修改或者撤回已提交的响应文件。</w:t>
      </w:r>
    </w:p>
    <w:p w14:paraId="1C4928E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4.2.2</w:t>
      </w:r>
      <w:r>
        <w:rPr>
          <w:rFonts w:hint="eastAsia" w:asciiTheme="minorEastAsia" w:hAnsiTheme="minorEastAsia" w:eastAsiaTheme="minorEastAsia"/>
          <w:color w:val="auto"/>
          <w:highlight w:val="none"/>
        </w:rPr>
        <w:t>供应商修改后的响应文件，应当在规定的响应截止时间前按照询比文件的规定编制、加密、提交。</w:t>
      </w:r>
    </w:p>
    <w:p w14:paraId="5F1B4C7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4.2.3</w:t>
      </w:r>
      <w:r>
        <w:rPr>
          <w:rFonts w:hint="eastAsia" w:asciiTheme="minorEastAsia" w:hAnsiTheme="minorEastAsia" w:eastAsiaTheme="minorEastAsia"/>
          <w:color w:val="auto"/>
          <w:highlight w:val="none"/>
        </w:rPr>
        <w:t>供应商撤回已提交的响应文件，应当书面通知采购人。采购人已收取响应保证金的，应当自收到供应商书面撤回通知之日起5日内退还。</w:t>
      </w:r>
    </w:p>
    <w:p w14:paraId="7302E3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4.2.4供应商在规定的响应截止时间后，不得在响应有效期内撤销或者修改其响应文件。否则采购人有权不退还其响应保证金。</w:t>
      </w:r>
    </w:p>
    <w:bookmarkEnd w:id="239"/>
    <w:bookmarkEnd w:id="240"/>
    <w:bookmarkEnd w:id="241"/>
    <w:bookmarkEnd w:id="242"/>
    <w:bookmarkEnd w:id="243"/>
    <w:bookmarkEnd w:id="244"/>
    <w:bookmarkEnd w:id="245"/>
    <w:bookmarkEnd w:id="246"/>
    <w:bookmarkEnd w:id="247"/>
    <w:bookmarkEnd w:id="248"/>
    <w:bookmarkEnd w:id="249"/>
    <w:p w14:paraId="5DC54A4B">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54" w:name="_Toc20842"/>
      <w:r>
        <w:rPr>
          <w:rFonts w:hint="eastAsia" w:asciiTheme="minorEastAsia" w:hAnsiTheme="minorEastAsia" w:eastAsiaTheme="minorEastAsia"/>
          <w:color w:val="auto"/>
          <w:sz w:val="28"/>
          <w:szCs w:val="28"/>
          <w:highlight w:val="none"/>
        </w:rPr>
        <w:t>响应文件开启</w:t>
      </w:r>
      <w:bookmarkEnd w:id="254"/>
    </w:p>
    <w:p w14:paraId="366A558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55" w:name="_Toc447188695"/>
      <w:bookmarkStart w:id="256" w:name="_Toc447265246"/>
      <w:bookmarkStart w:id="257" w:name="_Toc447265532"/>
      <w:bookmarkStart w:id="258" w:name="_Toc20866"/>
      <w:bookmarkStart w:id="259" w:name="_Toc1802"/>
      <w:r>
        <w:rPr>
          <w:rFonts w:hint="eastAsia" w:asciiTheme="minorEastAsia" w:hAnsiTheme="minorEastAsia" w:eastAsiaTheme="minorEastAsia"/>
          <w:color w:val="auto"/>
          <w:sz w:val="24"/>
          <w:szCs w:val="24"/>
          <w:highlight w:val="none"/>
        </w:rPr>
        <w:t>5.1</w:t>
      </w:r>
      <w:bookmarkEnd w:id="250"/>
      <w:bookmarkEnd w:id="251"/>
      <w:bookmarkEnd w:id="252"/>
      <w:bookmarkEnd w:id="253"/>
      <w:r>
        <w:rPr>
          <w:rFonts w:hint="eastAsia" w:asciiTheme="minorEastAsia" w:hAnsiTheme="minorEastAsia" w:eastAsiaTheme="minorEastAsia"/>
          <w:color w:val="auto"/>
          <w:sz w:val="24"/>
          <w:szCs w:val="24"/>
          <w:highlight w:val="none"/>
        </w:rPr>
        <w:t>响应文件开启时间和地点</w:t>
      </w:r>
      <w:bookmarkEnd w:id="255"/>
      <w:bookmarkEnd w:id="256"/>
      <w:bookmarkEnd w:id="257"/>
      <w:bookmarkEnd w:id="258"/>
      <w:bookmarkEnd w:id="259"/>
    </w:p>
    <w:p w14:paraId="07F9D338">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采购人将按照供应商须知前附表规定的时间和地点开启响应文件，响应文件开启时间和响应截止时间应当为同一时间。</w:t>
      </w:r>
    </w:p>
    <w:p w14:paraId="14E347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60" w:name="_Toc447265533"/>
      <w:bookmarkStart w:id="261" w:name="_Toc211"/>
      <w:bookmarkStart w:id="262" w:name="_Toc447188696"/>
      <w:bookmarkStart w:id="263" w:name="_Toc19752"/>
      <w:bookmarkStart w:id="264" w:name="_Toc447265247"/>
      <w:r>
        <w:rPr>
          <w:rFonts w:hint="eastAsia" w:asciiTheme="minorEastAsia" w:hAnsiTheme="minorEastAsia" w:eastAsiaTheme="minorEastAsia"/>
          <w:color w:val="auto"/>
          <w:sz w:val="24"/>
          <w:szCs w:val="24"/>
          <w:highlight w:val="none"/>
        </w:rPr>
        <w:t>5.2响应文件开启程序</w:t>
      </w:r>
      <w:bookmarkEnd w:id="260"/>
      <w:bookmarkEnd w:id="261"/>
      <w:bookmarkEnd w:id="262"/>
      <w:bookmarkEnd w:id="263"/>
      <w:bookmarkEnd w:id="264"/>
    </w:p>
    <w:p w14:paraId="681A998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65" w:name="_Toc247085720"/>
      <w:bookmarkStart w:id="266" w:name="_Toc447265250"/>
      <w:bookmarkStart w:id="267" w:name="_Toc447188699"/>
      <w:bookmarkStart w:id="268" w:name="_Toc179632580"/>
      <w:bookmarkStart w:id="269" w:name="_Toc152045562"/>
      <w:bookmarkStart w:id="270" w:name="_Toc246996949"/>
      <w:bookmarkStart w:id="271" w:name="_Toc152042338"/>
      <w:bookmarkStart w:id="272" w:name="_Toc447265536"/>
      <w:bookmarkStart w:id="273" w:name="_Toc296602451"/>
      <w:bookmarkStart w:id="274" w:name="_Toc246996206"/>
      <w:bookmarkStart w:id="275" w:name="_Toc144974530"/>
      <w:bookmarkStart w:id="276" w:name="_Toc227057909"/>
      <w:bookmarkStart w:id="277" w:name="_Toc226969303"/>
      <w:bookmarkStart w:id="278" w:name="_Toc107822507"/>
      <w:r>
        <w:rPr>
          <w:rFonts w:hint="eastAsia" w:asciiTheme="minorEastAsia" w:hAnsiTheme="minorEastAsia" w:eastAsiaTheme="minorEastAsia"/>
          <w:color w:val="auto"/>
          <w:highlight w:val="none"/>
        </w:rPr>
        <w:t>5.2.1响应文件开启会议由采购人或者其委托的采购代理机构组织并主持，邀请所有的响应供应商或者其代表出席。</w:t>
      </w:r>
    </w:p>
    <w:p w14:paraId="50A1F2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5.2.2响应文件提交</w:t>
      </w:r>
      <w:r>
        <w:rPr>
          <w:rFonts w:asciiTheme="minorEastAsia" w:hAnsiTheme="minorEastAsia" w:eastAsiaTheme="minorEastAsia"/>
          <w:color w:val="auto"/>
          <w:highlight w:val="none"/>
        </w:rPr>
        <w:t>截止时间前收到的所有</w:t>
      </w:r>
      <w:r>
        <w:rPr>
          <w:rFonts w:hint="eastAsia" w:asciiTheme="minorEastAsia" w:hAnsiTheme="minorEastAsia" w:eastAsiaTheme="minorEastAsia"/>
          <w:color w:val="auto"/>
          <w:highlight w:val="none"/>
        </w:rPr>
        <w:t>响应文件</w:t>
      </w:r>
      <w:r>
        <w:rPr>
          <w:rFonts w:asciiTheme="minorEastAsia" w:hAnsiTheme="minorEastAsia" w:eastAsiaTheme="minorEastAsia"/>
          <w:color w:val="auto"/>
          <w:highlight w:val="none"/>
        </w:rPr>
        <w:t>都应当当众予以</w:t>
      </w:r>
      <w:r>
        <w:rPr>
          <w:rFonts w:hint="eastAsia" w:asciiTheme="minorEastAsia" w:hAnsiTheme="minorEastAsia" w:eastAsiaTheme="minorEastAsia"/>
          <w:color w:val="auto"/>
          <w:highlight w:val="none"/>
        </w:rPr>
        <w:t>解密、开启，</w:t>
      </w:r>
      <w:r>
        <w:rPr>
          <w:rFonts w:asciiTheme="minorEastAsia" w:hAnsiTheme="minorEastAsia" w:eastAsiaTheme="minorEastAsia"/>
          <w:color w:val="auto"/>
          <w:highlight w:val="none"/>
        </w:rPr>
        <w:t>但</w:t>
      </w:r>
      <w:r>
        <w:rPr>
          <w:rFonts w:hint="eastAsia" w:asciiTheme="minorEastAsia" w:hAnsiTheme="minorEastAsia" w:eastAsiaTheme="minorEastAsia"/>
          <w:color w:val="auto"/>
          <w:highlight w:val="none"/>
        </w:rPr>
        <w:t>按照询比文件规定递交合格的书面撤回通知的响应文件除外。</w:t>
      </w:r>
    </w:p>
    <w:p w14:paraId="3025ECD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5.2.3</w:t>
      </w:r>
      <w:r>
        <w:rPr>
          <w:rFonts w:hint="eastAsia" w:asciiTheme="minorEastAsia" w:hAnsiTheme="minorEastAsia" w:eastAsiaTheme="minorEastAsia"/>
          <w:color w:val="auto"/>
          <w:highlight w:val="none"/>
        </w:rPr>
        <w:t>响应文件开启时，采购人或者其委托的采购代理机构应当公布参加本项目询比的供应商个数、响应文件的解密情况、所有响应供应商的“报价一览表”中的内容，“报价一览表”一般包括：供应商名称、响应总报价、交货期、响应保证金以及询比文件中规定的其他内容。</w:t>
      </w:r>
    </w:p>
    <w:p w14:paraId="17AF03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5.2.4响应文件开启内容填写在“开启记录表”中，开启记录应由参加响应文件开启的响应供应商确认，存档备查。响应供应商未在规定时间内确认的，视为同意响应文件开启过程及内容。</w:t>
      </w:r>
    </w:p>
    <w:p w14:paraId="2B4D4F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79" w:name="_Toc30826"/>
      <w:bookmarkStart w:id="280" w:name="_Toc447188697"/>
      <w:bookmarkStart w:id="281" w:name="_Toc2735"/>
      <w:bookmarkStart w:id="282" w:name="_Toc450489307"/>
      <w:bookmarkStart w:id="283" w:name="_Toc447265248"/>
      <w:bookmarkStart w:id="284" w:name="_Toc447265534"/>
      <w:r>
        <w:rPr>
          <w:rFonts w:hint="eastAsia" w:asciiTheme="minorEastAsia" w:hAnsiTheme="minorEastAsia" w:eastAsiaTheme="minorEastAsia"/>
          <w:color w:val="auto"/>
          <w:sz w:val="24"/>
          <w:szCs w:val="24"/>
          <w:highlight w:val="none"/>
        </w:rPr>
        <w:t>5.3异议</w:t>
      </w:r>
      <w:bookmarkEnd w:id="279"/>
      <w:bookmarkEnd w:id="280"/>
      <w:bookmarkEnd w:id="281"/>
      <w:bookmarkEnd w:id="282"/>
      <w:bookmarkEnd w:id="283"/>
      <w:bookmarkEnd w:id="284"/>
    </w:p>
    <w:p w14:paraId="450C4D1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5.3.1供应商对响应文件开启有异议的，应当在开启现场提出，采购人应当当场做出答复，并制作记录。</w:t>
      </w:r>
    </w:p>
    <w:p w14:paraId="155145F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5.3.2</w:t>
      </w:r>
      <w:r>
        <w:rPr>
          <w:rFonts w:hint="eastAsia" w:asciiTheme="minorEastAsia" w:hAnsiTheme="minorEastAsia" w:eastAsiaTheme="minorEastAsia"/>
          <w:color w:val="auto"/>
          <w:highlight w:val="none"/>
        </w:rPr>
        <w:t>供应商认为存在低于成本价响应情形的，可以在开启现场提出异议，并在评审完成前向采购人递交书面材料，采购人应当及时将书面材料转交评审委员会。</w:t>
      </w:r>
    </w:p>
    <w:bookmarkEnd w:id="265"/>
    <w:bookmarkEnd w:id="266"/>
    <w:bookmarkEnd w:id="267"/>
    <w:bookmarkEnd w:id="268"/>
    <w:bookmarkEnd w:id="269"/>
    <w:bookmarkEnd w:id="270"/>
    <w:bookmarkEnd w:id="271"/>
    <w:bookmarkEnd w:id="272"/>
    <w:bookmarkEnd w:id="273"/>
    <w:bookmarkEnd w:id="274"/>
    <w:bookmarkEnd w:id="275"/>
    <w:p w14:paraId="47BB852A">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85" w:name="_Toc477190306"/>
      <w:bookmarkEnd w:id="285"/>
      <w:bookmarkStart w:id="286" w:name="_Toc477190305"/>
      <w:bookmarkEnd w:id="286"/>
      <w:bookmarkStart w:id="287" w:name="_Toc11932"/>
      <w:r>
        <w:rPr>
          <w:rFonts w:hint="eastAsia" w:asciiTheme="minorEastAsia" w:hAnsiTheme="minorEastAsia" w:eastAsiaTheme="minorEastAsia"/>
          <w:color w:val="auto"/>
          <w:sz w:val="28"/>
          <w:szCs w:val="28"/>
          <w:highlight w:val="none"/>
        </w:rPr>
        <w:t>评审</w:t>
      </w:r>
      <w:bookmarkEnd w:id="287"/>
    </w:p>
    <w:p w14:paraId="09B6F46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88" w:name="_Toc447188700"/>
      <w:bookmarkStart w:id="289" w:name="_Toc24415"/>
      <w:bookmarkStart w:id="290" w:name="_Toc15867"/>
      <w:bookmarkStart w:id="291" w:name="_Toc447265251"/>
      <w:bookmarkStart w:id="292" w:name="_Toc447265537"/>
      <w:r>
        <w:rPr>
          <w:rFonts w:hint="eastAsia" w:asciiTheme="minorEastAsia" w:hAnsiTheme="minorEastAsia" w:eastAsiaTheme="minorEastAsia"/>
          <w:color w:val="auto"/>
          <w:sz w:val="24"/>
          <w:szCs w:val="24"/>
          <w:highlight w:val="none"/>
        </w:rPr>
        <w:t>6.1评审委员会</w:t>
      </w:r>
      <w:bookmarkEnd w:id="276"/>
      <w:bookmarkEnd w:id="277"/>
      <w:bookmarkEnd w:id="278"/>
      <w:bookmarkEnd w:id="288"/>
      <w:bookmarkEnd w:id="289"/>
      <w:bookmarkEnd w:id="290"/>
      <w:bookmarkEnd w:id="291"/>
      <w:bookmarkEnd w:id="292"/>
    </w:p>
    <w:p w14:paraId="5EB84D2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93" w:name="_Toc447188703"/>
      <w:bookmarkStart w:id="294" w:name="_Toc447265255"/>
      <w:bookmarkStart w:id="295" w:name="_Toc447265541"/>
      <w:bookmarkStart w:id="296" w:name="_Toc107822516"/>
      <w:bookmarkStart w:id="297" w:name="_Toc226969309"/>
      <w:bookmarkStart w:id="298" w:name="_Toc227057915"/>
      <w:bookmarkStart w:id="299" w:name="_Toc488655860"/>
      <w:r>
        <w:rPr>
          <w:rFonts w:hint="eastAsia" w:asciiTheme="minorEastAsia" w:hAnsiTheme="minorEastAsia" w:eastAsiaTheme="minorEastAsia"/>
          <w:color w:val="auto"/>
          <w:highlight w:val="none"/>
        </w:rPr>
        <w:t>评审由评审委员会负责，任何单位和个人不得非法干预或者影响评审的过程和结果。评审委员会成员名单在成交结果确定前保密。</w:t>
      </w:r>
    </w:p>
    <w:p w14:paraId="4F66810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00" w:name="_Toc152045564"/>
      <w:bookmarkStart w:id="301" w:name="_Toc247085722"/>
      <w:bookmarkStart w:id="302" w:name="_Toc447265252"/>
      <w:bookmarkStart w:id="303" w:name="_Toc296602453"/>
      <w:bookmarkStart w:id="304" w:name="_Toc29495"/>
      <w:bookmarkStart w:id="305" w:name="_Toc179632582"/>
      <w:bookmarkStart w:id="306" w:name="_Toc450489311"/>
      <w:bookmarkStart w:id="307" w:name="_Toc144974532"/>
      <w:bookmarkStart w:id="308" w:name="_Toc246996951"/>
      <w:bookmarkStart w:id="309" w:name="_Toc7811"/>
      <w:bookmarkStart w:id="310" w:name="_Toc152042340"/>
      <w:bookmarkStart w:id="311" w:name="_Toc447265538"/>
      <w:bookmarkStart w:id="312" w:name="_Toc246996208"/>
      <w:r>
        <w:rPr>
          <w:rFonts w:hint="eastAsia" w:asciiTheme="minorEastAsia" w:hAnsiTheme="minorEastAsia" w:eastAsiaTheme="minorEastAsia"/>
          <w:color w:val="auto"/>
          <w:sz w:val="24"/>
          <w:szCs w:val="24"/>
          <w:highlight w:val="none"/>
        </w:rPr>
        <w:t>6.2评审原则</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46B6478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6.2.1评审活动遵循公平、公正、科学和择优的原则。</w:t>
      </w:r>
    </w:p>
    <w:p w14:paraId="25FFFCD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6.2.2</w:t>
      </w:r>
      <w:r>
        <w:rPr>
          <w:rFonts w:hint="eastAsia" w:asciiTheme="minorEastAsia" w:hAnsiTheme="minorEastAsia" w:eastAsiaTheme="minorEastAsia"/>
          <w:color w:val="auto"/>
          <w:highlight w:val="none"/>
        </w:rPr>
        <w:t>评审委员会按照第三章“评审办法”规定的方法、评审因素、标准和程序对响应文件进行评审。第三章“评审办法”没有规定的方法、评审因素和标准，不得作为评审依据。</w:t>
      </w:r>
    </w:p>
    <w:p w14:paraId="359CB1B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6.2.3响应文件开启后，部分供应商撤销响应文件或者被否决响应后，有效响应供应商不足三家的，经评审委员会认定具备竞争性，可以继续评审,评审委员会认定不具备竞争性的，应否决全部响应。</w:t>
      </w:r>
    </w:p>
    <w:p w14:paraId="588B166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13" w:name="_Toc447188701"/>
      <w:bookmarkStart w:id="314" w:name="_Toc30649"/>
      <w:bookmarkStart w:id="315" w:name="_Toc447265253"/>
      <w:bookmarkStart w:id="316" w:name="_Toc6721"/>
      <w:bookmarkStart w:id="317" w:name="_Toc450489312"/>
      <w:bookmarkStart w:id="318" w:name="_Toc447265539"/>
      <w:r>
        <w:rPr>
          <w:rFonts w:hint="eastAsia" w:asciiTheme="minorEastAsia" w:hAnsiTheme="minorEastAsia" w:eastAsiaTheme="minorEastAsia"/>
          <w:color w:val="auto"/>
          <w:sz w:val="24"/>
          <w:szCs w:val="24"/>
          <w:highlight w:val="none"/>
        </w:rPr>
        <w:t>6.3评审方法</w:t>
      </w:r>
      <w:bookmarkEnd w:id="313"/>
      <w:bookmarkEnd w:id="314"/>
      <w:bookmarkEnd w:id="315"/>
      <w:bookmarkEnd w:id="316"/>
      <w:bookmarkEnd w:id="317"/>
      <w:bookmarkEnd w:id="318"/>
    </w:p>
    <w:p w14:paraId="07FD2EBA">
      <w:pPr>
        <w:adjustRightInd w:val="0"/>
        <w:snapToGrid w:val="0"/>
        <w:spacing w:line="440" w:lineRule="exact"/>
        <w:ind w:firstLine="424" w:firstLineChars="202"/>
        <w:rPr>
          <w:rFonts w:asciiTheme="minorEastAsia" w:hAnsiTheme="minorEastAsia" w:eastAsiaTheme="minorEastAsia"/>
          <w:color w:val="auto"/>
          <w:highlight w:val="none"/>
        </w:rPr>
      </w:pPr>
      <w:r>
        <w:rPr>
          <w:rFonts w:hint="eastAsia" w:cs="宋体" w:asciiTheme="minorEastAsia" w:hAnsiTheme="minorEastAsia" w:eastAsiaTheme="minorEastAsia"/>
          <w:color w:val="auto"/>
          <w:szCs w:val="21"/>
          <w:highlight w:val="none"/>
        </w:rPr>
        <w:t>6.3.1本项目评审所采用的评审方法为</w:t>
      </w:r>
      <w:r>
        <w:rPr>
          <w:rFonts w:hint="eastAsia" w:asciiTheme="minorEastAsia" w:hAnsiTheme="minorEastAsia" w:eastAsiaTheme="minorEastAsia"/>
          <w:color w:val="auto"/>
          <w:highlight w:val="none"/>
        </w:rPr>
        <w:t>综合评估法。最大限度地满足询比文件中规定的各项综合评价标准的响应，应当推荐为成交候选人，量化的标准和权重应当在询比文件中明确规定。</w:t>
      </w:r>
    </w:p>
    <w:p w14:paraId="6D456ABD">
      <w:pPr>
        <w:pStyle w:val="40"/>
        <w:tabs>
          <w:tab w:val="left" w:pos="588"/>
          <w:tab w:val="left" w:pos="630"/>
        </w:tabs>
        <w:snapToGrid w:val="0"/>
        <w:spacing w:before="120" w:after="120" w:line="440" w:lineRule="exact"/>
        <w:ind w:firstLine="424" w:firstLineChars="202"/>
        <w:jc w:val="lef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highlight w:val="none"/>
        </w:rPr>
        <w:t>6.3.2</w:t>
      </w:r>
      <w:r>
        <w:rPr>
          <w:rFonts w:asciiTheme="minorEastAsia" w:hAnsiTheme="minorEastAsia" w:eastAsiaTheme="minorEastAsia"/>
          <w:color w:val="auto"/>
          <w:highlight w:val="none"/>
        </w:rPr>
        <w:t>法律</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法规允许的其他</w:t>
      </w:r>
      <w:r>
        <w:rPr>
          <w:rFonts w:hint="eastAsia" w:asciiTheme="minorEastAsia" w:hAnsiTheme="minorEastAsia" w:eastAsiaTheme="minorEastAsia"/>
          <w:color w:val="auto"/>
          <w:highlight w:val="none"/>
        </w:rPr>
        <w:t>评审</w:t>
      </w:r>
      <w:r>
        <w:rPr>
          <w:rFonts w:asciiTheme="minorEastAsia" w:hAnsiTheme="minorEastAsia" w:eastAsiaTheme="minorEastAsia"/>
          <w:color w:val="auto"/>
          <w:highlight w:val="none"/>
        </w:rPr>
        <w:t>方法</w:t>
      </w:r>
      <w:r>
        <w:rPr>
          <w:rFonts w:hint="eastAsia" w:asciiTheme="minorEastAsia" w:hAnsiTheme="minorEastAsia" w:eastAsiaTheme="minorEastAsia"/>
          <w:color w:val="auto"/>
          <w:highlight w:val="none"/>
        </w:rPr>
        <w:t>。</w:t>
      </w:r>
      <w:bookmarkStart w:id="319" w:name="_Toc447265540"/>
      <w:bookmarkStart w:id="320" w:name="_Toc447265254"/>
      <w:bookmarkStart w:id="321" w:name="_Toc447188702"/>
      <w:bookmarkStart w:id="322" w:name="_Toc247085724"/>
      <w:bookmarkStart w:id="323" w:name="_Toc246996210"/>
      <w:bookmarkStart w:id="324" w:name="_Toc246996953"/>
      <w:bookmarkStart w:id="325" w:name="_Toc144974534"/>
      <w:bookmarkStart w:id="326" w:name="_Toc152045566"/>
      <w:bookmarkStart w:id="327" w:name="_Toc296602455"/>
      <w:bookmarkStart w:id="328" w:name="_Toc152042342"/>
      <w:bookmarkStart w:id="329" w:name="_Toc179632584"/>
    </w:p>
    <w:p w14:paraId="15198EA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0" w:name="_Toc450489313"/>
      <w:bookmarkStart w:id="331" w:name="_Toc13112"/>
      <w:bookmarkStart w:id="332" w:name="_Toc16518"/>
      <w:r>
        <w:rPr>
          <w:rFonts w:hint="eastAsia" w:asciiTheme="minorEastAsia" w:hAnsiTheme="minorEastAsia" w:eastAsiaTheme="minorEastAsia"/>
          <w:color w:val="auto"/>
          <w:sz w:val="24"/>
          <w:szCs w:val="24"/>
          <w:highlight w:val="none"/>
        </w:rPr>
        <w:t>6.4成交候选人推荐原则</w:t>
      </w:r>
      <w:bookmarkEnd w:id="330"/>
      <w:bookmarkEnd w:id="331"/>
      <w:bookmarkEnd w:id="332"/>
    </w:p>
    <w:p w14:paraId="5C78A746">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评审委员会应当根据询比文件载明的规则推荐成交候选人，具体推荐原则见供应商须知前附表。</w:t>
      </w:r>
    </w:p>
    <w:p w14:paraId="72FEB94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3" w:name="_Toc23726"/>
      <w:bookmarkStart w:id="334" w:name="_Toc450489314"/>
      <w:bookmarkStart w:id="335" w:name="_Toc23124"/>
      <w:r>
        <w:rPr>
          <w:rFonts w:hint="eastAsia" w:asciiTheme="minorEastAsia" w:hAnsiTheme="minorEastAsia" w:eastAsiaTheme="minorEastAsia"/>
          <w:color w:val="auto"/>
          <w:sz w:val="24"/>
          <w:szCs w:val="24"/>
          <w:highlight w:val="none"/>
        </w:rPr>
        <w:t>6.5评审报告</w:t>
      </w:r>
      <w:bookmarkEnd w:id="319"/>
      <w:bookmarkEnd w:id="320"/>
      <w:bookmarkEnd w:id="321"/>
      <w:bookmarkEnd w:id="333"/>
      <w:bookmarkEnd w:id="334"/>
      <w:bookmarkEnd w:id="335"/>
    </w:p>
    <w:p w14:paraId="3372676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评审完成后，评审委员会应当根据《询比采购管理办法》的有关规定及时向采购人提交评审报告和成交候选人名单。</w:t>
      </w:r>
    </w:p>
    <w:bookmarkEnd w:id="293"/>
    <w:bookmarkEnd w:id="294"/>
    <w:bookmarkEnd w:id="295"/>
    <w:bookmarkEnd w:id="322"/>
    <w:bookmarkEnd w:id="323"/>
    <w:bookmarkEnd w:id="324"/>
    <w:bookmarkEnd w:id="325"/>
    <w:bookmarkEnd w:id="326"/>
    <w:bookmarkEnd w:id="327"/>
    <w:bookmarkEnd w:id="328"/>
    <w:bookmarkEnd w:id="329"/>
    <w:p w14:paraId="7569430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6" w:name="_Toc30827"/>
      <w:r>
        <w:rPr>
          <w:rFonts w:hint="eastAsia" w:asciiTheme="minorEastAsia" w:hAnsiTheme="minorEastAsia" w:eastAsiaTheme="minorEastAsia"/>
          <w:color w:val="auto"/>
          <w:sz w:val="28"/>
          <w:szCs w:val="28"/>
          <w:highlight w:val="none"/>
        </w:rPr>
        <w:t>成交</w:t>
      </w:r>
      <w:bookmarkEnd w:id="336"/>
    </w:p>
    <w:bookmarkEnd w:id="296"/>
    <w:bookmarkEnd w:id="297"/>
    <w:bookmarkEnd w:id="298"/>
    <w:bookmarkEnd w:id="299"/>
    <w:p w14:paraId="3DDC166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7" w:name="_Toc12470"/>
      <w:bookmarkStart w:id="338" w:name="_Toc15691"/>
      <w:bookmarkStart w:id="339" w:name="_Toc450489317"/>
      <w:bookmarkStart w:id="340" w:name="_Toc447265543"/>
      <w:bookmarkStart w:id="341" w:name="_Toc447265257"/>
      <w:bookmarkStart w:id="342" w:name="_Toc447188705"/>
      <w:bookmarkStart w:id="343" w:name="_Toc447265545"/>
      <w:bookmarkStart w:id="344" w:name="_Toc447265259"/>
      <w:bookmarkStart w:id="345" w:name="_Toc152042345"/>
      <w:bookmarkStart w:id="346" w:name="_Toc179632587"/>
      <w:bookmarkStart w:id="347" w:name="_Toc144974537"/>
      <w:bookmarkStart w:id="348" w:name="_Toc246996956"/>
      <w:bookmarkStart w:id="349" w:name="_Toc246996213"/>
      <w:bookmarkStart w:id="350" w:name="_Toc152045569"/>
      <w:bookmarkStart w:id="351" w:name="_Toc247085727"/>
      <w:bookmarkStart w:id="352" w:name="_Toc296602459"/>
      <w:bookmarkStart w:id="353" w:name="_Toc226969310"/>
      <w:bookmarkStart w:id="354" w:name="_Toc227057916"/>
      <w:bookmarkStart w:id="355" w:name="_Toc107822517"/>
      <w:r>
        <w:rPr>
          <w:rFonts w:hint="eastAsia" w:asciiTheme="minorEastAsia" w:hAnsiTheme="minorEastAsia" w:eastAsiaTheme="minorEastAsia"/>
          <w:color w:val="auto"/>
          <w:sz w:val="24"/>
          <w:szCs w:val="24"/>
          <w:highlight w:val="none"/>
        </w:rPr>
        <w:t>7.1成交候选人公示</w:t>
      </w:r>
      <w:bookmarkEnd w:id="337"/>
      <w:bookmarkEnd w:id="338"/>
    </w:p>
    <w:p w14:paraId="25608D5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采用公开询比方式的，在“资格预审公告”或者“询比公告”发布媒介公示全部成交候选人，公示期不少于3日。</w:t>
      </w:r>
    </w:p>
    <w:p w14:paraId="0C8430F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2 响应供应商或者其他利害关系人对询比项目的评审结果有异议的，应当在成交候选人公示期间提出。</w:t>
      </w:r>
    </w:p>
    <w:p w14:paraId="6F8C3C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6" w:name="_Toc18209"/>
      <w:bookmarkStart w:id="357" w:name="_Toc17684"/>
      <w:r>
        <w:rPr>
          <w:rFonts w:hint="eastAsia" w:asciiTheme="minorEastAsia" w:hAnsiTheme="minorEastAsia" w:eastAsiaTheme="minorEastAsia"/>
          <w:color w:val="auto"/>
          <w:sz w:val="24"/>
          <w:szCs w:val="24"/>
          <w:highlight w:val="none"/>
        </w:rPr>
        <w:t>7.2确定</w:t>
      </w:r>
      <w:bookmarkEnd w:id="339"/>
      <w:bookmarkEnd w:id="340"/>
      <w:bookmarkEnd w:id="341"/>
      <w:bookmarkEnd w:id="342"/>
      <w:bookmarkEnd w:id="356"/>
      <w:r>
        <w:rPr>
          <w:rFonts w:hint="eastAsia" w:asciiTheme="minorEastAsia" w:hAnsiTheme="minorEastAsia" w:eastAsiaTheme="minorEastAsia"/>
          <w:color w:val="auto"/>
          <w:sz w:val="24"/>
          <w:szCs w:val="24"/>
          <w:highlight w:val="none"/>
        </w:rPr>
        <w:t>成交供应商</w:t>
      </w:r>
      <w:bookmarkEnd w:id="357"/>
    </w:p>
    <w:p w14:paraId="35161A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采购人依据评审委员会推荐的成交候选人确定成交供应商，成交供应商数量见供应商须知前附表。</w:t>
      </w:r>
    </w:p>
    <w:p w14:paraId="0CC8AC0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采购人根据评审委员会推荐的成交候选人名单排序依次确定成交供应商，具体成交原则见供应商须知前附表。</w:t>
      </w:r>
    </w:p>
    <w:p w14:paraId="5374DEC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.3在签订合同之前</w:t>
      </w:r>
      <w:r>
        <w:rPr>
          <w:rFonts w:hint="eastAsia" w:asciiTheme="minorEastAsia" w:hAnsiTheme="minorEastAsia" w:eastAsiaTheme="minorEastAsia"/>
          <w:color w:val="auto"/>
          <w:highlight w:val="none"/>
        </w:rPr>
        <w:t>，排名第一或排名靠前的成交候选人存在放弃成交、因不可抗力提出不能履行合同、不按照询比文件要求提交履约保证金、被查实存在影响成交结果的违法行为、采购人可以按评审委员会提出的排名顺序依次确定其他成交候选人为成交供应商，或重新询比。集中询比的，也可以对成交供应商的成交份额进行调整，但应当在询比文件中载明调整规则。具体处理规则见供应商须知前附表。</w:t>
      </w:r>
    </w:p>
    <w:p w14:paraId="61888D0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8" w:name="_Toc8458"/>
      <w:bookmarkStart w:id="359" w:name="_Toc3695"/>
      <w:bookmarkStart w:id="360" w:name="_Toc447265544"/>
      <w:bookmarkStart w:id="361" w:name="_Toc144974536"/>
      <w:bookmarkStart w:id="362" w:name="_Toc152042344"/>
      <w:bookmarkStart w:id="363" w:name="_Toc246996212"/>
      <w:bookmarkStart w:id="364" w:name="_Toc450489318"/>
      <w:bookmarkStart w:id="365" w:name="_Toc296602458"/>
      <w:bookmarkStart w:id="366" w:name="_Toc447265258"/>
      <w:bookmarkStart w:id="367" w:name="_Toc179632586"/>
      <w:bookmarkStart w:id="368" w:name="_Toc246996955"/>
      <w:bookmarkStart w:id="369" w:name="_Toc152045568"/>
      <w:bookmarkStart w:id="370" w:name="_Toc247085726"/>
      <w:bookmarkStart w:id="371" w:name="OLE_LINK6"/>
      <w:bookmarkStart w:id="372" w:name="OLE_LINK7"/>
      <w:r>
        <w:rPr>
          <w:rFonts w:hint="eastAsia" w:asciiTheme="minorEastAsia" w:hAnsiTheme="minorEastAsia" w:eastAsiaTheme="minorEastAsia"/>
          <w:color w:val="auto"/>
          <w:sz w:val="24"/>
          <w:szCs w:val="24"/>
          <w:highlight w:val="none"/>
        </w:rPr>
        <w:t>7.3询比结果公示</w:t>
      </w:r>
      <w:bookmarkEnd w:id="358"/>
      <w:bookmarkEnd w:id="359"/>
    </w:p>
    <w:p w14:paraId="7B03349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采用公开询比方式的，采购人将</w:t>
      </w:r>
      <w:r>
        <w:rPr>
          <w:rFonts w:asciiTheme="minorEastAsia" w:hAnsiTheme="minorEastAsia" w:eastAsiaTheme="minorEastAsia"/>
          <w:color w:val="auto"/>
          <w:highlight w:val="none"/>
        </w:rPr>
        <w:t>在“资格预审公告”或者“</w:t>
      </w:r>
      <w:r>
        <w:rPr>
          <w:rFonts w:hint="eastAsia" w:asciiTheme="minorEastAsia" w:hAnsiTheme="minorEastAsia" w:eastAsiaTheme="minorEastAsia"/>
          <w:color w:val="auto"/>
          <w:highlight w:val="none"/>
        </w:rPr>
        <w:t>询比公告</w:t>
      </w:r>
      <w:r>
        <w:rPr>
          <w:rFonts w:asciiTheme="minorEastAsia" w:hAnsiTheme="minorEastAsia" w:eastAsiaTheme="minorEastAsia"/>
          <w:color w:val="auto"/>
          <w:highlight w:val="none"/>
        </w:rPr>
        <w:t>”发布媒介公示全部</w:t>
      </w:r>
      <w:r>
        <w:rPr>
          <w:rFonts w:hint="eastAsia" w:asciiTheme="minorEastAsia" w:hAnsiTheme="minorEastAsia" w:eastAsiaTheme="minorEastAsia"/>
          <w:color w:val="auto"/>
          <w:highlight w:val="none"/>
        </w:rPr>
        <w:t>成交供应商</w:t>
      </w:r>
      <w:r>
        <w:rPr>
          <w:rFonts w:asciiTheme="minorEastAsia" w:hAnsiTheme="minorEastAsia" w:eastAsiaTheme="minorEastAsia"/>
          <w:color w:val="auto"/>
          <w:highlight w:val="none"/>
        </w:rPr>
        <w:t>。</w:t>
      </w:r>
    </w:p>
    <w:p w14:paraId="4DFFF9B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3" w:name="_Toc22853"/>
      <w:bookmarkStart w:id="374" w:name="_Toc9319"/>
      <w:r>
        <w:rPr>
          <w:rFonts w:hint="eastAsia" w:asciiTheme="minorEastAsia" w:hAnsiTheme="minorEastAsia" w:eastAsiaTheme="minorEastAsia"/>
          <w:color w:val="auto"/>
          <w:sz w:val="24"/>
          <w:szCs w:val="24"/>
          <w:highlight w:val="none"/>
        </w:rPr>
        <w:t>7.4 成交通知</w:t>
      </w:r>
      <w:bookmarkEnd w:id="360"/>
      <w:bookmarkEnd w:id="361"/>
      <w:bookmarkEnd w:id="362"/>
      <w:bookmarkEnd w:id="363"/>
      <w:bookmarkEnd w:id="364"/>
      <w:bookmarkEnd w:id="365"/>
      <w:bookmarkEnd w:id="366"/>
      <w:bookmarkEnd w:id="367"/>
      <w:bookmarkEnd w:id="368"/>
      <w:bookmarkEnd w:id="369"/>
      <w:bookmarkEnd w:id="370"/>
      <w:bookmarkEnd w:id="373"/>
      <w:bookmarkEnd w:id="374"/>
    </w:p>
    <w:p w14:paraId="257BEDB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7.4.1在成交通知书发出前，成交候选人的经营、财务状况发生较大变化或者存在违法行为，可能影响其履约能力的，供应商应当主动告知采购人。</w:t>
      </w:r>
      <w:bookmarkEnd w:id="371"/>
      <w:bookmarkEnd w:id="372"/>
    </w:p>
    <w:p w14:paraId="7A80D8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7.4.2成交供应商确定后，采购人应当自行或者委托采购代理机构向成交供应商发出成交通知书，同时通知未成交供应商。</w:t>
      </w:r>
    </w:p>
    <w:p w14:paraId="76BCD61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.3</w:t>
      </w:r>
      <w:r>
        <w:rPr>
          <w:rFonts w:hint="eastAsia" w:asciiTheme="minorEastAsia" w:hAnsiTheme="minorEastAsia" w:eastAsiaTheme="minorEastAsia"/>
          <w:color w:val="auto"/>
          <w:highlight w:val="none"/>
        </w:rPr>
        <w:t>成交通知书是询比采购档案和合同的组成部分。</w:t>
      </w:r>
    </w:p>
    <w:p w14:paraId="05502C8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.4</w:t>
      </w:r>
      <w:r>
        <w:rPr>
          <w:rFonts w:hint="eastAsia" w:asciiTheme="minorEastAsia" w:hAnsiTheme="minorEastAsia" w:eastAsiaTheme="minorEastAsia"/>
          <w:color w:val="auto"/>
          <w:highlight w:val="none"/>
        </w:rPr>
        <w:t>成交通知书对采购人和成交供应商具有法律约束力。成交通知书发出后，采购人改变成交结果或者成交供应商放弃成交的，应当承担法律责任。</w:t>
      </w:r>
    </w:p>
    <w:p w14:paraId="31D1CC62">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75" w:name="_Toc4049"/>
      <w:bookmarkStart w:id="376" w:name="_Toc18016"/>
      <w:r>
        <w:rPr>
          <w:rFonts w:hint="eastAsia" w:asciiTheme="minorEastAsia" w:hAnsiTheme="minorEastAsia" w:eastAsiaTheme="minorEastAsia"/>
          <w:color w:val="auto"/>
          <w:sz w:val="28"/>
          <w:szCs w:val="28"/>
          <w:highlight w:val="none"/>
        </w:rPr>
        <w:t>合同签订</w:t>
      </w:r>
      <w:bookmarkEnd w:id="343"/>
      <w:bookmarkEnd w:id="344"/>
      <w:bookmarkEnd w:id="375"/>
      <w:bookmarkEnd w:id="376"/>
    </w:p>
    <w:p w14:paraId="7D320A8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7" w:name="_Toc447265546"/>
      <w:bookmarkStart w:id="378" w:name="_Toc31567"/>
      <w:bookmarkStart w:id="379" w:name="_Toc18072"/>
      <w:bookmarkStart w:id="380" w:name="_Toc447265260"/>
      <w:r>
        <w:rPr>
          <w:rFonts w:hint="eastAsia" w:asciiTheme="minorEastAsia" w:hAnsiTheme="minorEastAsia" w:eastAsiaTheme="minorEastAsia"/>
          <w:color w:val="auto"/>
          <w:sz w:val="24"/>
          <w:szCs w:val="24"/>
          <w:highlight w:val="none"/>
        </w:rPr>
        <w:t>8.1履约</w:t>
      </w:r>
      <w:bookmarkEnd w:id="345"/>
      <w:bookmarkEnd w:id="346"/>
      <w:bookmarkEnd w:id="347"/>
      <w:bookmarkEnd w:id="348"/>
      <w:bookmarkEnd w:id="349"/>
      <w:bookmarkEnd w:id="350"/>
      <w:bookmarkEnd w:id="351"/>
      <w:bookmarkEnd w:id="352"/>
      <w:r>
        <w:rPr>
          <w:rFonts w:hint="eastAsia" w:asciiTheme="minorEastAsia" w:hAnsiTheme="minorEastAsia" w:eastAsiaTheme="minorEastAsia"/>
          <w:color w:val="auto"/>
          <w:sz w:val="24"/>
          <w:szCs w:val="24"/>
          <w:highlight w:val="none"/>
        </w:rPr>
        <w:t>保证金</w:t>
      </w:r>
      <w:bookmarkEnd w:id="377"/>
      <w:bookmarkEnd w:id="378"/>
      <w:bookmarkEnd w:id="379"/>
      <w:bookmarkEnd w:id="380"/>
    </w:p>
    <w:bookmarkEnd w:id="353"/>
    <w:bookmarkEnd w:id="354"/>
    <w:bookmarkEnd w:id="355"/>
    <w:p w14:paraId="404FC6F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381" w:name="_Toc107822519"/>
      <w:bookmarkStart w:id="382" w:name="_Toc226969312"/>
      <w:bookmarkStart w:id="383" w:name="_Toc447265263"/>
      <w:bookmarkStart w:id="384" w:name="_Toc447188707"/>
      <w:bookmarkStart w:id="385" w:name="_Toc488655867"/>
      <w:bookmarkStart w:id="386" w:name="_Toc227057918"/>
      <w:bookmarkStart w:id="387" w:name="_Toc447265549"/>
      <w:r>
        <w:rPr>
          <w:rFonts w:hint="eastAsia" w:asciiTheme="minorEastAsia" w:hAnsiTheme="minorEastAsia" w:eastAsiaTheme="minorEastAsia"/>
          <w:color w:val="auto"/>
          <w:highlight w:val="none"/>
        </w:rPr>
        <w:t>8.1.1在签订合同前，成交供应商应当按照“供应商须知前附表”中规定的履约保证金的金额和形式向采购人递交履约保证金。</w:t>
      </w:r>
    </w:p>
    <w:p w14:paraId="0C6587A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8.1.2</w:t>
      </w:r>
      <w:r>
        <w:rPr>
          <w:rFonts w:hint="eastAsia" w:asciiTheme="minorEastAsia" w:hAnsiTheme="minorEastAsia" w:eastAsiaTheme="minorEastAsia"/>
          <w:color w:val="auto"/>
          <w:highlight w:val="none"/>
        </w:rPr>
        <w:t>成交供应商不能按照询比文件要求递交履约保证金的，视为放弃成交，其响应保证金不予退还，给采购人造成的损失超过响应保证金数额的，成交供应商还应当对超过部分予以赔偿。</w:t>
      </w:r>
    </w:p>
    <w:p w14:paraId="7DFA2BE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88" w:name="_Toc447265547"/>
      <w:bookmarkStart w:id="389" w:name="_Toc447265261"/>
      <w:bookmarkStart w:id="390" w:name="_Toc20117"/>
      <w:bookmarkStart w:id="391" w:name="_Toc450489321"/>
      <w:bookmarkStart w:id="392" w:name="_Toc5256"/>
      <w:r>
        <w:rPr>
          <w:rFonts w:hint="eastAsia" w:asciiTheme="minorEastAsia" w:hAnsiTheme="minorEastAsia" w:eastAsiaTheme="minorEastAsia"/>
          <w:color w:val="auto"/>
          <w:sz w:val="24"/>
          <w:szCs w:val="24"/>
          <w:highlight w:val="none"/>
        </w:rPr>
        <w:t>8.2合同签订</w:t>
      </w:r>
      <w:bookmarkEnd w:id="388"/>
      <w:bookmarkEnd w:id="389"/>
      <w:bookmarkEnd w:id="390"/>
      <w:bookmarkEnd w:id="391"/>
      <w:bookmarkEnd w:id="392"/>
    </w:p>
    <w:p w14:paraId="41FB364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8.2.1</w:t>
      </w:r>
      <w:r>
        <w:rPr>
          <w:rFonts w:hint="eastAsia" w:asciiTheme="minorEastAsia" w:hAnsiTheme="minorEastAsia" w:eastAsiaTheme="minorEastAsia"/>
          <w:color w:val="auto"/>
          <w:highlight w:val="none"/>
        </w:rPr>
        <w:t>采购人和成交供应商应当在响应有效期内，根据询比文件和成交供应商的响应文件订立书面合同。采购人和成交供应商不得订立背离合同实质性内容的其他协议。</w:t>
      </w:r>
    </w:p>
    <w:p w14:paraId="546C99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8.2.2成交供应商无正当理由拒签合同的，采购人取消其成交资格，其响应保证金不予退还；给采购人造成的损失超过响应保证金数额的，成交供应商还应当对超过部分予以赔偿。</w:t>
      </w:r>
    </w:p>
    <w:bookmarkEnd w:id="381"/>
    <w:bookmarkEnd w:id="382"/>
    <w:bookmarkEnd w:id="383"/>
    <w:bookmarkEnd w:id="384"/>
    <w:bookmarkEnd w:id="385"/>
    <w:bookmarkEnd w:id="386"/>
    <w:bookmarkEnd w:id="387"/>
    <w:p w14:paraId="7216C017">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3" w:name="_Toc30388"/>
      <w:r>
        <w:rPr>
          <w:rFonts w:hint="eastAsia" w:asciiTheme="minorEastAsia" w:hAnsiTheme="minorEastAsia" w:eastAsiaTheme="minorEastAsia"/>
          <w:color w:val="auto"/>
          <w:sz w:val="28"/>
          <w:szCs w:val="28"/>
          <w:highlight w:val="none"/>
        </w:rPr>
        <w:t>采购代理服务费</w:t>
      </w:r>
      <w:bookmarkEnd w:id="393"/>
    </w:p>
    <w:p w14:paraId="2594E7EC">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成交供应商应当按照询比文件规定交纳采购代理服务费，采购人和采购代理机构另有约定的从其约定。采购代理服务费的金额、交纳方式和时限见供应商须知前附表。</w:t>
      </w:r>
    </w:p>
    <w:p w14:paraId="24719896">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4" w:name="_Toc296602461"/>
      <w:bookmarkStart w:id="395" w:name="_Toc16287"/>
      <w:bookmarkStart w:id="396" w:name="_Toc447265264"/>
      <w:bookmarkStart w:id="397" w:name="_Toc12016"/>
      <w:bookmarkStart w:id="398" w:name="_Toc447188708"/>
      <w:bookmarkStart w:id="399" w:name="_Toc447265550"/>
      <w:r>
        <w:rPr>
          <w:rFonts w:hint="eastAsia" w:asciiTheme="minorEastAsia" w:hAnsiTheme="minorEastAsia" w:eastAsiaTheme="minorEastAsia"/>
          <w:color w:val="auto"/>
          <w:sz w:val="28"/>
          <w:szCs w:val="28"/>
          <w:highlight w:val="none"/>
        </w:rPr>
        <w:t>纪律和监督</w:t>
      </w:r>
      <w:bookmarkEnd w:id="394"/>
      <w:bookmarkEnd w:id="395"/>
      <w:bookmarkEnd w:id="396"/>
      <w:bookmarkEnd w:id="397"/>
      <w:bookmarkEnd w:id="398"/>
      <w:bookmarkEnd w:id="399"/>
    </w:p>
    <w:p w14:paraId="2961634B">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00" w:name="_Toc152045575"/>
      <w:bookmarkStart w:id="401" w:name="_Toc296590983"/>
      <w:bookmarkStart w:id="402" w:name="_Toc144974543"/>
      <w:bookmarkStart w:id="403" w:name="_Toc296602462"/>
      <w:bookmarkStart w:id="404" w:name="_Toc8320"/>
      <w:bookmarkStart w:id="405" w:name="_Toc246996219"/>
      <w:bookmarkStart w:id="406" w:name="_Toc247085733"/>
      <w:bookmarkStart w:id="407" w:name="_Toc447265265"/>
      <w:bookmarkStart w:id="408" w:name="_Toc28966"/>
      <w:bookmarkStart w:id="409" w:name="_Toc152042351"/>
      <w:bookmarkStart w:id="410" w:name="_Toc447265551"/>
      <w:bookmarkStart w:id="411" w:name="_Toc179632593"/>
      <w:bookmarkStart w:id="412" w:name="_Toc246996962"/>
      <w:r>
        <w:rPr>
          <w:rFonts w:hint="eastAsia" w:asciiTheme="minorEastAsia" w:hAnsiTheme="minorEastAsia" w:eastAsiaTheme="minorEastAsia"/>
          <w:color w:val="auto"/>
          <w:sz w:val="24"/>
          <w:szCs w:val="24"/>
          <w:highlight w:val="none"/>
        </w:rPr>
        <w:t>10.1对采购人的纪律要求</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6DD2935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采购人不得泄露采购活动中应当保密的情况和资料，不得与供应商串通损害国家利益、社会公共利益或者他人合法权益。</w:t>
      </w:r>
    </w:p>
    <w:p w14:paraId="256E636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13" w:name="_Toc447265266"/>
      <w:bookmarkStart w:id="414" w:name="_Toc27938"/>
      <w:bookmarkStart w:id="415" w:name="_Toc246996963"/>
      <w:bookmarkStart w:id="416" w:name="_Toc447265552"/>
      <w:bookmarkStart w:id="417" w:name="_Toc247085734"/>
      <w:bookmarkStart w:id="418" w:name="_Toc296602463"/>
      <w:bookmarkStart w:id="419" w:name="_Toc13238"/>
      <w:bookmarkStart w:id="420" w:name="_Toc246996220"/>
      <w:bookmarkStart w:id="421" w:name="_Toc152042352"/>
      <w:bookmarkStart w:id="422" w:name="_Toc144974544"/>
      <w:bookmarkStart w:id="423" w:name="_Toc152045576"/>
      <w:bookmarkStart w:id="424" w:name="_Toc179632594"/>
      <w:r>
        <w:rPr>
          <w:rFonts w:hint="eastAsia" w:asciiTheme="minorEastAsia" w:hAnsiTheme="minorEastAsia" w:eastAsiaTheme="minorEastAsia"/>
          <w:color w:val="auto"/>
          <w:sz w:val="24"/>
          <w:szCs w:val="24"/>
          <w:highlight w:val="none"/>
        </w:rPr>
        <w:t>10.2对供应商的纪律要求</w:t>
      </w:r>
      <w:bookmarkEnd w:id="413"/>
      <w:bookmarkEnd w:id="414"/>
      <w:bookmarkEnd w:id="415"/>
      <w:bookmarkEnd w:id="416"/>
      <w:bookmarkEnd w:id="417"/>
      <w:bookmarkEnd w:id="418"/>
      <w:bookmarkEnd w:id="419"/>
      <w:bookmarkEnd w:id="420"/>
      <w:bookmarkEnd w:id="421"/>
      <w:bookmarkEnd w:id="422"/>
      <w:bookmarkEnd w:id="423"/>
      <w:bookmarkEnd w:id="424"/>
    </w:p>
    <w:p w14:paraId="220FCD3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供应商不得相互串通或者与采购人串通响应，不得向采购人或者评审委员会成员行贿谋取成交，不得以他人名义响应或者以其他方式弄虚作假骗取成交，供应商不得以任何方式干扰、影响评审工作。</w:t>
      </w:r>
    </w:p>
    <w:p w14:paraId="2A42AFC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25" w:name="_Toc246996221"/>
      <w:bookmarkStart w:id="426" w:name="_Toc179632595"/>
      <w:bookmarkStart w:id="427" w:name="_Toc246996964"/>
      <w:bookmarkStart w:id="428" w:name="_Toc12957"/>
      <w:bookmarkStart w:id="429" w:name="_Toc296602464"/>
      <w:bookmarkStart w:id="430" w:name="_Toc247085735"/>
      <w:bookmarkStart w:id="431" w:name="_Toc447265267"/>
      <w:bookmarkStart w:id="432" w:name="_Toc11483"/>
      <w:bookmarkStart w:id="433" w:name="_Toc152045577"/>
      <w:bookmarkStart w:id="434" w:name="_Toc144974545"/>
      <w:bookmarkStart w:id="435" w:name="_Toc152042353"/>
      <w:bookmarkStart w:id="436" w:name="_Toc447265553"/>
      <w:r>
        <w:rPr>
          <w:rFonts w:hint="eastAsia" w:asciiTheme="minorEastAsia" w:hAnsiTheme="minorEastAsia" w:eastAsiaTheme="minorEastAsia"/>
          <w:color w:val="auto"/>
          <w:sz w:val="24"/>
          <w:szCs w:val="24"/>
          <w:highlight w:val="none"/>
        </w:rPr>
        <w:t>10.3对评审委员会成员的纪律要求</w:t>
      </w:r>
      <w:bookmarkEnd w:id="425"/>
      <w:bookmarkEnd w:id="426"/>
      <w:bookmarkEnd w:id="427"/>
      <w:bookmarkEnd w:id="428"/>
      <w:bookmarkEnd w:id="429"/>
      <w:bookmarkEnd w:id="430"/>
      <w:bookmarkEnd w:id="431"/>
      <w:bookmarkEnd w:id="432"/>
      <w:bookmarkEnd w:id="433"/>
      <w:bookmarkEnd w:id="434"/>
      <w:bookmarkEnd w:id="435"/>
      <w:bookmarkEnd w:id="436"/>
    </w:p>
    <w:p w14:paraId="257DC43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委员会成员不得收受他人的财物或者其他好处，不得向他人透漏对响应文件的评审和比较、成交候选人的推荐情况以及评审有关的其他情况。在评审活动中，评审委员会成员应当客观、公正地履行职责，遵守职业道德，不得擅离职守，影响评审程序正常进行，不得使用第三章“评审办法”没有规定的评审因素和标准进行评审。</w:t>
      </w:r>
    </w:p>
    <w:p w14:paraId="31457C1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37" w:name="_Toc152045578"/>
      <w:bookmarkStart w:id="438" w:name="_Toc246996965"/>
      <w:bookmarkStart w:id="439" w:name="_Toc247085736"/>
      <w:bookmarkStart w:id="440" w:name="_Toc447265554"/>
      <w:bookmarkStart w:id="441" w:name="_Toc31633"/>
      <w:bookmarkStart w:id="442" w:name="_Toc179632596"/>
      <w:bookmarkStart w:id="443" w:name="_Toc246996222"/>
      <w:bookmarkStart w:id="444" w:name="_Toc447265268"/>
      <w:bookmarkStart w:id="445" w:name="_Toc25223"/>
      <w:bookmarkStart w:id="446" w:name="_Toc296602465"/>
      <w:bookmarkStart w:id="447" w:name="_Toc152042354"/>
      <w:bookmarkStart w:id="448" w:name="_Toc144974546"/>
      <w:r>
        <w:rPr>
          <w:rFonts w:hint="eastAsia" w:asciiTheme="minorEastAsia" w:hAnsiTheme="minorEastAsia" w:eastAsiaTheme="minorEastAsia"/>
          <w:color w:val="auto"/>
          <w:sz w:val="24"/>
          <w:szCs w:val="24"/>
          <w:highlight w:val="none"/>
        </w:rPr>
        <w:t>10.4对与评审活动有关的工作人员的纪律要求</w:t>
      </w:r>
      <w:bookmarkEnd w:id="437"/>
      <w:bookmarkEnd w:id="438"/>
      <w:bookmarkEnd w:id="439"/>
      <w:bookmarkEnd w:id="440"/>
      <w:bookmarkEnd w:id="441"/>
      <w:bookmarkEnd w:id="442"/>
      <w:bookmarkEnd w:id="443"/>
      <w:bookmarkEnd w:id="444"/>
      <w:bookmarkEnd w:id="445"/>
      <w:bookmarkEnd w:id="446"/>
      <w:bookmarkEnd w:id="447"/>
    </w:p>
    <w:p w14:paraId="2ACA6E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449" w:name="_Toc152042355"/>
      <w:r>
        <w:rPr>
          <w:rFonts w:hint="eastAsia" w:cs="宋体" w:asciiTheme="minorEastAsia" w:hAnsiTheme="minorEastAsia" w:eastAsiaTheme="minorEastAsia"/>
          <w:color w:val="auto"/>
          <w:szCs w:val="21"/>
          <w:highlight w:val="none"/>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449"/>
    </w:p>
    <w:bookmarkEnd w:id="448"/>
    <w:p w14:paraId="143A3DDF">
      <w:pPr>
        <w:pStyle w:val="101"/>
        <w:spacing w:before="240" w:after="120"/>
        <w:rPr>
          <w:rFonts w:cs="宋体" w:asciiTheme="minorEastAsia" w:hAnsiTheme="minorEastAsia" w:eastAsiaTheme="minorEastAsia"/>
          <w:b/>
          <w:bCs w:val="0"/>
          <w:color w:val="auto"/>
          <w:kern w:val="0"/>
          <w:sz w:val="28"/>
          <w:szCs w:val="28"/>
          <w:highlight w:val="none"/>
        </w:rPr>
      </w:pPr>
      <w:bookmarkStart w:id="450" w:name="_Toc477190328"/>
      <w:bookmarkEnd w:id="450"/>
      <w:bookmarkStart w:id="451" w:name="_Toc477190326"/>
      <w:bookmarkEnd w:id="451"/>
      <w:bookmarkStart w:id="452" w:name="_Toc477190327"/>
      <w:bookmarkEnd w:id="452"/>
      <w:bookmarkStart w:id="453" w:name="_Toc179632598"/>
      <w:bookmarkStart w:id="454" w:name="_Toc246996224"/>
      <w:bookmarkStart w:id="455" w:name="_Toc152042357"/>
      <w:bookmarkStart w:id="456" w:name="_Toc447265556"/>
      <w:bookmarkStart w:id="457" w:name="_Toc17258"/>
      <w:bookmarkStart w:id="458" w:name="_Toc29165"/>
      <w:bookmarkStart w:id="459" w:name="_Toc144974547"/>
      <w:bookmarkStart w:id="460" w:name="_Toc296602467"/>
      <w:bookmarkStart w:id="461" w:name="_Toc447265270"/>
      <w:bookmarkStart w:id="462" w:name="_Toc247085738"/>
      <w:bookmarkStart w:id="463" w:name="_Toc152045580"/>
      <w:bookmarkStart w:id="464" w:name="_Toc447188709"/>
      <w:bookmarkStart w:id="465" w:name="_Toc246996967"/>
      <w:r>
        <w:rPr>
          <w:rFonts w:cs="宋体" w:asciiTheme="minorEastAsia" w:hAnsiTheme="minorEastAsia" w:eastAsiaTheme="minorEastAsia"/>
          <w:color w:val="auto"/>
          <w:sz w:val="28"/>
          <w:szCs w:val="28"/>
          <w:highlight w:val="none"/>
        </w:rPr>
        <w:br w:type="page"/>
      </w:r>
      <w:bookmarkStart w:id="466" w:name="_Toc447265273"/>
      <w:bookmarkStart w:id="467" w:name="_Toc17833"/>
      <w:bookmarkStart w:id="468" w:name="_Toc447265559"/>
      <w:bookmarkStart w:id="469" w:name="_Toc26801"/>
      <w:r>
        <w:rPr>
          <w:rFonts w:hint="eastAsia" w:cs="宋体" w:asciiTheme="minorEastAsia" w:hAnsiTheme="minorEastAsia" w:eastAsiaTheme="minorEastAsia"/>
          <w:b/>
          <w:bCs w:val="0"/>
          <w:color w:val="auto"/>
          <w:kern w:val="0"/>
          <w:sz w:val="28"/>
          <w:szCs w:val="28"/>
          <w:highlight w:val="none"/>
        </w:rPr>
        <w:t>第三章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评审办法</w:t>
      </w:r>
      <w:bookmarkEnd w:id="466"/>
      <w:bookmarkEnd w:id="467"/>
      <w:bookmarkEnd w:id="468"/>
      <w:r>
        <w:rPr>
          <w:rFonts w:hint="eastAsia" w:cs="宋体" w:asciiTheme="minorEastAsia" w:hAnsiTheme="minorEastAsia" w:eastAsiaTheme="minorEastAsia"/>
          <w:b/>
          <w:bCs w:val="0"/>
          <w:color w:val="auto"/>
          <w:kern w:val="0"/>
          <w:sz w:val="28"/>
          <w:szCs w:val="28"/>
          <w:highlight w:val="none"/>
        </w:rPr>
        <w:t>（综合评估法）</w:t>
      </w:r>
      <w:bookmarkEnd w:id="469"/>
    </w:p>
    <w:p w14:paraId="7682BFAD">
      <w:pPr>
        <w:pStyle w:val="3"/>
        <w:snapToGrid w:val="0"/>
        <w:spacing w:before="240" w:after="120" w:line="240" w:lineRule="auto"/>
        <w:rPr>
          <w:rFonts w:cs="宋体" w:asciiTheme="minorEastAsia" w:hAnsiTheme="minorEastAsia" w:eastAsiaTheme="minorEastAsia"/>
          <w:b w:val="0"/>
          <w:bCs w:val="0"/>
          <w:color w:val="auto"/>
          <w:sz w:val="24"/>
          <w:szCs w:val="24"/>
          <w:highlight w:val="none"/>
        </w:rPr>
      </w:pPr>
      <w:bookmarkStart w:id="470" w:name="_Toc447265560"/>
      <w:bookmarkStart w:id="471" w:name="_Toc19227"/>
      <w:bookmarkStart w:id="472" w:name="_Toc450489344"/>
      <w:bookmarkStart w:id="473" w:name="_Toc5012"/>
      <w:bookmarkStart w:id="474" w:name="_Toc447265274"/>
      <w:bookmarkStart w:id="475" w:name="_Toc227057922"/>
      <w:bookmarkStart w:id="476" w:name="_Toc107822520"/>
      <w:bookmarkStart w:id="477" w:name="_Toc226969316"/>
      <w:bookmarkStart w:id="478" w:name="_Toc447265276"/>
      <w:bookmarkStart w:id="479" w:name="_Toc447265562"/>
      <w:r>
        <w:rPr>
          <w:rFonts w:hint="eastAsia" w:cs="宋体" w:asciiTheme="minorEastAsia" w:hAnsiTheme="minorEastAsia" w:eastAsiaTheme="minorEastAsia"/>
          <w:b w:val="0"/>
          <w:bCs w:val="0"/>
          <w:color w:val="auto"/>
          <w:sz w:val="24"/>
          <w:szCs w:val="24"/>
          <w:highlight w:val="none"/>
        </w:rPr>
        <w:t>评审办法前附表</w:t>
      </w:r>
      <w:bookmarkEnd w:id="470"/>
      <w:bookmarkEnd w:id="471"/>
      <w:bookmarkEnd w:id="472"/>
      <w:bookmarkEnd w:id="473"/>
      <w:bookmarkEnd w:id="474"/>
    </w:p>
    <w:p w14:paraId="290315C8">
      <w:pPr>
        <w:adjustRightInd w:val="0"/>
        <w:snapToGrid w:val="0"/>
        <w:spacing w:line="440" w:lineRule="exact"/>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本项目采用综合评估法，总分共100分，其中商务</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分，技术</w:t>
      </w:r>
      <w:r>
        <w:rPr>
          <w:rFonts w:hint="eastAsia" w:cs="宋体" w:asciiTheme="minorEastAsia" w:hAnsiTheme="minorEastAsia" w:eastAsiaTheme="minorEastAsia"/>
          <w:color w:val="auto"/>
          <w:szCs w:val="21"/>
          <w:highlight w:val="none"/>
          <w:lang w:val="en-US" w:eastAsia="zh-CN"/>
        </w:rPr>
        <w:t>40</w:t>
      </w:r>
      <w:r>
        <w:rPr>
          <w:rFonts w:hint="eastAsia" w:cs="宋体" w:asciiTheme="minorEastAsia" w:hAnsiTheme="minorEastAsia" w:eastAsiaTheme="minorEastAsia"/>
          <w:color w:val="auto"/>
          <w:szCs w:val="21"/>
          <w:highlight w:val="none"/>
        </w:rPr>
        <w:t>分，价格</w:t>
      </w:r>
      <w:r>
        <w:rPr>
          <w:rFonts w:hint="eastAsia" w:cs="宋体" w:asciiTheme="minorEastAsia" w:hAnsiTheme="minorEastAsia" w:eastAsiaTheme="minorEastAsia"/>
          <w:color w:val="auto"/>
          <w:szCs w:val="21"/>
          <w:highlight w:val="none"/>
          <w:lang w:val="en-US" w:eastAsia="zh-CN"/>
        </w:rPr>
        <w:t>55</w:t>
      </w:r>
      <w:r>
        <w:rPr>
          <w:rFonts w:hint="eastAsia" w:cs="宋体" w:asciiTheme="minorEastAsia" w:hAnsiTheme="minorEastAsia" w:eastAsiaTheme="minorEastAsia"/>
          <w:color w:val="auto"/>
          <w:szCs w:val="21"/>
          <w:highlight w:val="none"/>
        </w:rPr>
        <w:t>分。评审时，评审委员会按照询比文件规定的量化因素和权重比值打分</w:t>
      </w:r>
      <w:r>
        <w:rPr>
          <w:rFonts w:hint="eastAsia" w:cs="宋体" w:asciiTheme="minorEastAsia" w:hAnsiTheme="minorEastAsia" w:eastAsiaTheme="minorEastAsia"/>
          <w:color w:val="auto"/>
          <w:kern w:val="0"/>
          <w:szCs w:val="21"/>
          <w:highlight w:val="none"/>
        </w:rPr>
        <w:t>。</w:t>
      </w:r>
      <w:r>
        <w:rPr>
          <w:rFonts w:hint="eastAsia" w:cs="宋体" w:asciiTheme="minorEastAsia" w:hAnsiTheme="minorEastAsia" w:eastAsiaTheme="minorEastAsia"/>
          <w:color w:val="auto"/>
          <w:szCs w:val="21"/>
          <w:highlight w:val="none"/>
        </w:rPr>
        <w:t>评审委员会全体成员对该供应商打分的算术平均值为该供应商的最终得分。</w:t>
      </w:r>
    </w:p>
    <w:tbl>
      <w:tblPr>
        <w:tblStyle w:val="78"/>
        <w:tblW w:w="8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484"/>
      </w:tblGrid>
      <w:tr w14:paraId="787A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blHeader/>
          <w:jc w:val="center"/>
        </w:trPr>
        <w:tc>
          <w:tcPr>
            <w:tcW w:w="1276" w:type="dxa"/>
            <w:gridSpan w:val="2"/>
            <w:vAlign w:val="center"/>
          </w:tcPr>
          <w:p w14:paraId="28CF92E3">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szCs w:val="21"/>
                <w:highlight w:val="none"/>
              </w:rPr>
              <w:t>条款号</w:t>
            </w:r>
          </w:p>
        </w:tc>
        <w:tc>
          <w:tcPr>
            <w:tcW w:w="709" w:type="dxa"/>
            <w:vAlign w:val="center"/>
          </w:tcPr>
          <w:p w14:paraId="5526DB83">
            <w:pPr>
              <w:snapToGrid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评审内容</w:t>
            </w:r>
          </w:p>
        </w:tc>
        <w:tc>
          <w:tcPr>
            <w:tcW w:w="1559" w:type="dxa"/>
            <w:vAlign w:val="center"/>
          </w:tcPr>
          <w:p w14:paraId="235F00A4">
            <w:pPr>
              <w:snapToGrid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评审因素</w:t>
            </w:r>
          </w:p>
        </w:tc>
        <w:tc>
          <w:tcPr>
            <w:tcW w:w="5051" w:type="dxa"/>
            <w:gridSpan w:val="2"/>
            <w:vAlign w:val="center"/>
          </w:tcPr>
          <w:p w14:paraId="5E806D6E">
            <w:pPr>
              <w:snapToGrid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评审标准</w:t>
            </w:r>
          </w:p>
        </w:tc>
      </w:tr>
      <w:tr w14:paraId="46C9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restart"/>
            <w:vAlign w:val="center"/>
          </w:tcPr>
          <w:p w14:paraId="7A0214CF">
            <w:pPr>
              <w:snapToGrid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2.1</w:t>
            </w:r>
          </w:p>
        </w:tc>
        <w:tc>
          <w:tcPr>
            <w:tcW w:w="709" w:type="dxa"/>
            <w:vMerge w:val="restart"/>
            <w:vAlign w:val="center"/>
          </w:tcPr>
          <w:p w14:paraId="4FDC6A4E">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初步评审</w:t>
            </w:r>
          </w:p>
        </w:tc>
        <w:tc>
          <w:tcPr>
            <w:tcW w:w="709" w:type="dxa"/>
            <w:vMerge w:val="restart"/>
            <w:vAlign w:val="center"/>
          </w:tcPr>
          <w:p w14:paraId="1E8C411A">
            <w:pPr>
              <w:snapToGrid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形式评审</w:t>
            </w:r>
          </w:p>
        </w:tc>
        <w:tc>
          <w:tcPr>
            <w:tcW w:w="1559" w:type="dxa"/>
            <w:vAlign w:val="center"/>
          </w:tcPr>
          <w:p w14:paraId="169BF0C5">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供应商名称</w:t>
            </w:r>
          </w:p>
        </w:tc>
        <w:tc>
          <w:tcPr>
            <w:tcW w:w="5051" w:type="dxa"/>
            <w:gridSpan w:val="2"/>
            <w:vAlign w:val="center"/>
          </w:tcPr>
          <w:p w14:paraId="6B7152B2">
            <w:pPr>
              <w:snapToGrid w:val="0"/>
              <w:spacing w:line="240" w:lineRule="auto"/>
              <w:jc w:val="left"/>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与营业执照一致</w:t>
            </w:r>
          </w:p>
        </w:tc>
      </w:tr>
      <w:tr w14:paraId="6BFD1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continue"/>
            <w:vAlign w:val="center"/>
          </w:tcPr>
          <w:p w14:paraId="04826703">
            <w:pPr>
              <w:snapToGrid w:val="0"/>
              <w:jc w:val="center"/>
              <w:rPr>
                <w:rFonts w:hint="eastAsia" w:cs="宋体" w:asciiTheme="minorEastAsia" w:hAnsiTheme="minorEastAsia" w:eastAsiaTheme="minorEastAsia"/>
                <w:color w:val="auto"/>
                <w:szCs w:val="21"/>
                <w:highlight w:val="none"/>
              </w:rPr>
            </w:pPr>
          </w:p>
        </w:tc>
        <w:tc>
          <w:tcPr>
            <w:tcW w:w="709" w:type="dxa"/>
            <w:vMerge w:val="continue"/>
            <w:vAlign w:val="center"/>
          </w:tcPr>
          <w:p w14:paraId="70A986AE">
            <w:pPr>
              <w:snapToGrid w:val="0"/>
              <w:jc w:val="center"/>
              <w:rPr>
                <w:rFonts w:hint="eastAsia" w:cs="宋体" w:asciiTheme="minorEastAsia" w:hAnsiTheme="minorEastAsia" w:eastAsiaTheme="minorEastAsia"/>
                <w:color w:val="auto"/>
                <w:kern w:val="0"/>
                <w:szCs w:val="21"/>
                <w:highlight w:val="none"/>
              </w:rPr>
            </w:pPr>
          </w:p>
        </w:tc>
        <w:tc>
          <w:tcPr>
            <w:tcW w:w="709" w:type="dxa"/>
            <w:vMerge w:val="continue"/>
            <w:vAlign w:val="center"/>
          </w:tcPr>
          <w:p w14:paraId="1A2B4337">
            <w:pPr>
              <w:snapToGrid w:val="0"/>
              <w:jc w:val="left"/>
              <w:rPr>
                <w:rFonts w:hint="eastAsia" w:cs="宋体" w:asciiTheme="minorEastAsia" w:hAnsiTheme="minorEastAsia" w:eastAsiaTheme="minorEastAsia"/>
                <w:color w:val="auto"/>
                <w:kern w:val="0"/>
                <w:szCs w:val="21"/>
                <w:highlight w:val="none"/>
              </w:rPr>
            </w:pPr>
          </w:p>
        </w:tc>
        <w:tc>
          <w:tcPr>
            <w:tcW w:w="1559" w:type="dxa"/>
            <w:vAlign w:val="center"/>
          </w:tcPr>
          <w:p w14:paraId="725F25AA">
            <w:pPr>
              <w:snapToGrid w:val="0"/>
              <w:spacing w:line="240" w:lineRule="auto"/>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响应函</w:t>
            </w:r>
          </w:p>
        </w:tc>
        <w:tc>
          <w:tcPr>
            <w:tcW w:w="5051" w:type="dxa"/>
            <w:gridSpan w:val="2"/>
            <w:vAlign w:val="center"/>
          </w:tcPr>
          <w:p w14:paraId="2B462FB8">
            <w:pPr>
              <w:snapToGrid w:val="0"/>
              <w:spacing w:line="240" w:lineRule="auto"/>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rPr>
              <w:t>符合第二章“供应商须知”和第六章“响应文件格式”规定</w:t>
            </w:r>
          </w:p>
        </w:tc>
      </w:tr>
      <w:tr w14:paraId="3778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52A25CAB">
            <w:pPr>
              <w:snapToGrid w:val="0"/>
              <w:jc w:val="center"/>
              <w:rPr>
                <w:rFonts w:cs="宋体" w:asciiTheme="minorEastAsia" w:hAnsiTheme="minorEastAsia" w:eastAsiaTheme="minorEastAsia"/>
                <w:color w:val="auto"/>
                <w:szCs w:val="21"/>
                <w:highlight w:val="none"/>
              </w:rPr>
            </w:pPr>
          </w:p>
        </w:tc>
        <w:tc>
          <w:tcPr>
            <w:tcW w:w="709" w:type="dxa"/>
            <w:vMerge w:val="continue"/>
          </w:tcPr>
          <w:p w14:paraId="147D36C8">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28C63BFD">
            <w:pPr>
              <w:snapToGrid w:val="0"/>
              <w:jc w:val="left"/>
              <w:rPr>
                <w:rFonts w:cs="宋体" w:asciiTheme="minorEastAsia" w:hAnsiTheme="minorEastAsia" w:eastAsiaTheme="minorEastAsia"/>
                <w:color w:val="auto"/>
                <w:szCs w:val="21"/>
                <w:highlight w:val="none"/>
              </w:rPr>
            </w:pPr>
          </w:p>
        </w:tc>
        <w:tc>
          <w:tcPr>
            <w:tcW w:w="1559" w:type="dxa"/>
            <w:vAlign w:val="center"/>
          </w:tcPr>
          <w:p w14:paraId="617C57A7">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营业执照和资质证书</w:t>
            </w:r>
          </w:p>
        </w:tc>
        <w:tc>
          <w:tcPr>
            <w:tcW w:w="5051" w:type="dxa"/>
            <w:gridSpan w:val="2"/>
            <w:vAlign w:val="center"/>
          </w:tcPr>
          <w:p w14:paraId="70F3B7ED">
            <w:pPr>
              <w:snapToGrid w:val="0"/>
              <w:spacing w:line="240" w:lineRule="auto"/>
              <w:jc w:val="left"/>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供应商须提供有效的营业执照或营业执照复印件</w:t>
            </w:r>
            <w:r>
              <w:rPr>
                <w:rFonts w:hint="eastAsia" w:ascii="宋体" w:hAnsi="宋体" w:eastAsia="宋体" w:cs="宋体"/>
                <w:color w:val="auto"/>
                <w:szCs w:val="21"/>
                <w:highlight w:val="none"/>
                <w:lang w:val="en-US" w:eastAsia="zh-CN"/>
              </w:rPr>
              <w:t>及资质证书等资料</w:t>
            </w:r>
            <w:r>
              <w:rPr>
                <w:rFonts w:hint="eastAsia" w:ascii="宋体" w:hAnsi="宋体" w:eastAsia="宋体" w:cs="宋体"/>
                <w:color w:val="auto"/>
                <w:szCs w:val="21"/>
                <w:highlight w:val="none"/>
              </w:rPr>
              <w:t>，并加盖公章。未提供或无效者作否决处理。</w:t>
            </w:r>
          </w:p>
        </w:tc>
      </w:tr>
      <w:tr w14:paraId="7B57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7" w:type="dxa"/>
            <w:vMerge w:val="continue"/>
            <w:vAlign w:val="center"/>
          </w:tcPr>
          <w:p w14:paraId="44C1DC0A">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2F44DDAF">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2CC9E233">
            <w:pPr>
              <w:snapToGrid w:val="0"/>
              <w:jc w:val="left"/>
              <w:rPr>
                <w:rFonts w:cs="宋体" w:asciiTheme="minorEastAsia" w:hAnsiTheme="minorEastAsia" w:eastAsiaTheme="minorEastAsia"/>
                <w:color w:val="auto"/>
                <w:szCs w:val="21"/>
                <w:highlight w:val="none"/>
              </w:rPr>
            </w:pPr>
          </w:p>
        </w:tc>
        <w:tc>
          <w:tcPr>
            <w:tcW w:w="1559" w:type="dxa"/>
            <w:vAlign w:val="center"/>
          </w:tcPr>
          <w:p w14:paraId="1D2407F3">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响应文件签字盖章</w:t>
            </w:r>
          </w:p>
        </w:tc>
        <w:tc>
          <w:tcPr>
            <w:tcW w:w="5051" w:type="dxa"/>
            <w:gridSpan w:val="2"/>
            <w:vAlign w:val="center"/>
          </w:tcPr>
          <w:p w14:paraId="67D760AB">
            <w:pPr>
              <w:snapToGrid w:val="0"/>
              <w:spacing w:line="240" w:lineRule="auto"/>
              <w:jc w:val="left"/>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符合第二章“供应商须知前附表”的要求</w:t>
            </w:r>
          </w:p>
        </w:tc>
      </w:tr>
      <w:tr w14:paraId="1326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3F3471E4">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57F9F8D9">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6FB7C543">
            <w:pPr>
              <w:snapToGrid w:val="0"/>
              <w:jc w:val="left"/>
              <w:rPr>
                <w:rFonts w:cs="宋体" w:asciiTheme="minorEastAsia" w:hAnsiTheme="minorEastAsia" w:eastAsiaTheme="minorEastAsia"/>
                <w:color w:val="auto"/>
                <w:szCs w:val="21"/>
                <w:highlight w:val="none"/>
              </w:rPr>
            </w:pPr>
          </w:p>
        </w:tc>
        <w:tc>
          <w:tcPr>
            <w:tcW w:w="1559" w:type="dxa"/>
            <w:vAlign w:val="center"/>
          </w:tcPr>
          <w:p w14:paraId="28F0EB3B">
            <w:pPr>
              <w:snapToGrid w:val="0"/>
              <w:spacing w:line="240" w:lineRule="auto"/>
              <w:jc w:val="center"/>
              <w:rPr>
                <w:rFonts w:hint="eastAsia" w:cs="宋体" w:asciiTheme="minorEastAsia" w:hAnsiTheme="minorEastAsia" w:eastAsiaTheme="minorEastAsia"/>
                <w:color w:val="auto"/>
                <w:kern w:val="0"/>
                <w:szCs w:val="21"/>
                <w:highlight w:val="none"/>
              </w:rPr>
            </w:pPr>
            <w:r>
              <w:rPr>
                <w:rFonts w:hint="eastAsia" w:ascii="宋体" w:hAnsi="宋体" w:eastAsia="宋体" w:cs="宋体"/>
                <w:color w:val="auto"/>
                <w:kern w:val="0"/>
                <w:sz w:val="21"/>
                <w:szCs w:val="21"/>
                <w:highlight w:val="none"/>
              </w:rPr>
              <w:t>法定代表人授权书</w:t>
            </w:r>
          </w:p>
        </w:tc>
        <w:tc>
          <w:tcPr>
            <w:tcW w:w="5051" w:type="dxa"/>
            <w:gridSpan w:val="2"/>
            <w:vAlign w:val="center"/>
          </w:tcPr>
          <w:p w14:paraId="49F16E9B">
            <w:pPr>
              <w:snapToGrid w:val="0"/>
              <w:spacing w:line="240" w:lineRule="auto"/>
              <w:jc w:val="left"/>
              <w:rPr>
                <w:rFonts w:hint="eastAsia"/>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1E16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32B6257A">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498D730D">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1542EDC5">
            <w:pPr>
              <w:snapToGrid w:val="0"/>
              <w:jc w:val="left"/>
              <w:rPr>
                <w:rFonts w:cs="宋体" w:asciiTheme="minorEastAsia" w:hAnsiTheme="minorEastAsia" w:eastAsiaTheme="minorEastAsia"/>
                <w:color w:val="auto"/>
                <w:szCs w:val="21"/>
                <w:highlight w:val="none"/>
              </w:rPr>
            </w:pPr>
          </w:p>
        </w:tc>
        <w:tc>
          <w:tcPr>
            <w:tcW w:w="1559" w:type="dxa"/>
            <w:vAlign w:val="center"/>
          </w:tcPr>
          <w:p w14:paraId="1F9CAE42">
            <w:pPr>
              <w:snapToGrid w:val="0"/>
              <w:spacing w:line="240" w:lineRule="auto"/>
              <w:jc w:val="center"/>
              <w:rPr>
                <w:rFonts w:hint="eastAsia" w:cs="宋体" w:asciiTheme="minorEastAsia" w:hAnsiTheme="minorEastAsia" w:eastAsiaTheme="minorEastAsia"/>
                <w:color w:val="auto"/>
                <w:kern w:val="0"/>
                <w:szCs w:val="21"/>
                <w:highlight w:val="none"/>
              </w:rPr>
            </w:pPr>
            <w:r>
              <w:rPr>
                <w:rFonts w:hint="eastAsia" w:ascii="宋体" w:hAnsi="宋体" w:eastAsia="宋体" w:cs="宋体"/>
                <w:color w:val="auto"/>
                <w:kern w:val="0"/>
                <w:sz w:val="21"/>
                <w:szCs w:val="21"/>
                <w:highlight w:val="none"/>
              </w:rPr>
              <w:t>响应文件格式</w:t>
            </w:r>
          </w:p>
        </w:tc>
        <w:tc>
          <w:tcPr>
            <w:tcW w:w="5051" w:type="dxa"/>
            <w:gridSpan w:val="2"/>
            <w:vAlign w:val="center"/>
          </w:tcPr>
          <w:p w14:paraId="147E683A">
            <w:pPr>
              <w:snapToGrid w:val="0"/>
              <w:spacing w:line="240" w:lineRule="auto"/>
              <w:jc w:val="left"/>
              <w:rPr>
                <w:rFonts w:hint="eastAsia"/>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34DC3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19DDFC58">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304C4BAE">
            <w:pPr>
              <w:snapToGrid w:val="0"/>
              <w:jc w:val="center"/>
              <w:rPr>
                <w:rFonts w:cs="宋体" w:asciiTheme="minorEastAsia" w:hAnsiTheme="minorEastAsia" w:eastAsiaTheme="minorEastAsia"/>
                <w:color w:val="auto"/>
                <w:szCs w:val="21"/>
                <w:highlight w:val="none"/>
              </w:rPr>
            </w:pPr>
          </w:p>
        </w:tc>
        <w:tc>
          <w:tcPr>
            <w:tcW w:w="709" w:type="dxa"/>
            <w:vMerge w:val="restart"/>
            <w:vAlign w:val="center"/>
          </w:tcPr>
          <w:p w14:paraId="25E7F782">
            <w:pPr>
              <w:snapToGrid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资格评审</w:t>
            </w:r>
          </w:p>
        </w:tc>
        <w:tc>
          <w:tcPr>
            <w:tcW w:w="1559" w:type="dxa"/>
            <w:vAlign w:val="center"/>
          </w:tcPr>
          <w:p w14:paraId="1A272ECE">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基本资格要求</w:t>
            </w:r>
          </w:p>
        </w:tc>
        <w:tc>
          <w:tcPr>
            <w:tcW w:w="5051" w:type="dxa"/>
            <w:gridSpan w:val="2"/>
            <w:vAlign w:val="center"/>
          </w:tcPr>
          <w:p w14:paraId="0EEE747A">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基本要求：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7BB94CEF">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0BF24C92">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3.本项目不接受联合体响应，不允许转包和违法分包。</w:t>
            </w:r>
          </w:p>
          <w:p w14:paraId="66F2ED01">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4.供应商的法定代表人或负责人为同一人或者存在控股、管理关系的不同申请人，不得参加同一分包响应或者未划分分包的同一项目响应。</w:t>
            </w:r>
          </w:p>
          <w:p w14:paraId="0BDDCE27">
            <w:pPr>
              <w:snapToGrid w:val="0"/>
              <w:jc w:val="left"/>
              <w:rPr>
                <w:rFonts w:hint="default"/>
                <w:color w:val="auto"/>
                <w:highlight w:val="none"/>
                <w:lang w:val="en-US" w:eastAsia="zh-CN"/>
              </w:rPr>
            </w:pPr>
            <w:r>
              <w:rPr>
                <w:rFonts w:hint="eastAsia" w:ascii="Times New Roman" w:hAnsi="Times New Roman" w:eastAsia="宋体" w:cs="Times New Roman"/>
                <w:color w:val="auto"/>
                <w:highlight w:val="none"/>
                <w:lang w:val="en-US" w:eastAsia="zh-CN"/>
              </w:rPr>
              <w:t>5：财务要求：供应商能够或承诺能够为本项目开具增值税专用发票。（须提供证明材料或承诺函）</w:t>
            </w:r>
          </w:p>
        </w:tc>
      </w:tr>
      <w:tr w14:paraId="1B44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03CE3B78">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22891F54">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7F0866B1">
            <w:pPr>
              <w:snapToGrid w:val="0"/>
              <w:jc w:val="left"/>
              <w:rPr>
                <w:rFonts w:cs="宋体" w:asciiTheme="minorEastAsia" w:hAnsiTheme="minorEastAsia" w:eastAsiaTheme="minorEastAsia"/>
                <w:color w:val="auto"/>
                <w:kern w:val="0"/>
                <w:szCs w:val="21"/>
                <w:highlight w:val="none"/>
              </w:rPr>
            </w:pPr>
          </w:p>
        </w:tc>
        <w:tc>
          <w:tcPr>
            <w:tcW w:w="1559" w:type="dxa"/>
            <w:vAlign w:val="center"/>
          </w:tcPr>
          <w:p w14:paraId="5EBC76EF">
            <w:pPr>
              <w:snapToGrid w:val="0"/>
              <w:jc w:val="center"/>
              <w:rPr>
                <w:rFonts w:cs="宋体" w:asciiTheme="minorEastAsia" w:hAnsiTheme="minorEastAsia" w:eastAsiaTheme="minorEastAsia"/>
                <w:color w:val="auto"/>
                <w:kern w:val="0"/>
                <w:szCs w:val="21"/>
                <w:highlight w:val="none"/>
              </w:rPr>
            </w:pPr>
            <w:r>
              <w:rPr>
                <w:rFonts w:hint="eastAsia" w:ascii="宋体" w:hAnsi="宋体" w:eastAsia="宋体" w:cs="宋体"/>
                <w:color w:val="auto"/>
                <w:kern w:val="0"/>
                <w:szCs w:val="21"/>
                <w:highlight w:val="none"/>
              </w:rPr>
              <w:t>不得存在的情形</w:t>
            </w:r>
          </w:p>
        </w:tc>
        <w:tc>
          <w:tcPr>
            <w:tcW w:w="5051" w:type="dxa"/>
            <w:gridSpan w:val="2"/>
            <w:vAlign w:val="center"/>
          </w:tcPr>
          <w:p w14:paraId="21E90FD3">
            <w:pPr>
              <w:snapToGrid w:val="0"/>
              <w:jc w:val="left"/>
              <w:rPr>
                <w:rFonts w:cs="宋体" w:asciiTheme="minorEastAsia" w:hAnsiTheme="minorEastAsia" w:eastAsiaTheme="minorEastAsia"/>
                <w:color w:val="auto"/>
                <w:kern w:val="0"/>
                <w:szCs w:val="21"/>
                <w:highlight w:val="none"/>
              </w:rPr>
            </w:pPr>
            <w:r>
              <w:rPr>
                <w:rFonts w:hint="eastAsia" w:ascii="宋体" w:hAnsi="宋体" w:eastAsia="宋体" w:cs="宋体"/>
                <w:color w:val="auto"/>
                <w:kern w:val="0"/>
                <w:szCs w:val="21"/>
                <w:highlight w:val="none"/>
              </w:rPr>
              <w:t>符合询比文件要求的所有“供应商不得存在的情形”的规定。</w:t>
            </w:r>
          </w:p>
        </w:tc>
      </w:tr>
      <w:tr w14:paraId="64A4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6B91D939">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5BEAFF80">
            <w:pPr>
              <w:snapToGrid w:val="0"/>
              <w:jc w:val="center"/>
              <w:rPr>
                <w:rFonts w:cs="宋体" w:asciiTheme="minorEastAsia" w:hAnsiTheme="minorEastAsia" w:eastAsiaTheme="minorEastAsia"/>
                <w:color w:val="auto"/>
                <w:szCs w:val="21"/>
                <w:highlight w:val="none"/>
              </w:rPr>
            </w:pPr>
          </w:p>
        </w:tc>
        <w:tc>
          <w:tcPr>
            <w:tcW w:w="709" w:type="dxa"/>
            <w:vMerge w:val="restart"/>
            <w:vAlign w:val="center"/>
          </w:tcPr>
          <w:p w14:paraId="08C7712A">
            <w:pPr>
              <w:snapToGrid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响应性评审</w:t>
            </w:r>
          </w:p>
        </w:tc>
        <w:tc>
          <w:tcPr>
            <w:tcW w:w="1559" w:type="dxa"/>
            <w:vAlign w:val="center"/>
          </w:tcPr>
          <w:p w14:paraId="5C5E88CC">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报价唯一且有效</w:t>
            </w:r>
          </w:p>
        </w:tc>
        <w:tc>
          <w:tcPr>
            <w:tcW w:w="5051" w:type="dxa"/>
            <w:gridSpan w:val="2"/>
            <w:vAlign w:val="center"/>
          </w:tcPr>
          <w:p w14:paraId="4E618822">
            <w:pPr>
              <w:snapToGrid w:val="0"/>
              <w:jc w:val="left"/>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只能有一个有效报价且不高于最高限价</w:t>
            </w:r>
          </w:p>
        </w:tc>
      </w:tr>
      <w:tr w14:paraId="6C0C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4E518B49">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72DBED4D">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4C70F24E">
            <w:pPr>
              <w:snapToGrid w:val="0"/>
              <w:jc w:val="left"/>
              <w:rPr>
                <w:rFonts w:hint="eastAsia" w:cs="宋体" w:asciiTheme="minorEastAsia" w:hAnsiTheme="minorEastAsia" w:eastAsiaTheme="minorEastAsia"/>
                <w:color w:val="auto"/>
                <w:kern w:val="0"/>
                <w:szCs w:val="21"/>
                <w:highlight w:val="none"/>
              </w:rPr>
            </w:pPr>
          </w:p>
        </w:tc>
        <w:tc>
          <w:tcPr>
            <w:tcW w:w="1559" w:type="dxa"/>
            <w:vAlign w:val="center"/>
          </w:tcPr>
          <w:p w14:paraId="057898FC">
            <w:pPr>
              <w:snapToGrid w:val="0"/>
              <w:jc w:val="left"/>
              <w:rPr>
                <w:rFonts w:hint="eastAsia" w:ascii="宋体" w:hAnsi="宋体" w:cs="宋体"/>
                <w:color w:val="auto"/>
                <w:szCs w:val="21"/>
                <w:highlight w:val="none"/>
              </w:rPr>
            </w:pPr>
            <w:r>
              <w:rPr>
                <w:rFonts w:hint="eastAsia" w:ascii="宋体" w:hAnsi="宋体" w:eastAsia="宋体" w:cs="宋体"/>
                <w:color w:val="auto"/>
                <w:kern w:val="0"/>
                <w:szCs w:val="21"/>
                <w:highlight w:val="none"/>
              </w:rPr>
              <w:t>异常</w:t>
            </w:r>
            <w:r>
              <w:rPr>
                <w:rFonts w:hint="eastAsia" w:ascii="宋体" w:hAnsi="宋体" w:eastAsia="宋体" w:cs="宋体"/>
                <w:color w:val="auto"/>
                <w:kern w:val="0"/>
                <w:szCs w:val="21"/>
                <w:highlight w:val="none"/>
                <w:lang w:val="en-US" w:eastAsia="zh-CN"/>
              </w:rPr>
              <w:t>响应</w:t>
            </w:r>
            <w:r>
              <w:rPr>
                <w:rFonts w:hint="eastAsia" w:ascii="宋体" w:hAnsi="宋体" w:eastAsia="宋体" w:cs="宋体"/>
                <w:color w:val="auto"/>
                <w:kern w:val="0"/>
                <w:szCs w:val="21"/>
                <w:highlight w:val="none"/>
              </w:rPr>
              <w:t>情形</w:t>
            </w:r>
          </w:p>
        </w:tc>
        <w:tc>
          <w:tcPr>
            <w:tcW w:w="5051" w:type="dxa"/>
            <w:gridSpan w:val="2"/>
            <w:vAlign w:val="center"/>
          </w:tcPr>
          <w:p w14:paraId="6E50142D">
            <w:pPr>
              <w:snapToGrid w:val="0"/>
              <w:jc w:val="left"/>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核查供应商是否存在下列情形：</w:t>
            </w:r>
          </w:p>
          <w:p w14:paraId="2454E99B">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（1）法律法规规定视为串通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的情形；</w:t>
            </w:r>
          </w:p>
          <w:p w14:paraId="7A46C8F4">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文件异常一致；</w:t>
            </w:r>
          </w:p>
          <w:p w14:paraId="0A0FF1F9">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活动异常关联；</w:t>
            </w:r>
          </w:p>
          <w:p w14:paraId="1F71AD7B">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rPr>
              <w:t>）通过受让、租借、挂靠资质</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，伪造、变造资质、资格证书或者其他许可证件，提供虚假业绩、奖项、项目负责人等材料。</w:t>
            </w:r>
          </w:p>
          <w:p w14:paraId="0E234F05">
            <w:pPr>
              <w:snapToGrid w:val="0"/>
              <w:jc w:val="left"/>
              <w:rPr>
                <w:rFonts w:hint="eastAsia" w:ascii="宋体" w:hAnsi="宋体" w:cs="宋体"/>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lang w:eastAsia="zh-CN"/>
              </w:rPr>
              <w:t>）项的具体情形，评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委员会应当</w:t>
            </w:r>
            <w:r>
              <w:rPr>
                <w:rFonts w:hint="eastAsia" w:ascii="宋体" w:hAnsi="宋体" w:eastAsia="宋体" w:cs="Times New Roman"/>
                <w:color w:val="auto"/>
                <w:szCs w:val="21"/>
                <w:highlight w:val="none"/>
                <w:lang w:val="en-US" w:eastAsia="zh-CN"/>
              </w:rPr>
              <w:t>通知供应商</w:t>
            </w:r>
            <w:r>
              <w:rPr>
                <w:rFonts w:hint="eastAsia" w:ascii="宋体" w:hAnsi="宋体" w:eastAsia="宋体" w:cs="Times New Roman"/>
                <w:color w:val="auto"/>
                <w:szCs w:val="21"/>
                <w:highlight w:val="none"/>
                <w:lang w:eastAsia="zh-CN"/>
              </w:rPr>
              <w:t>作出解释说明。评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委员会经核查发现</w:t>
            </w:r>
            <w:r>
              <w:rPr>
                <w:rFonts w:hint="eastAsia" w:ascii="宋体" w:hAnsi="宋体" w:eastAsia="宋体" w:cs="Times New Roman"/>
                <w:color w:val="auto"/>
                <w:szCs w:val="21"/>
                <w:highlight w:val="none"/>
                <w:lang w:val="en-US" w:eastAsia="zh-CN"/>
              </w:rPr>
              <w:t>供应商</w:t>
            </w:r>
            <w:r>
              <w:rPr>
                <w:rFonts w:hint="eastAsia" w:ascii="宋体" w:hAnsi="宋体" w:eastAsia="宋体" w:cs="Times New Roman"/>
                <w:color w:val="auto"/>
                <w:szCs w:val="21"/>
                <w:highlight w:val="none"/>
                <w:lang w:eastAsia="zh-CN"/>
              </w:rPr>
              <w:t>存在串通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lang w:eastAsia="zh-CN"/>
              </w:rPr>
              <w:t>、弄虚作假等违法行为的，按照法律法规规定进行处理。</w:t>
            </w:r>
          </w:p>
        </w:tc>
      </w:tr>
      <w:tr w14:paraId="0E59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48D059EC">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656B0C88">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4B9928BE">
            <w:pPr>
              <w:snapToGrid w:val="0"/>
              <w:jc w:val="left"/>
              <w:rPr>
                <w:rFonts w:cs="宋体" w:asciiTheme="minorEastAsia" w:hAnsiTheme="minorEastAsia" w:eastAsiaTheme="minorEastAsia"/>
                <w:color w:val="auto"/>
                <w:kern w:val="0"/>
                <w:szCs w:val="21"/>
                <w:highlight w:val="none"/>
              </w:rPr>
            </w:pPr>
          </w:p>
        </w:tc>
        <w:tc>
          <w:tcPr>
            <w:tcW w:w="1559" w:type="dxa"/>
            <w:vAlign w:val="center"/>
          </w:tcPr>
          <w:p w14:paraId="15F175A5">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响应有效期</w:t>
            </w:r>
          </w:p>
        </w:tc>
        <w:tc>
          <w:tcPr>
            <w:tcW w:w="5051" w:type="dxa"/>
            <w:gridSpan w:val="2"/>
            <w:vAlign w:val="center"/>
          </w:tcPr>
          <w:p w14:paraId="32CA415E">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120天</w:t>
            </w:r>
          </w:p>
        </w:tc>
      </w:tr>
      <w:tr w14:paraId="43813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0C5BEB0B">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77299735">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6770C3E4">
            <w:pPr>
              <w:snapToGrid w:val="0"/>
              <w:jc w:val="left"/>
              <w:rPr>
                <w:rFonts w:cs="宋体" w:asciiTheme="minorEastAsia" w:hAnsiTheme="minorEastAsia" w:eastAsiaTheme="minorEastAsia"/>
                <w:color w:val="auto"/>
                <w:kern w:val="0"/>
                <w:szCs w:val="21"/>
                <w:highlight w:val="none"/>
              </w:rPr>
            </w:pPr>
          </w:p>
        </w:tc>
        <w:tc>
          <w:tcPr>
            <w:tcW w:w="1559" w:type="dxa"/>
            <w:vAlign w:val="center"/>
          </w:tcPr>
          <w:p w14:paraId="4B892BD3">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响应文件应答</w:t>
            </w:r>
          </w:p>
        </w:tc>
        <w:tc>
          <w:tcPr>
            <w:tcW w:w="5051" w:type="dxa"/>
            <w:gridSpan w:val="2"/>
            <w:vAlign w:val="center"/>
          </w:tcPr>
          <w:p w14:paraId="3C3E82D0">
            <w:pPr>
              <w:snapToGrid w:val="0"/>
              <w:jc w:val="left"/>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合同条款、技术规范书及★条款应答无负偏离</w:t>
            </w:r>
          </w:p>
        </w:tc>
      </w:tr>
      <w:tr w14:paraId="305BB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3A0E01E5">
            <w:pPr>
              <w:snapToGrid w:val="0"/>
              <w:ind w:firstLine="420" w:firstLineChars="200"/>
              <w:jc w:val="center"/>
              <w:rPr>
                <w:rFonts w:cs="宋体" w:asciiTheme="minorEastAsia" w:hAnsiTheme="minorEastAsia" w:eastAsiaTheme="minorEastAsia"/>
                <w:color w:val="auto"/>
                <w:szCs w:val="21"/>
                <w:highlight w:val="none"/>
              </w:rPr>
            </w:pPr>
          </w:p>
        </w:tc>
        <w:tc>
          <w:tcPr>
            <w:tcW w:w="709" w:type="dxa"/>
            <w:vMerge w:val="continue"/>
          </w:tcPr>
          <w:p w14:paraId="1B39E805">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7FB33279">
            <w:pPr>
              <w:snapToGrid w:val="0"/>
              <w:jc w:val="left"/>
              <w:rPr>
                <w:rFonts w:cs="宋体" w:asciiTheme="minorEastAsia" w:hAnsiTheme="minorEastAsia" w:eastAsiaTheme="minorEastAsia"/>
                <w:color w:val="auto"/>
                <w:szCs w:val="21"/>
                <w:highlight w:val="none"/>
              </w:rPr>
            </w:pPr>
          </w:p>
        </w:tc>
        <w:tc>
          <w:tcPr>
            <w:tcW w:w="1559" w:type="dxa"/>
            <w:vAlign w:val="center"/>
          </w:tcPr>
          <w:p w14:paraId="37639C63">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其他</w:t>
            </w:r>
          </w:p>
        </w:tc>
        <w:tc>
          <w:tcPr>
            <w:tcW w:w="5051" w:type="dxa"/>
            <w:gridSpan w:val="2"/>
            <w:vAlign w:val="center"/>
          </w:tcPr>
          <w:p w14:paraId="32316E85">
            <w:pPr>
              <w:snapToGrid w:val="0"/>
              <w:jc w:val="left"/>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无法律、法规和询比文件规定的其他无效情形</w:t>
            </w:r>
          </w:p>
        </w:tc>
      </w:tr>
      <w:tr w14:paraId="1A8F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restart"/>
            <w:vAlign w:val="center"/>
          </w:tcPr>
          <w:p w14:paraId="6D507EBB">
            <w:pPr>
              <w:snapToGrid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2.2</w:t>
            </w:r>
          </w:p>
        </w:tc>
        <w:tc>
          <w:tcPr>
            <w:tcW w:w="709" w:type="dxa"/>
            <w:vMerge w:val="restart"/>
            <w:vAlign w:val="center"/>
          </w:tcPr>
          <w:p w14:paraId="398529C4">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详细评审</w:t>
            </w:r>
          </w:p>
        </w:tc>
        <w:tc>
          <w:tcPr>
            <w:tcW w:w="709" w:type="dxa"/>
            <w:vAlign w:val="center"/>
          </w:tcPr>
          <w:p w14:paraId="29AEEF25">
            <w:pPr>
              <w:snapToGrid w:val="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评审内容</w:t>
            </w:r>
          </w:p>
        </w:tc>
        <w:tc>
          <w:tcPr>
            <w:tcW w:w="1559" w:type="dxa"/>
            <w:vAlign w:val="center"/>
          </w:tcPr>
          <w:p w14:paraId="10CCF7AD">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评分因素</w:t>
            </w:r>
          </w:p>
        </w:tc>
        <w:tc>
          <w:tcPr>
            <w:tcW w:w="567" w:type="dxa"/>
            <w:vAlign w:val="center"/>
          </w:tcPr>
          <w:p w14:paraId="2202EE4B">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分值</w:t>
            </w:r>
          </w:p>
        </w:tc>
        <w:tc>
          <w:tcPr>
            <w:tcW w:w="4484" w:type="dxa"/>
            <w:vAlign w:val="center"/>
          </w:tcPr>
          <w:p w14:paraId="2E9DE8FC">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评分标准</w:t>
            </w:r>
          </w:p>
        </w:tc>
      </w:tr>
      <w:tr w14:paraId="1345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1AB0D2EE">
            <w:pPr>
              <w:snapToGrid w:val="0"/>
              <w:jc w:val="center"/>
              <w:rPr>
                <w:rFonts w:cs="宋体" w:asciiTheme="minorEastAsia" w:hAnsiTheme="minorEastAsia" w:eastAsiaTheme="minorEastAsia"/>
                <w:color w:val="auto"/>
                <w:szCs w:val="21"/>
                <w:highlight w:val="none"/>
              </w:rPr>
            </w:pPr>
          </w:p>
        </w:tc>
        <w:tc>
          <w:tcPr>
            <w:tcW w:w="709" w:type="dxa"/>
            <w:vMerge w:val="continue"/>
            <w:vAlign w:val="center"/>
          </w:tcPr>
          <w:p w14:paraId="576F6ED1">
            <w:pPr>
              <w:snapToGrid w:val="0"/>
              <w:jc w:val="center"/>
              <w:rPr>
                <w:rFonts w:ascii="宋体" w:hAnsi="宋体" w:eastAsia="宋体" w:cs="宋体"/>
                <w:color w:val="auto"/>
                <w:kern w:val="0"/>
                <w:szCs w:val="21"/>
                <w:highlight w:val="none"/>
              </w:rPr>
            </w:pPr>
          </w:p>
        </w:tc>
        <w:tc>
          <w:tcPr>
            <w:tcW w:w="709" w:type="dxa"/>
            <w:vAlign w:val="center"/>
          </w:tcPr>
          <w:p w14:paraId="347E6686">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商务部分（</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分）</w:t>
            </w:r>
          </w:p>
        </w:tc>
        <w:tc>
          <w:tcPr>
            <w:tcW w:w="1559" w:type="dxa"/>
            <w:vAlign w:val="center"/>
          </w:tcPr>
          <w:p w14:paraId="4F30BF86">
            <w:pPr>
              <w:bidi w:val="0"/>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val="en-US" w:eastAsia="zh-CN" w:bidi="ar"/>
              </w:rPr>
              <w:t>类似项目业绩</w:t>
            </w:r>
          </w:p>
        </w:tc>
        <w:tc>
          <w:tcPr>
            <w:tcW w:w="567" w:type="dxa"/>
            <w:vAlign w:val="center"/>
          </w:tcPr>
          <w:p w14:paraId="41B22ADD">
            <w:pPr>
              <w:bidi w:val="0"/>
              <w:jc w:val="center"/>
              <w:rPr>
                <w:rFonts w:hint="eastAsia" w:ascii="宋体" w:hAnsi="宋体" w:eastAsia="宋体" w:cs="宋体"/>
                <w:color w:val="auto"/>
                <w:kern w:val="0"/>
                <w:sz w:val="22"/>
                <w:szCs w:val="22"/>
                <w:highlight w:val="none"/>
                <w:lang w:val="en-US" w:bidi="ar"/>
              </w:rPr>
            </w:pPr>
            <w:r>
              <w:rPr>
                <w:rFonts w:hint="eastAsia" w:ascii="宋体" w:hAnsi="宋体" w:eastAsia="宋体" w:cs="宋体"/>
                <w:color w:val="auto"/>
                <w:kern w:val="0"/>
                <w:sz w:val="22"/>
                <w:szCs w:val="22"/>
                <w:highlight w:val="none"/>
                <w:lang w:val="en-US" w:eastAsia="zh-CN" w:bidi="ar"/>
              </w:rPr>
              <w:t>5</w:t>
            </w:r>
          </w:p>
        </w:tc>
        <w:tc>
          <w:tcPr>
            <w:tcW w:w="4484" w:type="dxa"/>
            <w:shd w:val="clear" w:color="auto" w:fill="auto"/>
            <w:vAlign w:val="center"/>
          </w:tcPr>
          <w:p w14:paraId="66C0B581">
            <w:pPr>
              <w:bidi w:val="0"/>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eastAsia="zh-CN" w:bidi="ar"/>
              </w:rPr>
              <w:t>供应商</w:t>
            </w:r>
            <w:r>
              <w:rPr>
                <w:rFonts w:hint="eastAsia" w:ascii="宋体" w:hAnsi="宋体" w:eastAsia="宋体" w:cs="宋体"/>
                <w:color w:val="auto"/>
                <w:kern w:val="0"/>
                <w:sz w:val="22"/>
                <w:szCs w:val="22"/>
                <w:highlight w:val="none"/>
                <w:lang w:bidi="ar"/>
              </w:rPr>
              <w:t>提供近年（2023年1月1日至响应截止时间）</w:t>
            </w:r>
            <w:r>
              <w:rPr>
                <w:rFonts w:hint="eastAsia" w:ascii="宋体" w:hAnsi="宋体" w:eastAsia="宋体" w:cs="宋体"/>
                <w:color w:val="auto"/>
                <w:kern w:val="0"/>
                <w:sz w:val="22"/>
                <w:szCs w:val="22"/>
                <w:highlight w:val="none"/>
                <w:lang w:val="en-US" w:eastAsia="zh-CN" w:bidi="ar"/>
              </w:rPr>
              <w:t>合同金额在10万元以上的</w:t>
            </w:r>
            <w:r>
              <w:rPr>
                <w:rFonts w:hint="eastAsia" w:ascii="宋体" w:hAnsi="宋体" w:eastAsia="宋体" w:cs="宋体"/>
                <w:color w:val="auto"/>
                <w:kern w:val="0"/>
                <w:sz w:val="22"/>
                <w:szCs w:val="22"/>
                <w:highlight w:val="none"/>
                <w:lang w:bidi="ar"/>
              </w:rPr>
              <w:t>类似</w:t>
            </w:r>
            <w:r>
              <w:rPr>
                <w:rFonts w:hint="eastAsia" w:ascii="宋体" w:hAnsi="宋体" w:eastAsia="宋体" w:cs="宋体"/>
                <w:color w:val="auto"/>
                <w:kern w:val="0"/>
                <w:sz w:val="22"/>
                <w:szCs w:val="22"/>
                <w:highlight w:val="none"/>
                <w:lang w:val="en-US" w:eastAsia="zh-CN" w:bidi="ar"/>
              </w:rPr>
              <w:t>项目</w:t>
            </w:r>
            <w:r>
              <w:rPr>
                <w:rFonts w:hint="eastAsia" w:ascii="宋体" w:hAnsi="宋体" w:eastAsia="宋体" w:cs="宋体"/>
                <w:color w:val="auto"/>
                <w:kern w:val="0"/>
                <w:sz w:val="22"/>
                <w:szCs w:val="22"/>
                <w:highlight w:val="none"/>
                <w:lang w:bidi="ar"/>
              </w:rPr>
              <w:t>业绩</w:t>
            </w:r>
            <w:r>
              <w:rPr>
                <w:rFonts w:hint="eastAsia" w:ascii="宋体" w:hAnsi="宋体" w:eastAsia="宋体" w:cs="宋体"/>
                <w:color w:val="auto"/>
                <w:kern w:val="0"/>
                <w:sz w:val="22"/>
                <w:szCs w:val="22"/>
                <w:highlight w:val="none"/>
                <w:lang w:eastAsia="zh-CN" w:bidi="ar"/>
              </w:rPr>
              <w:t>：</w:t>
            </w:r>
            <w:r>
              <w:rPr>
                <w:rFonts w:hint="eastAsia" w:ascii="宋体" w:hAnsi="宋体" w:eastAsia="宋体" w:cs="宋体"/>
                <w:color w:val="auto"/>
                <w:kern w:val="0"/>
                <w:sz w:val="22"/>
                <w:szCs w:val="22"/>
                <w:highlight w:val="none"/>
                <w:lang w:val="en-US" w:eastAsia="zh-CN" w:bidi="ar"/>
              </w:rPr>
              <w:t>在一个业绩的基础上，每额外提供1个业绩得1分</w:t>
            </w:r>
            <w:r>
              <w:rPr>
                <w:rFonts w:hint="eastAsia" w:ascii="宋体" w:hAnsi="宋体" w:eastAsia="宋体" w:cs="宋体"/>
                <w:color w:val="auto"/>
                <w:kern w:val="0"/>
                <w:sz w:val="22"/>
                <w:szCs w:val="22"/>
                <w:highlight w:val="none"/>
                <w:lang w:bidi="ar"/>
              </w:rPr>
              <w:t>。</w:t>
            </w:r>
          </w:p>
          <w:p w14:paraId="23D9E438">
            <w:pPr>
              <w:bidi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bidi="ar"/>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w:t>
            </w:r>
            <w:r>
              <w:rPr>
                <w:rFonts w:hint="eastAsia" w:ascii="宋体" w:hAnsi="宋体" w:eastAsia="宋体" w:cs="宋体"/>
                <w:color w:val="auto"/>
                <w:kern w:val="0"/>
                <w:sz w:val="22"/>
                <w:szCs w:val="22"/>
                <w:highlight w:val="none"/>
                <w:lang w:eastAsia="zh-CN" w:bidi="ar"/>
              </w:rPr>
              <w:t>评审</w:t>
            </w:r>
            <w:r>
              <w:rPr>
                <w:rFonts w:hint="eastAsia" w:ascii="宋体" w:hAnsi="宋体" w:eastAsia="宋体" w:cs="宋体"/>
                <w:color w:val="auto"/>
                <w:kern w:val="0"/>
                <w:sz w:val="22"/>
                <w:szCs w:val="22"/>
                <w:highlight w:val="none"/>
                <w:lang w:bidi="ar"/>
              </w:rPr>
              <w:t>委员会无法确定业绩的不予认可。</w:t>
            </w:r>
          </w:p>
        </w:tc>
      </w:tr>
      <w:tr w14:paraId="448C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4A1BEAA1">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41FE9A9C">
            <w:pPr>
              <w:snapToGrid w:val="0"/>
              <w:jc w:val="center"/>
              <w:rPr>
                <w:rFonts w:ascii="宋体" w:hAnsi="宋体" w:eastAsia="宋体" w:cs="宋体"/>
                <w:color w:val="auto"/>
                <w:kern w:val="0"/>
                <w:szCs w:val="21"/>
                <w:highlight w:val="none"/>
              </w:rPr>
            </w:pPr>
          </w:p>
        </w:tc>
        <w:tc>
          <w:tcPr>
            <w:tcW w:w="709" w:type="dxa"/>
            <w:vMerge w:val="restart"/>
            <w:vAlign w:val="center"/>
          </w:tcPr>
          <w:p w14:paraId="21BBD96A">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部分（</w:t>
            </w:r>
            <w:r>
              <w:rPr>
                <w:rFonts w:hint="eastAsia" w:ascii="宋体" w:hAnsi="宋体" w:cs="宋体"/>
                <w:color w:val="auto"/>
                <w:szCs w:val="21"/>
                <w:highlight w:val="none"/>
                <w:lang w:val="en-US" w:eastAsia="zh-CN"/>
              </w:rPr>
              <w:t>40</w:t>
            </w:r>
            <w:r>
              <w:rPr>
                <w:rFonts w:hint="eastAsia" w:ascii="宋体" w:hAnsi="宋体" w:eastAsia="宋体" w:cs="宋体"/>
                <w:color w:val="auto"/>
                <w:szCs w:val="21"/>
                <w:highlight w:val="none"/>
              </w:rPr>
              <w:t>分）</w:t>
            </w:r>
          </w:p>
        </w:tc>
        <w:tc>
          <w:tcPr>
            <w:tcW w:w="1559" w:type="dxa"/>
            <w:shd w:val="clear" w:color="auto" w:fill="auto"/>
            <w:vAlign w:val="center"/>
          </w:tcPr>
          <w:p w14:paraId="1CB916C1">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现场作业方案</w:t>
            </w:r>
          </w:p>
        </w:tc>
        <w:tc>
          <w:tcPr>
            <w:tcW w:w="567" w:type="dxa"/>
            <w:shd w:val="clear" w:color="auto" w:fill="auto"/>
            <w:vAlign w:val="center"/>
          </w:tcPr>
          <w:p w14:paraId="6ACD7068">
            <w:pPr>
              <w:keepNext w:val="0"/>
              <w:keepLines w:val="0"/>
              <w:widowControl/>
              <w:suppressLineNumbers w:val="0"/>
              <w:jc w:val="center"/>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6</w:t>
            </w:r>
          </w:p>
        </w:tc>
        <w:tc>
          <w:tcPr>
            <w:tcW w:w="4484" w:type="dxa"/>
            <w:shd w:val="clear" w:color="auto" w:fill="auto"/>
            <w:vAlign w:val="center"/>
          </w:tcPr>
          <w:p w14:paraId="4957E271">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根据供应商提供的物资装卸搬运作业方案（包括作业流程、人员调度、设备调配、现场指挥机制、特殊物资处置措施等）的完整性、合理性和可操作性进行评分：</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•优得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4-6]</w:t>
            </w:r>
            <w:r>
              <w:rPr>
                <w:rFonts w:hint="eastAsia" w:ascii="宋体" w:hAnsi="宋体" w:eastAsia="宋体" w:cs="宋体"/>
                <w:i w:val="0"/>
                <w:iCs w:val="0"/>
                <w:caps w:val="0"/>
                <w:color w:val="0F1115"/>
                <w:spacing w:val="0"/>
                <w:kern w:val="0"/>
                <w:sz w:val="22"/>
                <w:szCs w:val="22"/>
                <w:highlight w:val="none"/>
                <w:lang w:val="en-US" w:eastAsia="zh-CN" w:bidi="ar"/>
              </w:rPr>
              <w:t>分（方案完整、针对性强、可操作性强）；</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•良得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2-4]</w:t>
            </w:r>
            <w:r>
              <w:rPr>
                <w:rFonts w:hint="eastAsia" w:ascii="宋体" w:hAnsi="宋体" w:eastAsia="宋体" w:cs="宋体"/>
                <w:i w:val="0"/>
                <w:iCs w:val="0"/>
                <w:caps w:val="0"/>
                <w:color w:val="0F1115"/>
                <w:spacing w:val="0"/>
                <w:kern w:val="0"/>
                <w:sz w:val="22"/>
                <w:szCs w:val="22"/>
                <w:highlight w:val="none"/>
                <w:lang w:val="en-US" w:eastAsia="zh-CN" w:bidi="ar"/>
              </w:rPr>
              <w:t>分（方案较完整，有部分针对性）；</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•一般得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0-2]</w:t>
            </w:r>
            <w:r>
              <w:rPr>
                <w:rFonts w:hint="eastAsia" w:ascii="宋体" w:hAnsi="宋体" w:eastAsia="宋体" w:cs="宋体"/>
                <w:i w:val="0"/>
                <w:iCs w:val="0"/>
                <w:caps w:val="0"/>
                <w:color w:val="0F1115"/>
                <w:spacing w:val="0"/>
                <w:kern w:val="0"/>
                <w:sz w:val="22"/>
                <w:szCs w:val="22"/>
                <w:highlight w:val="none"/>
                <w:lang w:val="en-US" w:eastAsia="zh-CN" w:bidi="ar"/>
              </w:rPr>
              <w:t>分（方案简单或无针对性）。</w:t>
            </w:r>
          </w:p>
          <w:p w14:paraId="1F0BA676">
            <w:pPr>
              <w:keepNext w:val="0"/>
              <w:keepLines w:val="0"/>
              <w:widowControl/>
              <w:suppressLineNumbers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aps w:val="0"/>
                <w:color w:val="0F1115"/>
                <w:spacing w:val="0"/>
                <w:kern w:val="0"/>
                <w:sz w:val="22"/>
                <w:szCs w:val="22"/>
                <w:highlight w:val="none"/>
                <w:lang w:val="en-US" w:eastAsia="zh-CN" w:bidi="ar"/>
              </w:rPr>
              <w:t>未提供不得分。</w:t>
            </w:r>
          </w:p>
        </w:tc>
      </w:tr>
      <w:tr w14:paraId="4A51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4ED4F1E4">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4A3AEE8F">
            <w:pPr>
              <w:snapToGrid w:val="0"/>
              <w:jc w:val="center"/>
              <w:rPr>
                <w:rFonts w:ascii="宋体" w:hAnsi="宋体" w:eastAsia="宋体" w:cs="宋体"/>
                <w:color w:val="auto"/>
                <w:kern w:val="0"/>
                <w:szCs w:val="21"/>
                <w:highlight w:val="none"/>
              </w:rPr>
            </w:pPr>
          </w:p>
        </w:tc>
        <w:tc>
          <w:tcPr>
            <w:tcW w:w="709" w:type="dxa"/>
            <w:vMerge w:val="continue"/>
            <w:vAlign w:val="center"/>
          </w:tcPr>
          <w:p w14:paraId="24A3C44E">
            <w:pPr>
              <w:adjustRightInd w:val="0"/>
              <w:snapToGrid w:val="0"/>
              <w:jc w:val="center"/>
              <w:rPr>
                <w:rFonts w:ascii="宋体" w:hAnsi="宋体" w:eastAsia="宋体" w:cs="宋体"/>
                <w:color w:val="auto"/>
                <w:kern w:val="0"/>
                <w:szCs w:val="21"/>
                <w:highlight w:val="none"/>
              </w:rPr>
            </w:pPr>
          </w:p>
        </w:tc>
        <w:tc>
          <w:tcPr>
            <w:tcW w:w="1559" w:type="dxa"/>
            <w:vAlign w:val="center"/>
          </w:tcPr>
          <w:p w14:paraId="0773AB6B">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安全生产</w:t>
            </w:r>
            <w:r>
              <w:rPr>
                <w:rFonts w:hint="eastAsia" w:ascii="宋体" w:hAnsi="宋体" w:cs="宋体"/>
                <w:i w:val="0"/>
                <w:iCs w:val="0"/>
                <w:caps w:val="0"/>
                <w:color w:val="0F1115"/>
                <w:spacing w:val="0"/>
                <w:kern w:val="0"/>
                <w:sz w:val="22"/>
                <w:szCs w:val="22"/>
                <w:highlight w:val="none"/>
                <w:lang w:val="en-US" w:eastAsia="zh-CN" w:bidi="ar"/>
              </w:rPr>
              <w:t>方案</w:t>
            </w:r>
          </w:p>
        </w:tc>
        <w:tc>
          <w:tcPr>
            <w:tcW w:w="567" w:type="dxa"/>
            <w:vAlign w:val="center"/>
          </w:tcPr>
          <w:p w14:paraId="74DB370A">
            <w:pPr>
              <w:keepNext w:val="0"/>
              <w:keepLines w:val="0"/>
              <w:widowControl/>
              <w:suppressLineNumbers w:val="0"/>
              <w:jc w:val="center"/>
              <w:rPr>
                <w:rFonts w:hint="default" w:asciiTheme="minorEastAsia" w:hAnsiTheme="minorEastAsia" w:eastAsiaTheme="minorEastAsia" w:cstheme="minorEastAsia"/>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6</w:t>
            </w:r>
          </w:p>
        </w:tc>
        <w:tc>
          <w:tcPr>
            <w:tcW w:w="4484" w:type="dxa"/>
            <w:vAlign w:val="center"/>
          </w:tcPr>
          <w:p w14:paraId="4703F3C6">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供应商方案供应商提供安全生产管理制度、安全培训记录、事故应急预案、现场监护人员配置等方案。</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•优得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4-6]</w:t>
            </w:r>
            <w:r>
              <w:rPr>
                <w:rFonts w:hint="eastAsia" w:ascii="宋体" w:hAnsi="宋体" w:eastAsia="宋体" w:cs="宋体"/>
                <w:i w:val="0"/>
                <w:iCs w:val="0"/>
                <w:caps w:val="0"/>
                <w:color w:val="0F1115"/>
                <w:spacing w:val="0"/>
                <w:kern w:val="0"/>
                <w:sz w:val="22"/>
                <w:szCs w:val="22"/>
                <w:highlight w:val="none"/>
                <w:lang w:val="en-US" w:eastAsia="zh-CN" w:bidi="ar"/>
              </w:rPr>
              <w:t>分（方案完整、针对性强、可操作性强）；</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•良得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2-4]]</w:t>
            </w:r>
            <w:r>
              <w:rPr>
                <w:rFonts w:hint="eastAsia" w:ascii="宋体" w:hAnsi="宋体" w:eastAsia="宋体" w:cs="宋体"/>
                <w:i w:val="0"/>
                <w:iCs w:val="0"/>
                <w:caps w:val="0"/>
                <w:color w:val="0F1115"/>
                <w:spacing w:val="0"/>
                <w:kern w:val="0"/>
                <w:sz w:val="22"/>
                <w:szCs w:val="22"/>
                <w:highlight w:val="none"/>
                <w:lang w:val="en-US" w:eastAsia="zh-CN" w:bidi="ar"/>
              </w:rPr>
              <w:t>分（方案较完整，有部分针对性）；</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•一般得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0-2]</w:t>
            </w:r>
            <w:r>
              <w:rPr>
                <w:rFonts w:hint="eastAsia" w:ascii="宋体" w:hAnsi="宋体" w:eastAsia="宋体" w:cs="宋体"/>
                <w:i w:val="0"/>
                <w:iCs w:val="0"/>
                <w:caps w:val="0"/>
                <w:color w:val="0F1115"/>
                <w:spacing w:val="0"/>
                <w:kern w:val="0"/>
                <w:sz w:val="22"/>
                <w:szCs w:val="22"/>
                <w:highlight w:val="none"/>
                <w:lang w:val="en-US" w:eastAsia="zh-CN" w:bidi="ar"/>
              </w:rPr>
              <w:t>分（方案简单或无针对性）。</w:t>
            </w:r>
          </w:p>
          <w:p w14:paraId="23FC0AE6">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未提供不得分。</w:t>
            </w:r>
          </w:p>
        </w:tc>
      </w:tr>
      <w:tr w14:paraId="734D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4C4A5197">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5376A44F">
            <w:pPr>
              <w:snapToGrid w:val="0"/>
              <w:jc w:val="center"/>
              <w:rPr>
                <w:rFonts w:ascii="宋体" w:hAnsi="宋体" w:eastAsia="宋体" w:cs="宋体"/>
                <w:color w:val="auto"/>
                <w:kern w:val="0"/>
                <w:szCs w:val="21"/>
                <w:highlight w:val="none"/>
              </w:rPr>
            </w:pPr>
          </w:p>
        </w:tc>
        <w:tc>
          <w:tcPr>
            <w:tcW w:w="709" w:type="dxa"/>
            <w:vMerge w:val="continue"/>
            <w:vAlign w:val="center"/>
          </w:tcPr>
          <w:p w14:paraId="00E1D1B7">
            <w:pPr>
              <w:adjustRightInd w:val="0"/>
              <w:snapToGrid w:val="0"/>
              <w:jc w:val="center"/>
              <w:rPr>
                <w:rFonts w:ascii="宋体" w:hAnsi="宋体" w:eastAsia="宋体" w:cs="宋体"/>
                <w:color w:val="auto"/>
                <w:kern w:val="0"/>
                <w:szCs w:val="21"/>
                <w:highlight w:val="none"/>
              </w:rPr>
            </w:pPr>
          </w:p>
        </w:tc>
        <w:tc>
          <w:tcPr>
            <w:tcW w:w="1559" w:type="dxa"/>
            <w:vAlign w:val="center"/>
          </w:tcPr>
          <w:p w14:paraId="252753A8">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本地化服务承诺</w:t>
            </w:r>
          </w:p>
        </w:tc>
        <w:tc>
          <w:tcPr>
            <w:tcW w:w="567" w:type="dxa"/>
            <w:vAlign w:val="center"/>
          </w:tcPr>
          <w:p w14:paraId="179EB7CC">
            <w:pPr>
              <w:keepNext w:val="0"/>
              <w:keepLines w:val="0"/>
              <w:widowControl/>
              <w:suppressLineNumbers w:val="0"/>
              <w:jc w:val="center"/>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3</w:t>
            </w:r>
          </w:p>
        </w:tc>
        <w:tc>
          <w:tcPr>
            <w:tcW w:w="4484" w:type="dxa"/>
            <w:vAlign w:val="center"/>
          </w:tcPr>
          <w:p w14:paraId="06EBA29E">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供应商提供在大冶市或黄石地区设有服务网点、常驻人员、应急响应机制等本地化服务承诺，提供承诺得3分，未提供不得分。</w:t>
            </w:r>
          </w:p>
        </w:tc>
      </w:tr>
      <w:tr w14:paraId="2940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52ECD8C1">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58BEE97F">
            <w:pPr>
              <w:snapToGrid w:val="0"/>
              <w:jc w:val="center"/>
              <w:rPr>
                <w:rFonts w:ascii="宋体" w:hAnsi="宋体" w:eastAsia="宋体" w:cs="宋体"/>
                <w:color w:val="auto"/>
                <w:kern w:val="0"/>
                <w:szCs w:val="21"/>
                <w:highlight w:val="none"/>
              </w:rPr>
            </w:pPr>
          </w:p>
        </w:tc>
        <w:tc>
          <w:tcPr>
            <w:tcW w:w="709" w:type="dxa"/>
            <w:vMerge w:val="continue"/>
            <w:vAlign w:val="center"/>
          </w:tcPr>
          <w:p w14:paraId="7D95C9AB">
            <w:pPr>
              <w:adjustRightInd w:val="0"/>
              <w:snapToGrid w:val="0"/>
              <w:jc w:val="center"/>
              <w:rPr>
                <w:rFonts w:ascii="宋体" w:hAnsi="宋体" w:eastAsia="宋体" w:cs="宋体"/>
                <w:color w:val="auto"/>
                <w:kern w:val="0"/>
                <w:szCs w:val="21"/>
                <w:highlight w:val="none"/>
              </w:rPr>
            </w:pPr>
          </w:p>
        </w:tc>
        <w:tc>
          <w:tcPr>
            <w:tcW w:w="1559" w:type="dxa"/>
            <w:vAlign w:val="center"/>
          </w:tcPr>
          <w:p w14:paraId="4ABCA5EF">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cs="宋体"/>
                <w:sz w:val="22"/>
                <w:szCs w:val="22"/>
                <w:highlight w:val="none"/>
                <w:lang w:val="en-US" w:eastAsia="zh-CN"/>
              </w:rPr>
              <w:t>人员保险</w:t>
            </w:r>
          </w:p>
        </w:tc>
        <w:tc>
          <w:tcPr>
            <w:tcW w:w="567" w:type="dxa"/>
            <w:vAlign w:val="center"/>
          </w:tcPr>
          <w:p w14:paraId="31F00CFE">
            <w:pPr>
              <w:keepNext w:val="0"/>
              <w:keepLines w:val="0"/>
              <w:widowControl/>
              <w:suppressLineNumbers w:val="0"/>
              <w:jc w:val="center"/>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cs="宋体"/>
                <w:sz w:val="22"/>
                <w:szCs w:val="22"/>
                <w:highlight w:val="none"/>
                <w:lang w:val="en-US" w:eastAsia="zh-CN"/>
              </w:rPr>
              <w:t>6</w:t>
            </w:r>
          </w:p>
        </w:tc>
        <w:tc>
          <w:tcPr>
            <w:tcW w:w="4484" w:type="dxa"/>
            <w:vAlign w:val="center"/>
          </w:tcPr>
          <w:p w14:paraId="07EE817F">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sz w:val="22"/>
                <w:szCs w:val="22"/>
                <w:highlight w:val="none"/>
                <w:lang w:val="en-US" w:eastAsia="zh-CN"/>
              </w:rPr>
              <w:t>供应商承诺给本项目相关工作人员购买保额80万以上保险得2分，保额每增加10万得1分，最高得4分。未提供不得分。</w:t>
            </w:r>
          </w:p>
        </w:tc>
      </w:tr>
      <w:tr w14:paraId="1580F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2BCE2E30">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452ECFA3">
            <w:pPr>
              <w:snapToGrid w:val="0"/>
              <w:jc w:val="center"/>
              <w:rPr>
                <w:rFonts w:ascii="宋体" w:hAnsi="宋体" w:eastAsia="宋体" w:cs="宋体"/>
                <w:color w:val="auto"/>
                <w:kern w:val="0"/>
                <w:szCs w:val="21"/>
                <w:highlight w:val="none"/>
              </w:rPr>
            </w:pPr>
          </w:p>
        </w:tc>
        <w:tc>
          <w:tcPr>
            <w:tcW w:w="709" w:type="dxa"/>
            <w:vMerge w:val="continue"/>
            <w:vAlign w:val="center"/>
          </w:tcPr>
          <w:p w14:paraId="407214A6">
            <w:pPr>
              <w:adjustRightInd w:val="0"/>
              <w:snapToGrid w:val="0"/>
              <w:jc w:val="center"/>
              <w:rPr>
                <w:rFonts w:ascii="宋体" w:hAnsi="宋体" w:eastAsia="宋体" w:cs="宋体"/>
                <w:color w:val="auto"/>
                <w:kern w:val="0"/>
                <w:szCs w:val="21"/>
                <w:highlight w:val="none"/>
              </w:rPr>
            </w:pPr>
          </w:p>
        </w:tc>
        <w:tc>
          <w:tcPr>
            <w:tcW w:w="1559" w:type="dxa"/>
            <w:vAlign w:val="center"/>
          </w:tcPr>
          <w:p w14:paraId="00733A69">
            <w:pPr>
              <w:keepNext w:val="0"/>
              <w:keepLines w:val="0"/>
              <w:widowControl/>
              <w:suppressLineNumbers w:val="0"/>
              <w:jc w:val="left"/>
              <w:rPr>
                <w:rFonts w:hint="eastAsia" w:ascii="宋体" w:hAnsi="宋体" w:eastAsia="宋体" w:cs="宋体"/>
                <w:color w:val="auto"/>
                <w:kern w:val="0"/>
                <w:sz w:val="21"/>
                <w:szCs w:val="21"/>
                <w:highlight w:val="none"/>
              </w:rPr>
            </w:pPr>
            <w:r>
              <w:rPr>
                <w:rFonts w:hint="eastAsia" w:ascii="宋体" w:hAnsi="宋体" w:eastAsia="宋体" w:cs="宋体"/>
                <w:i w:val="0"/>
                <w:iCs w:val="0"/>
                <w:caps w:val="0"/>
                <w:color w:val="0F1115"/>
                <w:spacing w:val="0"/>
                <w:kern w:val="0"/>
                <w:sz w:val="22"/>
                <w:szCs w:val="22"/>
                <w:lang w:val="en-US" w:eastAsia="zh-CN" w:bidi="ar"/>
              </w:rPr>
              <w:t>设备配备能力</w:t>
            </w:r>
          </w:p>
        </w:tc>
        <w:tc>
          <w:tcPr>
            <w:tcW w:w="567" w:type="dxa"/>
            <w:vAlign w:val="center"/>
          </w:tcPr>
          <w:p w14:paraId="683061DF">
            <w:pPr>
              <w:keepNext w:val="0"/>
              <w:keepLines w:val="0"/>
              <w:widowControl/>
              <w:suppressLineNumbers w:val="0"/>
              <w:jc w:val="center"/>
              <w:rPr>
                <w:rFonts w:hint="eastAsia" w:ascii="宋体" w:hAnsi="宋体" w:eastAsia="宋体" w:cs="宋体"/>
                <w:color w:val="auto"/>
                <w:kern w:val="0"/>
                <w:sz w:val="21"/>
                <w:szCs w:val="21"/>
                <w:highlight w:val="none"/>
                <w:lang w:val="en-US" w:eastAsia="zh-CN"/>
              </w:rPr>
            </w:pPr>
            <w:r>
              <w:rPr>
                <w:rFonts w:hint="eastAsia" w:ascii="宋体" w:hAnsi="宋体" w:cs="宋体"/>
                <w:i w:val="0"/>
                <w:iCs w:val="0"/>
                <w:caps w:val="0"/>
                <w:color w:val="0F1115"/>
                <w:spacing w:val="0"/>
                <w:kern w:val="0"/>
                <w:sz w:val="22"/>
                <w:szCs w:val="22"/>
                <w:lang w:val="en-US" w:eastAsia="zh-CN" w:bidi="ar"/>
              </w:rPr>
              <w:t>5</w:t>
            </w:r>
          </w:p>
        </w:tc>
        <w:tc>
          <w:tcPr>
            <w:tcW w:w="4484" w:type="dxa"/>
            <w:vAlign w:val="center"/>
          </w:tcPr>
          <w:p w14:paraId="6BE2BB6B">
            <w:pPr>
              <w:keepNext w:val="0"/>
              <w:keepLines w:val="0"/>
              <w:widowControl/>
              <w:suppressLineNumbers w:val="0"/>
              <w:jc w:val="left"/>
              <w:rPr>
                <w:rFonts w:hint="eastAsia" w:ascii="宋体" w:hAnsi="宋体" w:eastAsia="宋体" w:cs="宋体"/>
                <w:i w:val="0"/>
                <w:iCs w:val="0"/>
                <w:caps w:val="0"/>
                <w:color w:val="0F1115"/>
                <w:spacing w:val="0"/>
                <w:kern w:val="0"/>
                <w:sz w:val="22"/>
                <w:szCs w:val="22"/>
                <w:lang w:val="en-US" w:eastAsia="zh-CN" w:bidi="ar"/>
              </w:rPr>
            </w:pPr>
            <w:r>
              <w:rPr>
                <w:rFonts w:hint="eastAsia" w:ascii="宋体" w:hAnsi="宋体" w:eastAsia="宋体" w:cs="宋体"/>
                <w:i w:val="0"/>
                <w:iCs w:val="0"/>
                <w:caps w:val="0"/>
                <w:color w:val="0F1115"/>
                <w:spacing w:val="0"/>
                <w:kern w:val="0"/>
                <w:sz w:val="22"/>
                <w:szCs w:val="22"/>
                <w:lang w:val="en-US" w:eastAsia="zh-CN" w:bidi="ar"/>
              </w:rPr>
              <w:t>供应商需提供拟投入本项目的机械设备配备进行评分：</w:t>
            </w:r>
            <w:r>
              <w:rPr>
                <w:rFonts w:hint="eastAsia" w:ascii="宋体" w:hAnsi="宋体" w:eastAsia="宋体" w:cs="宋体"/>
                <w:i w:val="0"/>
                <w:iCs w:val="0"/>
                <w:caps w:val="0"/>
                <w:color w:val="0F1115"/>
                <w:spacing w:val="0"/>
                <w:kern w:val="0"/>
                <w:sz w:val="22"/>
                <w:szCs w:val="22"/>
                <w:lang w:val="en-US" w:eastAsia="zh-CN" w:bidi="ar"/>
              </w:rPr>
              <w:br w:type="textWrapping"/>
            </w:r>
            <w:r>
              <w:rPr>
                <w:rFonts w:hint="eastAsia" w:ascii="宋体" w:hAnsi="宋体" w:eastAsia="宋体" w:cs="宋体"/>
                <w:i w:val="0"/>
                <w:iCs w:val="0"/>
                <w:caps w:val="0"/>
                <w:color w:val="0F1115"/>
                <w:spacing w:val="0"/>
                <w:kern w:val="0"/>
                <w:sz w:val="22"/>
                <w:szCs w:val="22"/>
                <w:lang w:val="en-US" w:eastAsia="zh-CN" w:bidi="ar"/>
              </w:rPr>
              <w:t>1. 吊车（8吨及以上）；</w:t>
            </w:r>
            <w:r>
              <w:rPr>
                <w:rFonts w:hint="eastAsia" w:ascii="宋体" w:hAnsi="宋体" w:eastAsia="宋体" w:cs="宋体"/>
                <w:i w:val="0"/>
                <w:iCs w:val="0"/>
                <w:caps w:val="0"/>
                <w:color w:val="0F1115"/>
                <w:spacing w:val="0"/>
                <w:kern w:val="0"/>
                <w:sz w:val="22"/>
                <w:szCs w:val="22"/>
                <w:lang w:val="en-US" w:eastAsia="zh-CN" w:bidi="ar"/>
              </w:rPr>
              <w:br w:type="textWrapping"/>
            </w:r>
            <w:r>
              <w:rPr>
                <w:rFonts w:hint="eastAsia" w:ascii="宋体" w:hAnsi="宋体" w:eastAsia="宋体" w:cs="宋体"/>
                <w:i w:val="0"/>
                <w:iCs w:val="0"/>
                <w:caps w:val="0"/>
                <w:color w:val="0F1115"/>
                <w:spacing w:val="0"/>
                <w:kern w:val="0"/>
                <w:sz w:val="22"/>
                <w:szCs w:val="22"/>
                <w:lang w:val="en-US" w:eastAsia="zh-CN" w:bidi="ar"/>
              </w:rPr>
              <w:t>2. 叉车（3吨及以上）；</w:t>
            </w:r>
          </w:p>
          <w:p w14:paraId="4CDF1A52">
            <w:pPr>
              <w:keepNext w:val="0"/>
              <w:keepLines w:val="0"/>
              <w:widowControl/>
              <w:suppressLineNumbers w:val="0"/>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aps w:val="0"/>
                <w:color w:val="0F1115"/>
                <w:spacing w:val="0"/>
                <w:kern w:val="0"/>
                <w:sz w:val="22"/>
                <w:szCs w:val="22"/>
                <w:lang w:val="en-US" w:eastAsia="zh-CN" w:bidi="ar"/>
              </w:rPr>
              <w:t>满足要求的吊车和叉车全部提供得3分。在各一台的基础上，每额外提供一台满足要求的吊车或者叉车得1分，最高得2分。</w:t>
            </w:r>
          </w:p>
        </w:tc>
      </w:tr>
      <w:tr w14:paraId="16F4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567" w:type="dxa"/>
            <w:vMerge w:val="continue"/>
            <w:vAlign w:val="center"/>
          </w:tcPr>
          <w:p w14:paraId="7F9C90AC">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4D503EFB">
            <w:pPr>
              <w:snapToGrid w:val="0"/>
              <w:jc w:val="center"/>
              <w:rPr>
                <w:rFonts w:ascii="宋体" w:hAnsi="宋体" w:eastAsia="宋体" w:cs="宋体"/>
                <w:color w:val="auto"/>
                <w:kern w:val="0"/>
                <w:szCs w:val="21"/>
                <w:highlight w:val="none"/>
              </w:rPr>
            </w:pPr>
          </w:p>
        </w:tc>
        <w:tc>
          <w:tcPr>
            <w:tcW w:w="709" w:type="dxa"/>
            <w:vMerge w:val="continue"/>
            <w:vAlign w:val="center"/>
          </w:tcPr>
          <w:p w14:paraId="555B0030">
            <w:pPr>
              <w:adjustRightInd w:val="0"/>
              <w:snapToGrid w:val="0"/>
              <w:jc w:val="center"/>
              <w:rPr>
                <w:rFonts w:ascii="宋体" w:hAnsi="宋体" w:eastAsia="宋体" w:cs="宋体"/>
                <w:color w:val="auto"/>
                <w:kern w:val="0"/>
                <w:szCs w:val="21"/>
                <w:highlight w:val="none"/>
              </w:rPr>
            </w:pPr>
          </w:p>
        </w:tc>
        <w:tc>
          <w:tcPr>
            <w:tcW w:w="1559" w:type="dxa"/>
            <w:vAlign w:val="center"/>
          </w:tcPr>
          <w:p w14:paraId="12757DB6">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lang w:val="en-US" w:eastAsia="zh-CN" w:bidi="ar"/>
              </w:rPr>
              <w:t>应急服务响应时间</w:t>
            </w:r>
          </w:p>
        </w:tc>
        <w:tc>
          <w:tcPr>
            <w:tcW w:w="567" w:type="dxa"/>
            <w:vAlign w:val="center"/>
          </w:tcPr>
          <w:p w14:paraId="5139F377">
            <w:pPr>
              <w:keepNext w:val="0"/>
              <w:keepLines w:val="0"/>
              <w:widowControl/>
              <w:suppressLineNumbers w:val="0"/>
              <w:jc w:val="center"/>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lang w:val="en-US" w:eastAsia="zh-CN" w:bidi="ar"/>
              </w:rPr>
              <w:t>4</w:t>
            </w:r>
          </w:p>
        </w:tc>
        <w:tc>
          <w:tcPr>
            <w:tcW w:w="4484" w:type="dxa"/>
            <w:vAlign w:val="center"/>
          </w:tcPr>
          <w:p w14:paraId="5A75CBC3">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lang w:val="en-US" w:eastAsia="zh-CN" w:bidi="ar"/>
              </w:rPr>
              <w:t>供应商承诺在收到采购人通知消息2小时内到达现场的得2分，在2小时的基础上每提前30分钟得1分，最高得2分。</w:t>
            </w:r>
          </w:p>
        </w:tc>
      </w:tr>
      <w:tr w14:paraId="29D5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3CD2CA21">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51B058ED">
            <w:pPr>
              <w:snapToGrid w:val="0"/>
              <w:jc w:val="center"/>
              <w:rPr>
                <w:rFonts w:ascii="宋体" w:hAnsi="宋体" w:eastAsia="宋体" w:cs="宋体"/>
                <w:color w:val="auto"/>
                <w:kern w:val="0"/>
                <w:szCs w:val="21"/>
                <w:highlight w:val="none"/>
              </w:rPr>
            </w:pPr>
          </w:p>
        </w:tc>
        <w:tc>
          <w:tcPr>
            <w:tcW w:w="709" w:type="dxa"/>
            <w:vMerge w:val="continue"/>
            <w:vAlign w:val="center"/>
          </w:tcPr>
          <w:p w14:paraId="01D46C61">
            <w:pPr>
              <w:adjustRightInd w:val="0"/>
              <w:snapToGrid w:val="0"/>
              <w:jc w:val="center"/>
              <w:rPr>
                <w:rFonts w:ascii="宋体" w:hAnsi="宋体" w:eastAsia="宋体" w:cs="宋体"/>
                <w:color w:val="auto"/>
                <w:kern w:val="0"/>
                <w:szCs w:val="21"/>
                <w:highlight w:val="none"/>
              </w:rPr>
            </w:pPr>
          </w:p>
        </w:tc>
        <w:tc>
          <w:tcPr>
            <w:tcW w:w="1559" w:type="dxa"/>
            <w:vMerge w:val="restart"/>
            <w:vAlign w:val="center"/>
          </w:tcPr>
          <w:p w14:paraId="0E97F8BA">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人员配置</w:t>
            </w:r>
          </w:p>
        </w:tc>
        <w:tc>
          <w:tcPr>
            <w:tcW w:w="567" w:type="dxa"/>
            <w:vAlign w:val="center"/>
          </w:tcPr>
          <w:p w14:paraId="390DA35E">
            <w:pPr>
              <w:keepNext w:val="0"/>
              <w:keepLines w:val="0"/>
              <w:widowControl/>
              <w:suppressLineNumbers w:val="0"/>
              <w:jc w:val="center"/>
              <w:rPr>
                <w:rFonts w:hint="eastAsia" w:ascii="宋体" w:hAnsi="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5</w:t>
            </w:r>
          </w:p>
        </w:tc>
        <w:tc>
          <w:tcPr>
            <w:tcW w:w="4484" w:type="dxa"/>
            <w:vAlign w:val="center"/>
          </w:tcPr>
          <w:p w14:paraId="1407E512">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供应商需提供拟投入本项目的作业人员配置的承诺</w:t>
            </w:r>
            <w:r>
              <w:rPr>
                <w:rFonts w:hint="default" w:ascii="宋体" w:hAnsi="宋体" w:eastAsia="宋体" w:cs="宋体"/>
                <w:i w:val="0"/>
                <w:iCs w:val="0"/>
                <w:caps w:val="0"/>
                <w:color w:val="0F1115"/>
                <w:spacing w:val="0"/>
                <w:kern w:val="0"/>
                <w:sz w:val="22"/>
                <w:szCs w:val="22"/>
                <w:highlight w:val="none"/>
                <w:lang w:val="en-US" w:eastAsia="zh-CN" w:bidi="ar"/>
              </w:rPr>
              <w:t>：</w:t>
            </w:r>
            <w:r>
              <w:rPr>
                <w:rFonts w:hint="default"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在2人的基础上，每额外配备一名相关作业人员得1分，最高得5分。</w:t>
            </w:r>
          </w:p>
          <w:p w14:paraId="39603429">
            <w:pPr>
              <w:keepNext w:val="0"/>
              <w:keepLines w:val="0"/>
              <w:widowControl/>
              <w:suppressLineNumbers w:val="0"/>
              <w:jc w:val="left"/>
              <w:rPr>
                <w:rFonts w:hint="eastAsia" w:ascii="宋体" w:hAnsi="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需提供人员有效身份证及近三个月社保缴纳证明或者劳动合同。</w:t>
            </w:r>
          </w:p>
        </w:tc>
      </w:tr>
      <w:tr w14:paraId="5F71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vAlign w:val="center"/>
          </w:tcPr>
          <w:p w14:paraId="102BB587">
            <w:pPr>
              <w:snapToGrid w:val="0"/>
              <w:jc w:val="center"/>
              <w:rPr>
                <w:rFonts w:cs="宋体" w:asciiTheme="minorEastAsia" w:hAnsiTheme="minorEastAsia" w:eastAsiaTheme="minorEastAsia"/>
                <w:color w:val="auto"/>
                <w:kern w:val="0"/>
                <w:szCs w:val="21"/>
                <w:highlight w:val="none"/>
              </w:rPr>
            </w:pPr>
          </w:p>
        </w:tc>
        <w:tc>
          <w:tcPr>
            <w:tcW w:w="709" w:type="dxa"/>
            <w:vMerge w:val="continue"/>
          </w:tcPr>
          <w:p w14:paraId="72C9CCF4">
            <w:pPr>
              <w:snapToGrid w:val="0"/>
              <w:jc w:val="center"/>
              <w:rPr>
                <w:rFonts w:ascii="宋体" w:hAnsi="宋体" w:eastAsia="宋体" w:cs="宋体"/>
                <w:color w:val="auto"/>
                <w:kern w:val="0"/>
                <w:szCs w:val="21"/>
                <w:highlight w:val="none"/>
              </w:rPr>
            </w:pPr>
          </w:p>
        </w:tc>
        <w:tc>
          <w:tcPr>
            <w:tcW w:w="709" w:type="dxa"/>
            <w:vMerge w:val="continue"/>
            <w:vAlign w:val="center"/>
          </w:tcPr>
          <w:p w14:paraId="680A82F8">
            <w:pPr>
              <w:adjustRightInd w:val="0"/>
              <w:snapToGrid w:val="0"/>
              <w:jc w:val="center"/>
              <w:rPr>
                <w:rFonts w:ascii="宋体" w:hAnsi="宋体" w:eastAsia="宋体" w:cs="宋体"/>
                <w:color w:val="auto"/>
                <w:kern w:val="0"/>
                <w:szCs w:val="21"/>
                <w:highlight w:val="none"/>
              </w:rPr>
            </w:pPr>
          </w:p>
        </w:tc>
        <w:tc>
          <w:tcPr>
            <w:tcW w:w="1559" w:type="dxa"/>
            <w:vMerge w:val="continue"/>
            <w:vAlign w:val="center"/>
          </w:tcPr>
          <w:p w14:paraId="7E218739">
            <w:pPr>
              <w:keepNext w:val="0"/>
              <w:keepLines w:val="0"/>
              <w:widowControl/>
              <w:suppressLineNumbers w:val="0"/>
              <w:jc w:val="left"/>
              <w:rPr>
                <w:rFonts w:hint="eastAsia" w:asciiTheme="minorEastAsia" w:hAnsiTheme="minorEastAsia" w:eastAsiaTheme="minorEastAsia" w:cstheme="minorEastAsia"/>
                <w:color w:val="auto"/>
                <w:kern w:val="0"/>
                <w:sz w:val="22"/>
                <w:szCs w:val="22"/>
                <w:highlight w:val="none"/>
                <w:lang w:val="en-US" w:eastAsia="zh-CN" w:bidi="ar"/>
              </w:rPr>
            </w:pPr>
          </w:p>
        </w:tc>
        <w:tc>
          <w:tcPr>
            <w:tcW w:w="567" w:type="dxa"/>
            <w:vAlign w:val="center"/>
          </w:tcPr>
          <w:p w14:paraId="51CA647A">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auto"/>
                <w:spacing w:val="0"/>
                <w:kern w:val="0"/>
                <w:sz w:val="22"/>
                <w:szCs w:val="22"/>
                <w:highlight w:val="none"/>
                <w:lang w:val="en-US" w:eastAsia="zh-CN" w:bidi="ar"/>
              </w:rPr>
              <w:t>5</w:t>
            </w:r>
          </w:p>
        </w:tc>
        <w:tc>
          <w:tcPr>
            <w:tcW w:w="4484" w:type="dxa"/>
            <w:vAlign w:val="center"/>
          </w:tcPr>
          <w:p w14:paraId="23D5A927">
            <w:pPr>
              <w:snapToGrid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供应商提供的作业人员中，每有一名具备市场监督管理局部门下发的有效的叉车作业证或者吊车作业证得2.5分，最高得5分。</w:t>
            </w:r>
          </w:p>
          <w:p w14:paraId="3B522B3B">
            <w:pPr>
              <w:snapToGrid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注：须提供上述人员的身份证、人员对应证书扫描件、人员相应证书的查询网址及相关网页截屏、近三月供应商为其正常缴纳社保的缴纳证明或劳动合同。</w:t>
            </w:r>
          </w:p>
        </w:tc>
      </w:tr>
    </w:tbl>
    <w:p w14:paraId="41D0DFCF">
      <w:pPr>
        <w:rPr>
          <w:color w:val="auto"/>
          <w:highlight w:val="none"/>
        </w:rPr>
      </w:pPr>
    </w:p>
    <w:tbl>
      <w:tblPr>
        <w:tblStyle w:val="78"/>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610"/>
      </w:tblGrid>
      <w:tr w14:paraId="632F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380979B9">
            <w:pPr>
              <w:snapToGrid w:val="0"/>
              <w:jc w:val="center"/>
              <w:rPr>
                <w:rFonts w:cs="宋体" w:asciiTheme="minorEastAsia" w:hAnsiTheme="minorEastAsia" w:eastAsiaTheme="minorEastAsia"/>
                <w:color w:val="auto"/>
                <w:kern w:val="0"/>
                <w:szCs w:val="21"/>
                <w:highlight w:val="none"/>
              </w:rPr>
            </w:pPr>
          </w:p>
        </w:tc>
        <w:tc>
          <w:tcPr>
            <w:tcW w:w="709" w:type="dxa"/>
          </w:tcPr>
          <w:p w14:paraId="351A3D4B">
            <w:pPr>
              <w:snapToGrid w:val="0"/>
              <w:jc w:val="center"/>
              <w:rPr>
                <w:rFonts w:ascii="宋体" w:hAnsi="宋体" w:eastAsia="宋体" w:cs="宋体"/>
                <w:color w:val="auto"/>
                <w:kern w:val="0"/>
                <w:szCs w:val="21"/>
                <w:highlight w:val="none"/>
              </w:rPr>
            </w:pPr>
          </w:p>
        </w:tc>
        <w:tc>
          <w:tcPr>
            <w:tcW w:w="709" w:type="dxa"/>
            <w:vAlign w:val="center"/>
          </w:tcPr>
          <w:p w14:paraId="1CAB9C6E">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rPr>
              <w:t>价格部分（</w:t>
            </w:r>
            <w:r>
              <w:rPr>
                <w:rFonts w:hint="eastAsia" w:ascii="宋体" w:hAnsi="宋体" w:cs="宋体"/>
                <w:color w:val="auto"/>
                <w:szCs w:val="21"/>
                <w:highlight w:val="none"/>
                <w:lang w:val="en-US" w:eastAsia="zh-CN"/>
              </w:rPr>
              <w:t>55</w:t>
            </w:r>
            <w:r>
              <w:rPr>
                <w:rFonts w:hint="eastAsia" w:ascii="宋体" w:hAnsi="宋体" w:eastAsia="宋体" w:cs="宋体"/>
                <w:color w:val="auto"/>
                <w:szCs w:val="21"/>
                <w:highlight w:val="none"/>
              </w:rPr>
              <w:t>分）</w:t>
            </w:r>
          </w:p>
        </w:tc>
        <w:tc>
          <w:tcPr>
            <w:tcW w:w="1559" w:type="dxa"/>
            <w:vAlign w:val="center"/>
          </w:tcPr>
          <w:p w14:paraId="3220AA87">
            <w:pPr>
              <w:jc w:val="center"/>
              <w:rPr>
                <w:rFonts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经修正的基准价法</w:t>
            </w:r>
          </w:p>
        </w:tc>
        <w:tc>
          <w:tcPr>
            <w:tcW w:w="567" w:type="dxa"/>
            <w:vAlign w:val="center"/>
          </w:tcPr>
          <w:p w14:paraId="5687D3AD">
            <w:pPr>
              <w:jc w:val="center"/>
              <w:rPr>
                <w:rFonts w:hint="default" w:ascii="宋体" w:hAnsi="宋体" w:eastAsia="宋体" w:cs="宋体"/>
                <w:color w:val="auto"/>
                <w:kern w:val="0"/>
                <w:sz w:val="22"/>
                <w:szCs w:val="22"/>
                <w:highlight w:val="none"/>
                <w:lang w:val="en-US" w:eastAsia="zh-CN" w:bidi="ar"/>
              </w:rPr>
            </w:pPr>
            <w:r>
              <w:rPr>
                <w:rFonts w:hint="eastAsia" w:ascii="宋体" w:hAnsi="宋体" w:cs="宋体"/>
                <w:color w:val="auto"/>
                <w:szCs w:val="21"/>
                <w:highlight w:val="none"/>
                <w:lang w:val="en-US" w:eastAsia="zh-CN"/>
              </w:rPr>
              <w:t>55</w:t>
            </w:r>
          </w:p>
        </w:tc>
        <w:tc>
          <w:tcPr>
            <w:tcW w:w="4610" w:type="dxa"/>
            <w:vAlign w:val="center"/>
          </w:tcPr>
          <w:p w14:paraId="0E02C14C">
            <w:pPr>
              <w:jc w:val="left"/>
              <w:rPr>
                <w:rFonts w:hint="eastAsia" w:ascii="宋体" w:hAnsi="宋体" w:eastAsia="宋体" w:cs="宋体"/>
                <w:b/>
                <w:bCs/>
                <w:color w:val="auto"/>
                <w:kern w:val="0"/>
                <w:sz w:val="22"/>
                <w:szCs w:val="22"/>
                <w:highlight w:val="none"/>
                <w:lang w:bidi="ar"/>
              </w:rPr>
            </w:pPr>
            <w:r>
              <w:rPr>
                <w:rFonts w:hint="eastAsia" w:ascii="宋体" w:hAnsi="宋体" w:eastAsia="宋体" w:cs="宋体"/>
                <w:b/>
                <w:bCs/>
                <w:color w:val="auto"/>
                <w:kern w:val="0"/>
                <w:sz w:val="22"/>
                <w:szCs w:val="22"/>
                <w:highlight w:val="none"/>
                <w:lang w:bidi="ar"/>
              </w:rPr>
              <w:t>价格分计算采用经修正的基准价法：</w:t>
            </w:r>
          </w:p>
          <w:p w14:paraId="1CCD78FC">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1.价格得分=</w:t>
            </w:r>
            <w:r>
              <w:rPr>
                <w:rFonts w:hint="eastAsia" w:ascii="宋体" w:hAnsi="宋体" w:eastAsia="宋体" w:cs="宋体"/>
                <w:color w:val="auto"/>
                <w:kern w:val="0"/>
                <w:sz w:val="22"/>
                <w:szCs w:val="22"/>
                <w:highlight w:val="none"/>
                <w:lang w:val="en-US" w:eastAsia="zh-CN" w:bidi="ar"/>
              </w:rPr>
              <w:t>分值</w:t>
            </w:r>
            <w:r>
              <w:rPr>
                <w:rFonts w:hint="eastAsia" w:ascii="宋体" w:hAnsi="宋体" w:eastAsia="宋体" w:cs="宋体"/>
                <w:color w:val="auto"/>
                <w:kern w:val="0"/>
                <w:sz w:val="22"/>
                <w:szCs w:val="22"/>
                <w:highlight w:val="none"/>
                <w:lang w:bidi="ar"/>
              </w:rPr>
              <w:t>×Q×[1-（供应商评审价-基准价）/基准价×λ]。</w:t>
            </w:r>
          </w:p>
          <w:p w14:paraId="13F0371D">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2.Q为基准价得分比率，取为0.9；评审价高于基准价时λ=1；评审价低于基准价时λ=0.5（即正偏离的扣分系数为1，负偏离的加分系数为0.5）。</w:t>
            </w:r>
          </w:p>
          <w:p w14:paraId="481788BA">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3.异常价格认定：所有有效供应商评审价格的算术平均值正偏离20%(含)以上、负偏离30%(含)以上的评审价为异常价格。</w:t>
            </w:r>
          </w:p>
          <w:p w14:paraId="5ED30E54">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4.基准价：剔除异常价格，其余有效评审价的算术平均值为基准价。如剔除异常价格后，其余有效供应商评审价不足2个，则以所有有效评审价的算术平均值为基准价。</w:t>
            </w:r>
          </w:p>
          <w:p w14:paraId="6292542B">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5.所有供应商价格得分（包含异常价格）均采用第1条公式计算，最高加至</w:t>
            </w:r>
            <w:r>
              <w:rPr>
                <w:rFonts w:hint="eastAsia" w:ascii="宋体" w:hAnsi="宋体" w:eastAsia="宋体" w:cs="宋体"/>
                <w:color w:val="auto"/>
                <w:kern w:val="0"/>
                <w:sz w:val="22"/>
                <w:szCs w:val="22"/>
                <w:highlight w:val="none"/>
                <w:lang w:val="en-US" w:eastAsia="zh-CN" w:bidi="ar"/>
              </w:rPr>
              <w:t>满</w:t>
            </w:r>
            <w:r>
              <w:rPr>
                <w:rFonts w:hint="eastAsia" w:ascii="宋体" w:hAnsi="宋体" w:eastAsia="宋体" w:cs="宋体"/>
                <w:color w:val="auto"/>
                <w:kern w:val="0"/>
                <w:sz w:val="22"/>
                <w:szCs w:val="22"/>
                <w:highlight w:val="none"/>
                <w:lang w:bidi="ar"/>
              </w:rPr>
              <w:t>分，最低扣至0分。</w:t>
            </w:r>
          </w:p>
          <w:p w14:paraId="55D84490">
            <w:pPr>
              <w:jc w:val="left"/>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6.价格评审以其应答报价的“</w:t>
            </w:r>
            <w:r>
              <w:rPr>
                <w:rFonts w:hint="eastAsia" w:ascii="宋体" w:hAnsi="宋体" w:eastAsia="宋体" w:cs="宋体"/>
                <w:b/>
                <w:bCs/>
                <w:color w:val="auto"/>
                <w:kern w:val="0"/>
                <w:sz w:val="22"/>
                <w:szCs w:val="22"/>
                <w:highlight w:val="none"/>
                <w:lang w:val="en-US" w:eastAsia="zh-CN" w:bidi="ar"/>
              </w:rPr>
              <w:t>响应报价折扣</w:t>
            </w:r>
            <w:r>
              <w:rPr>
                <w:rFonts w:hint="eastAsia" w:ascii="宋体" w:hAnsi="宋体" w:eastAsia="宋体" w:cs="宋体"/>
                <w:color w:val="auto"/>
                <w:kern w:val="0"/>
                <w:sz w:val="22"/>
                <w:szCs w:val="22"/>
                <w:highlight w:val="none"/>
                <w:lang w:bidi="ar"/>
              </w:rPr>
              <w:t>”作为评审依据</w:t>
            </w:r>
            <w:r>
              <w:rPr>
                <w:rFonts w:hint="eastAsia" w:ascii="宋体" w:hAnsi="宋体" w:eastAsia="宋体" w:cs="宋体"/>
                <w:color w:val="auto"/>
                <w:kern w:val="0"/>
                <w:sz w:val="22"/>
                <w:szCs w:val="22"/>
                <w:highlight w:val="none"/>
                <w:lang w:eastAsia="zh-CN" w:bidi="ar"/>
              </w:rPr>
              <w:t>。</w:t>
            </w:r>
          </w:p>
          <w:p w14:paraId="311323E8">
            <w:pPr>
              <w:jc w:val="left"/>
              <w:rPr>
                <w:rFonts w:hint="eastAsia" w:ascii="宋体" w:hAnsi="宋体" w:eastAsia="宋体" w:cs="宋体"/>
                <w:color w:val="auto"/>
                <w:kern w:val="0"/>
                <w:sz w:val="22"/>
                <w:szCs w:val="22"/>
                <w:highlight w:val="none"/>
                <w:lang w:eastAsia="zh-CN" w:bidi="ar"/>
              </w:rPr>
            </w:pPr>
          </w:p>
          <w:p w14:paraId="0B560ECC">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可能低于成本或者影响履约的异常低价判定及处理程序：</w:t>
            </w:r>
          </w:p>
          <w:p w14:paraId="008FE8C0">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出现下列情形之一的，评审委员会应当启动异常低价响应审查程序：</w:t>
            </w:r>
          </w:p>
          <w:p w14:paraId="07391D6D">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1.响应报价低于全部通过符合性审查供应商响应报价平均值50%的，即响应报价&lt;全部通过符合性审查供应商响应报价平均值×50%；</w:t>
            </w:r>
          </w:p>
          <w:p w14:paraId="4EEE617E">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2.响应报价低于通过符合性审查且报价次低供应商响应报价50%的，即响应报价&lt;通过符合性审查且报价次低供应商响应报价×50%；</w:t>
            </w:r>
          </w:p>
          <w:p w14:paraId="5E2E3AF7">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3.响应报价低于采购项目最高限价45%的，即响应报价&lt;采购项目最高限价×45%；</w:t>
            </w:r>
          </w:p>
          <w:p w14:paraId="7FE877A7">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4.其他评审委员会认为供应商报价过低，有可能影响产品质量或者不能诚信履约的情形。</w:t>
            </w:r>
          </w:p>
          <w:p w14:paraId="309320B5">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审委员会启动异常低价响应审查后，应当要求相关供应商在合理的时间内提供书面说明及必要的证明材料，对响应价格作出解释。书面说明、证明材料主要是项目具体成本测算等与报价合理性相关的说明、材料。</w:t>
            </w:r>
          </w:p>
          <w:p w14:paraId="211F8A37">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1"/>
                <w:szCs w:val="21"/>
                <w:highlight w:val="none"/>
                <w:lang w:bidi="ar"/>
              </w:rPr>
              <w:t>评审委员会应当结合同类产品在主要电商平台的价格、该行业当地薪资水平等情况，依据专业经验对报价合理性进行判断。如果响应供应商不提供书面说明、证明材料，或者提供的书面说明、证明材料不能证明其报价合理性的，应当将其作为无效响应处理。</w:t>
            </w:r>
          </w:p>
        </w:tc>
      </w:tr>
      <w:tr w14:paraId="2175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098A57E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3.2.2</w:t>
            </w:r>
          </w:p>
        </w:tc>
        <w:tc>
          <w:tcPr>
            <w:tcW w:w="709" w:type="dxa"/>
            <w:vAlign w:val="center"/>
          </w:tcPr>
          <w:p w14:paraId="76BDFC05">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评分计算原则</w:t>
            </w:r>
          </w:p>
        </w:tc>
        <w:tc>
          <w:tcPr>
            <w:tcW w:w="7445" w:type="dxa"/>
            <w:gridSpan w:val="4"/>
            <w:vAlign w:val="center"/>
          </w:tcPr>
          <w:p w14:paraId="176FD422">
            <w:pPr>
              <w:snapToGrid w:val="0"/>
              <w:rPr>
                <w:rFonts w:cs="宋体" w:asciiTheme="minorEastAsia" w:hAnsiTheme="minorEastAsia" w:eastAsiaTheme="minorEastAsia"/>
                <w:color w:val="auto"/>
                <w:kern w:val="0"/>
                <w:szCs w:val="21"/>
                <w:highlight w:val="none"/>
              </w:rPr>
            </w:pPr>
            <w:r>
              <w:rPr>
                <w:rFonts w:hint="eastAsia" w:ascii="Times New Roman" w:hAnsi="宋体" w:eastAsia="宋体" w:cs="Times New Roman"/>
                <w:color w:val="auto"/>
                <w:highlight w:val="none"/>
              </w:rPr>
              <w:t>评审过程涉及得分计算的，最终结果一律保留两位小数，小数点后第三位“四舍五入”。</w:t>
            </w:r>
          </w:p>
        </w:tc>
      </w:tr>
      <w:tr w14:paraId="3B4E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18FB3C90">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3.4.1</w:t>
            </w:r>
          </w:p>
        </w:tc>
        <w:tc>
          <w:tcPr>
            <w:tcW w:w="709" w:type="dxa"/>
            <w:vAlign w:val="center"/>
          </w:tcPr>
          <w:p w14:paraId="06FBE179">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综合评分相同的处理原则</w:t>
            </w:r>
          </w:p>
        </w:tc>
        <w:tc>
          <w:tcPr>
            <w:tcW w:w="7445" w:type="dxa"/>
            <w:gridSpan w:val="4"/>
            <w:vAlign w:val="center"/>
          </w:tcPr>
          <w:p w14:paraId="281173A7">
            <w:pPr>
              <w:snapToGrid w:val="0"/>
              <w:rPr>
                <w:rFonts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051E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567" w:type="dxa"/>
            <w:vAlign w:val="center"/>
          </w:tcPr>
          <w:p w14:paraId="0DD544C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3.4.2</w:t>
            </w:r>
          </w:p>
        </w:tc>
        <w:tc>
          <w:tcPr>
            <w:tcW w:w="709" w:type="dxa"/>
            <w:vAlign w:val="center"/>
          </w:tcPr>
          <w:p w14:paraId="79BC9301">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成交候选人推荐原则</w:t>
            </w:r>
          </w:p>
        </w:tc>
        <w:tc>
          <w:tcPr>
            <w:tcW w:w="7445" w:type="dxa"/>
            <w:gridSpan w:val="4"/>
            <w:vAlign w:val="center"/>
          </w:tcPr>
          <w:p w14:paraId="4A0EA781">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【详见第二章供应商须知6.4条款】</w:t>
            </w:r>
          </w:p>
        </w:tc>
      </w:tr>
      <w:tr w14:paraId="2DE4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721" w:type="dxa"/>
            <w:gridSpan w:val="6"/>
            <w:vAlign w:val="center"/>
          </w:tcPr>
          <w:p w14:paraId="509A7AFB">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1.首台（套）重大技术装备供应商参与采购活动，仅需提交首台（套）相关证明材料，即视同满足应用业绩等资格要求。</w:t>
            </w:r>
          </w:p>
          <w:p w14:paraId="1E47EFF3">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2.首台（套）重大技术装备供应商参与采购活动，仅需提交首台（套）相关证明材料，即视同满足市场占有率、应用业绩等评审标准。</w:t>
            </w:r>
          </w:p>
          <w:p w14:paraId="38F4DAFC">
            <w:pPr>
              <w:widowControl w:val="0"/>
              <w:snapToGrid w:val="0"/>
              <w:ind w:left="14" w:firstLine="0" w:firstLineChars="0"/>
              <w:jc w:val="both"/>
              <w:rPr>
                <w:rFonts w:cs="Times New Roman" w:asciiTheme="minorEastAsia" w:hAnsiTheme="minorEastAsia" w:eastAsiaTheme="minorEastAsia"/>
                <w:color w:val="auto"/>
                <w:kern w:val="2"/>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3.使用首台（套）重大技术装备生产制造的产品，首台（套）等相关证明材料可视为“自主可控”评审项的评审依据。</w:t>
            </w:r>
          </w:p>
        </w:tc>
      </w:tr>
    </w:tbl>
    <w:p w14:paraId="53211D8E">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0" w:name="_Toc25994"/>
      <w:bookmarkStart w:id="481" w:name="_Toc20275"/>
      <w:bookmarkStart w:id="482" w:name="_Toc450489345"/>
      <w:r>
        <w:rPr>
          <w:rFonts w:hint="eastAsia" w:asciiTheme="minorEastAsia" w:hAnsiTheme="minorEastAsia" w:eastAsiaTheme="minorEastAsia"/>
          <w:color w:val="auto"/>
          <w:sz w:val="28"/>
          <w:szCs w:val="28"/>
          <w:highlight w:val="none"/>
        </w:rPr>
        <w:t>评审方法</w:t>
      </w:r>
      <w:bookmarkEnd w:id="480"/>
      <w:bookmarkEnd w:id="481"/>
      <w:bookmarkEnd w:id="482"/>
    </w:p>
    <w:p w14:paraId="70412B79">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询比项目评审采用综合评估法。评审委员会对满足询比文件实质要求的响应文件，根据本章第2.2款规定的评分因素和评分标准进行评分，按照综合评分由高到低的顺序推荐成交候选人，但响应报价低于其成本的除外。</w:t>
      </w:r>
    </w:p>
    <w:p w14:paraId="78996B53">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3" w:name="_Toc450489346"/>
      <w:bookmarkStart w:id="484" w:name="_Toc561"/>
      <w:bookmarkStart w:id="485" w:name="_Toc20443"/>
      <w:r>
        <w:rPr>
          <w:rFonts w:hint="eastAsia" w:asciiTheme="minorEastAsia" w:hAnsiTheme="minorEastAsia" w:eastAsiaTheme="minorEastAsia"/>
          <w:color w:val="auto"/>
          <w:sz w:val="28"/>
          <w:szCs w:val="28"/>
          <w:highlight w:val="none"/>
        </w:rPr>
        <w:t>评审标准</w:t>
      </w:r>
      <w:bookmarkEnd w:id="483"/>
      <w:bookmarkEnd w:id="484"/>
      <w:bookmarkEnd w:id="485"/>
    </w:p>
    <w:p w14:paraId="458895E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6" w:name="_Toc30268"/>
      <w:bookmarkStart w:id="487" w:name="_Toc450489347"/>
      <w:bookmarkStart w:id="488" w:name="_Toc10132"/>
      <w:r>
        <w:rPr>
          <w:rFonts w:hint="eastAsia" w:asciiTheme="minorEastAsia" w:hAnsiTheme="minorEastAsia" w:eastAsiaTheme="minorEastAsia"/>
          <w:color w:val="auto"/>
          <w:sz w:val="24"/>
          <w:szCs w:val="24"/>
          <w:highlight w:val="none"/>
        </w:rPr>
        <w:t>2.1初步评审标准</w:t>
      </w:r>
      <w:bookmarkEnd w:id="486"/>
      <w:bookmarkEnd w:id="487"/>
      <w:bookmarkEnd w:id="488"/>
    </w:p>
    <w:p w14:paraId="396741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初步评审标准：见评审办法前附表。</w:t>
      </w:r>
    </w:p>
    <w:p w14:paraId="0603DB5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9" w:name="_Toc23693"/>
      <w:bookmarkStart w:id="490" w:name="_Toc450489348"/>
      <w:bookmarkStart w:id="491" w:name="_Toc27777"/>
      <w:r>
        <w:rPr>
          <w:rFonts w:hint="eastAsia" w:asciiTheme="minorEastAsia" w:hAnsiTheme="minorEastAsia" w:eastAsiaTheme="minorEastAsia"/>
          <w:color w:val="auto"/>
          <w:sz w:val="24"/>
          <w:szCs w:val="24"/>
          <w:highlight w:val="none"/>
        </w:rPr>
        <w:t>2.2详细评审标准</w:t>
      </w:r>
      <w:bookmarkEnd w:id="489"/>
      <w:bookmarkEnd w:id="490"/>
      <w:bookmarkEnd w:id="491"/>
    </w:p>
    <w:p w14:paraId="17F604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详细评审标准：见评审办法前附表。</w:t>
      </w:r>
    </w:p>
    <w:p w14:paraId="401A1EB6">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92" w:name="_Toc450489349"/>
      <w:bookmarkStart w:id="493" w:name="_Toc28139"/>
      <w:bookmarkStart w:id="494" w:name="_Toc16620"/>
      <w:r>
        <w:rPr>
          <w:rFonts w:hint="eastAsia" w:asciiTheme="minorEastAsia" w:hAnsiTheme="minorEastAsia" w:eastAsiaTheme="minorEastAsia"/>
          <w:color w:val="auto"/>
          <w:sz w:val="28"/>
          <w:szCs w:val="28"/>
          <w:highlight w:val="none"/>
        </w:rPr>
        <w:t>评审程序</w:t>
      </w:r>
      <w:bookmarkEnd w:id="492"/>
      <w:bookmarkEnd w:id="493"/>
      <w:bookmarkEnd w:id="494"/>
    </w:p>
    <w:p w14:paraId="254AD76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5" w:name="_Toc450489350"/>
      <w:bookmarkStart w:id="496" w:name="_Toc8908"/>
      <w:bookmarkStart w:id="497" w:name="_Toc27341"/>
      <w:r>
        <w:rPr>
          <w:rFonts w:hint="eastAsia" w:asciiTheme="minorEastAsia" w:hAnsiTheme="minorEastAsia" w:eastAsiaTheme="minorEastAsia"/>
          <w:color w:val="auto"/>
          <w:sz w:val="24"/>
          <w:szCs w:val="24"/>
          <w:highlight w:val="none"/>
        </w:rPr>
        <w:t>3.1初步评审</w:t>
      </w:r>
      <w:bookmarkEnd w:id="495"/>
      <w:bookmarkEnd w:id="496"/>
      <w:bookmarkEnd w:id="497"/>
    </w:p>
    <w:p w14:paraId="0912AC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3.1.1评审委员会根据本章第2.1款规定的标准对响应文件进行初步评审。有一项不符合评审标准的，评审委员会应当否决其响应。</w:t>
      </w:r>
    </w:p>
    <w:p w14:paraId="059A381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3.1.2供应商有以下情形之一的，评审委员会应当否决其响应：</w:t>
      </w:r>
    </w:p>
    <w:p w14:paraId="244C62C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（1）第二章“供应商须知”第1.8款规定的任何一种情形的；</w:t>
      </w:r>
    </w:p>
    <w:p w14:paraId="77353ACD">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（2）响应文件未按照询比文件要求盖章和签字的；</w:t>
      </w:r>
    </w:p>
    <w:p w14:paraId="2171EBEC">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（3）没有按照询比文件要求提供响应担保或者所提供的响应担保有瑕疵的；</w:t>
      </w:r>
    </w:p>
    <w:p w14:paraId="0D60D265">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（4）响应供应商提交两份以上不同内容的响应文件，或在一份响应文件中有两个或多个报价，且未声明哪一个为最终报价的，但按询比文件规定提交备选响应方案的除外；</w:t>
      </w:r>
    </w:p>
    <w:p w14:paraId="4A3C492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（5）允许联合体响应的，联合体没有提交共同响应协议；</w:t>
      </w:r>
    </w:p>
    <w:p w14:paraId="2767902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（6）响应供应商名称或组织结构与资格预审时不一致且未提供有效证明的；</w:t>
      </w:r>
    </w:p>
    <w:p w14:paraId="7C4FF0B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（7）响应供应商以他人名义响应或者响应供应商经资格审查不符合资格条件的；</w:t>
      </w:r>
    </w:p>
    <w:p w14:paraId="48D8DD20">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（8）响应有效期不满足询比文件要求或响应文件载明的询比项目完成期限超过询比文件规定的期限的；</w:t>
      </w:r>
    </w:p>
    <w:p w14:paraId="608F74CE">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（9）响应供应商报价低于成本价或严重影响履约，且供应商不能按评审委员会要求对其报价进行合理说明或提供相关证明材料的；</w:t>
      </w:r>
    </w:p>
    <w:p w14:paraId="611590B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（10）响应供应商报价高于询比文件设定的最高响应限价的；</w:t>
      </w:r>
    </w:p>
    <w:p w14:paraId="7DB3ABA2">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（11）明显不符合技术规格、技术标准的要求；</w:t>
      </w:r>
    </w:p>
    <w:p w14:paraId="21501EF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（12）响应文件载明的货物包装方式、检验标准和方法等不符合询比文件的要求；</w:t>
      </w:r>
    </w:p>
    <w:p w14:paraId="06EC5B9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（13）响应文件附有采购人不能接受的条件；</w:t>
      </w:r>
    </w:p>
    <w:p w14:paraId="4AD5C653">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（14）响应文件未能对询比文件中提出的实质性要求和条件做出实质性响应的；</w:t>
      </w:r>
    </w:p>
    <w:p w14:paraId="0B5126A8">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（15）响应供应商有串通响应、弄虚作假、行贿等违法行为的；</w:t>
      </w:r>
    </w:p>
    <w:p w14:paraId="5F1C003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（16）响应供应商拒不按照要求对响应文件进行澄清、说明或者补正的；</w:t>
      </w:r>
    </w:p>
    <w:p w14:paraId="1CB2BF2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（17）询比文件明确规定可以否决响应的其他情形。</w:t>
      </w:r>
    </w:p>
    <w:p w14:paraId="36BA643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3.1.3评审过程中，评审委员会收到低于成本价响应的书面质疑材料、发现供应商的综合报价明显低于其他响应报价或者设有标底时明显低于标底，认为响应报价可能低于其个别成本的，应当书面要求该供应商做出书面说明并提供相关证明材料。供应商不能合理说明或者不能提供相应证明材料的，由评审委员会认定该供应商以低于成本报价响应，评审委员会应当否决其响应。</w:t>
      </w:r>
    </w:p>
    <w:p w14:paraId="6953F46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3.1.4响应报价有算术错误的，评审委员会按照以下原则对响应报价进行修正，修正的价格经供应商书面确认后具有约束力。供应商不接受修正价格的，评审委员会应当否决其响应。</w:t>
      </w:r>
    </w:p>
    <w:p w14:paraId="1A32B038">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（1）响应文件中的大写金额与小写金额不一致的，以大写金额为准；</w:t>
      </w:r>
    </w:p>
    <w:p w14:paraId="5672EDA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（2）总价金额与根据单价计算出的结果不一致的，以单价金额为准修正总价，但单价金额小数点有明显错误的除外。</w:t>
      </w:r>
    </w:p>
    <w:p w14:paraId="11D3B2E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8" w:name="_Toc450489351"/>
      <w:bookmarkStart w:id="499" w:name="_Toc23485"/>
      <w:bookmarkStart w:id="500" w:name="_Toc4450"/>
      <w:r>
        <w:rPr>
          <w:rFonts w:hint="eastAsia" w:asciiTheme="minorEastAsia" w:hAnsiTheme="minorEastAsia" w:eastAsiaTheme="minorEastAsia"/>
          <w:color w:val="auto"/>
          <w:sz w:val="24"/>
          <w:szCs w:val="24"/>
          <w:highlight w:val="none"/>
        </w:rPr>
        <w:t>3.2详细评审</w:t>
      </w:r>
      <w:bookmarkEnd w:id="498"/>
      <w:bookmarkEnd w:id="499"/>
      <w:bookmarkEnd w:id="500"/>
    </w:p>
    <w:p w14:paraId="0A020A0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3.2.1</w:t>
      </w:r>
      <w:r>
        <w:rPr>
          <w:rFonts w:hint="eastAsia" w:asciiTheme="minorEastAsia" w:hAnsiTheme="minorEastAsia" w:eastAsiaTheme="minorEastAsia"/>
          <w:color w:val="auto"/>
          <w:highlight w:val="none"/>
        </w:rPr>
        <w:t>评审委员会按照本章第2.2款规定的评审因素和量化标准进行评分，并计算出综合评估得分。</w:t>
      </w:r>
    </w:p>
    <w:p w14:paraId="22B4CA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3.2.2评分分值计算原则上保留小数点后两位，小数点后第三位“四舍五入”。另有规定的，见评审办法前附表。</w:t>
      </w:r>
    </w:p>
    <w:p w14:paraId="14D0BC5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1" w:name="_Toc447265275"/>
      <w:bookmarkStart w:id="502" w:name="_Toc20826"/>
      <w:bookmarkStart w:id="503" w:name="_Toc1394"/>
      <w:bookmarkStart w:id="504" w:name="_Toc447265561"/>
      <w:bookmarkStart w:id="505" w:name="_Toc450489352"/>
      <w:bookmarkStart w:id="506" w:name="_Toc450489353"/>
      <w:bookmarkStart w:id="507" w:name="_Toc13432"/>
      <w:bookmarkStart w:id="508" w:name="_Toc22952"/>
      <w:r>
        <w:rPr>
          <w:rFonts w:hint="eastAsia" w:asciiTheme="minorEastAsia" w:hAnsiTheme="minorEastAsia" w:eastAsiaTheme="minorEastAsia"/>
          <w:color w:val="auto"/>
          <w:sz w:val="24"/>
          <w:szCs w:val="24"/>
          <w:highlight w:val="none"/>
        </w:rPr>
        <w:t>3.3响应文件的澄清</w:t>
      </w:r>
      <w:bookmarkEnd w:id="501"/>
      <w:bookmarkEnd w:id="502"/>
      <w:bookmarkEnd w:id="503"/>
      <w:bookmarkEnd w:id="504"/>
      <w:bookmarkEnd w:id="505"/>
    </w:p>
    <w:p w14:paraId="7A91B2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在评审过程中，评审委员会可以书面形式要求供应商对响应文件中含义不明确、对同类问题表述不一致或者有明显文字和计算错误的内容进行必要的澄清、说明或对响应文件中的细微偏差进行补正。评审委员会不接受供应商主动提出的澄清、说明或者补正。</w:t>
      </w:r>
    </w:p>
    <w:p w14:paraId="287D1AD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3.3.2细微偏差是指响应文件在实质上响应询比文件要求，但个别地方存在漏项或者提供了不完整的技术信息和数据等情况，并且补正这些遗漏或者不完整不会对其他供应商造成不公平的结果。细微偏差不影响响应文件的有效性。</w:t>
      </w:r>
    </w:p>
    <w:p w14:paraId="0DC430A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3.3.3澄清、说明和补正不得改变响应文件的实质性内容（算术性错误修正的除外）。供应商的书面澄清、说明和补正属于响应文件的组成部分。</w:t>
      </w:r>
    </w:p>
    <w:p w14:paraId="4D5470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3.3.4评审委员会对供应商提交的澄清、说明或者补正有疑问的，可以要求供应商进一步澄清、说明或者补正，直至满足评审委员会的要求。</w:t>
      </w:r>
    </w:p>
    <w:p w14:paraId="07696B4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3.3.5</w:t>
      </w:r>
      <w:r>
        <w:rPr>
          <w:rFonts w:hint="eastAsia" w:asciiTheme="minorEastAsia" w:hAnsiTheme="minorEastAsia" w:eastAsiaTheme="minorEastAsia"/>
          <w:color w:val="auto"/>
          <w:highlight w:val="none"/>
        </w:rPr>
        <w:t>评审委员会必要时可以要求供应商递交有关证明和证件的原件，以便核验。</w:t>
      </w:r>
    </w:p>
    <w:p w14:paraId="224050D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3.4成交候选人推荐原则</w:t>
      </w:r>
      <w:bookmarkEnd w:id="506"/>
      <w:bookmarkEnd w:id="507"/>
      <w:bookmarkEnd w:id="508"/>
    </w:p>
    <w:p w14:paraId="303A60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3.4.1评审委员会按照综合评分由高到低的顺序推荐成交候选人。综合评分相同的，处理原则见评审办法前附表。</w:t>
      </w:r>
    </w:p>
    <w:p w14:paraId="5F3C28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3.4.2成交候选人推荐原则见评审办法前附表。</w:t>
      </w:r>
    </w:p>
    <w:p w14:paraId="16E1D81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9" w:name="_Toc32250"/>
      <w:bookmarkStart w:id="510" w:name="_Toc26034"/>
      <w:bookmarkStart w:id="511" w:name="_Toc450489354"/>
      <w:r>
        <w:rPr>
          <w:rFonts w:hint="eastAsia" w:asciiTheme="minorEastAsia" w:hAnsiTheme="minorEastAsia" w:eastAsiaTheme="minorEastAsia"/>
          <w:color w:val="auto"/>
          <w:sz w:val="24"/>
          <w:szCs w:val="24"/>
          <w:highlight w:val="none"/>
        </w:rPr>
        <w:t>3.5评审结果</w:t>
      </w:r>
      <w:bookmarkEnd w:id="509"/>
      <w:bookmarkEnd w:id="510"/>
      <w:bookmarkEnd w:id="511"/>
    </w:p>
    <w:p w14:paraId="63AE9EA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3.5.1评审委员会完成评审后，应当向采购人提交书面评审报告。评审委员会分组评审的，应当形成统一、完整的评审报告。</w:t>
      </w:r>
    </w:p>
    <w:p w14:paraId="5130954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3.5.2评审报告应当包括下列内容：</w:t>
      </w:r>
    </w:p>
    <w:p w14:paraId="0E505E36">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评审概况（包括评审日程、评审方法和标准、评审委员会名单、响应文件开启记录等评审基本情况）；</w:t>
      </w:r>
    </w:p>
    <w:p w14:paraId="30F8C4E0">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资格审查结果及技术、服务、商务和价格比较；</w:t>
      </w:r>
    </w:p>
    <w:p w14:paraId="5F2FFA0C">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评审专家评分原始记录表和否决响应的情况说明；</w:t>
      </w:r>
    </w:p>
    <w:p w14:paraId="44B1605E">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响应供应商的排名顺序及推荐的成交候选人；</w:t>
      </w:r>
    </w:p>
    <w:p w14:paraId="62F7A98F">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签订合同前要处理的事宜；</w:t>
      </w:r>
    </w:p>
    <w:p w14:paraId="4B170014">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其他重要情况说明（澄清、说明、异常低价响应、严重不平衡报价分析、评分畸高畸低、竞争性分析、补正事项纪要等）；</w:t>
      </w:r>
    </w:p>
    <w:p w14:paraId="5E213A8A">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sectPr>
          <w:footerReference r:id="rId8" w:type="first"/>
          <w:footerReference r:id="rId7" w:type="default"/>
          <w:pgSz w:w="11906" w:h="16838"/>
          <w:pgMar w:top="1440" w:right="1800" w:bottom="1440" w:left="1800" w:header="851" w:footer="992" w:gutter="0"/>
          <w:cols w:space="425" w:num="1"/>
          <w:docGrid w:type="lines" w:linePitch="312" w:charSpace="0"/>
        </w:sectPr>
      </w:pPr>
      <w:r>
        <w:rPr>
          <w:rFonts w:hint="eastAsia" w:cs="宋体" w:asciiTheme="minorEastAsia" w:hAnsiTheme="minorEastAsia" w:eastAsiaTheme="minorEastAsia"/>
          <w:color w:val="auto"/>
          <w:szCs w:val="21"/>
          <w:highlight w:val="none"/>
        </w:rPr>
        <w:t xml:space="preserve">评审委员会成员名单及本人签字、拒绝在评审报告上签字的评审委员会成员名单及其陈述的不同意见和理由。 </w:t>
      </w:r>
    </w:p>
    <w:bookmarkEnd w:id="475"/>
    <w:bookmarkEnd w:id="476"/>
    <w:bookmarkEnd w:id="477"/>
    <w:bookmarkEnd w:id="478"/>
    <w:bookmarkEnd w:id="479"/>
    <w:p w14:paraId="34737D25">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需要补充的其他内容</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202E72A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需要补充的其他内容：见供应商须知前附表。</w:t>
      </w:r>
    </w:p>
    <w:p w14:paraId="041D9235">
      <w:pPr>
        <w:pStyle w:val="101"/>
        <w:numPr>
          <w:ilvl w:val="0"/>
          <w:numId w:val="38"/>
        </w:numPr>
        <w:spacing w:before="240" w:after="120"/>
        <w:rPr>
          <w:rFonts w:hint="eastAsia" w:cs="宋体" w:asciiTheme="minorEastAsia" w:hAnsiTheme="minorEastAsia" w:eastAsiaTheme="minorEastAsia"/>
          <w:b/>
          <w:bCs w:val="0"/>
          <w:color w:val="auto"/>
          <w:kern w:val="0"/>
          <w:sz w:val="28"/>
          <w:szCs w:val="28"/>
          <w:highlight w:val="none"/>
        </w:rPr>
      </w:pPr>
      <w:bookmarkStart w:id="512" w:name="_Toc475472623"/>
      <w:bookmarkStart w:id="513" w:name="_Toc14166"/>
      <w:bookmarkStart w:id="514" w:name="_Toc12095"/>
      <w:bookmarkStart w:id="515" w:name="_Toc227057959"/>
      <w:bookmarkStart w:id="516" w:name="_Toc107822570"/>
      <w:bookmarkStart w:id="517" w:name="_Toc226969353"/>
      <w:bookmarkStart w:id="518" w:name="_Toc447265599"/>
      <w:bookmarkStart w:id="519" w:name="_Toc447265313"/>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商务规范书</w:t>
      </w:r>
      <w:bookmarkEnd w:id="512"/>
      <w:r>
        <w:rPr>
          <w:rFonts w:hint="eastAsia" w:cs="宋体" w:asciiTheme="minorEastAsia" w:hAnsiTheme="minorEastAsia" w:eastAsiaTheme="minorEastAsia"/>
          <w:b/>
          <w:bCs w:val="0"/>
          <w:color w:val="auto"/>
          <w:kern w:val="0"/>
          <w:sz w:val="28"/>
          <w:szCs w:val="28"/>
          <w:highlight w:val="none"/>
        </w:rPr>
        <w:t>[即合同文本]</w:t>
      </w:r>
      <w:bookmarkEnd w:id="513"/>
      <w:bookmarkEnd w:id="514"/>
    </w:p>
    <w:p w14:paraId="1A78145B">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（★本章条款如有正负偏离须在《</w:t>
      </w:r>
      <w:r>
        <w:rPr>
          <w:rFonts w:hint="eastAsia" w:ascii="宋体" w:hAnsi="宋体" w:eastAsia="宋体" w:cs="宋体"/>
          <w:b/>
          <w:bCs/>
          <w:color w:val="auto"/>
          <w:sz w:val="24"/>
          <w:szCs w:val="32"/>
          <w:highlight w:val="none"/>
          <w:lang w:val="en-US" w:eastAsia="zh-CN"/>
        </w:rPr>
        <w:t>商务</w:t>
      </w:r>
      <w:r>
        <w:rPr>
          <w:rFonts w:hint="eastAsia" w:ascii="宋体" w:hAnsi="宋体" w:eastAsia="宋体" w:cs="宋体"/>
          <w:b/>
          <w:bCs/>
          <w:color w:val="auto"/>
          <w:sz w:val="24"/>
          <w:szCs w:val="32"/>
          <w:highlight w:val="none"/>
        </w:rPr>
        <w:t>规范书偏离表》中说明）</w:t>
      </w:r>
    </w:p>
    <w:bookmarkEnd w:id="515"/>
    <w:bookmarkEnd w:id="516"/>
    <w:bookmarkEnd w:id="517"/>
    <w:bookmarkEnd w:id="518"/>
    <w:bookmarkEnd w:id="519"/>
    <w:p w14:paraId="6438F9C2">
      <w:pPr>
        <w:widowControl/>
        <w:autoSpaceDE w:val="0"/>
        <w:autoSpaceDN w:val="0"/>
        <w:spacing w:line="360" w:lineRule="exact"/>
        <w:ind w:firstLine="420" w:firstLineChars="200"/>
        <w:jc w:val="both"/>
        <w:textAlignment w:val="bottom"/>
        <w:rPr>
          <w:rFonts w:hint="eastAsia" w:cs="宋体" w:asciiTheme="minorEastAsia" w:hAnsiTheme="minorEastAsia" w:eastAsiaTheme="minorEastAsia"/>
          <w:color w:val="auto"/>
          <w:kern w:val="0"/>
          <w:szCs w:val="21"/>
          <w:highlight w:val="none"/>
        </w:rPr>
      </w:pPr>
      <w:bookmarkStart w:id="520" w:name="_Toc447265602"/>
      <w:bookmarkStart w:id="521" w:name="_Toc21874"/>
      <w:bookmarkStart w:id="522" w:name="_Toc447265316"/>
      <w:bookmarkStart w:id="523" w:name="_Toc475472669"/>
    </w:p>
    <w:p w14:paraId="230B58E8">
      <w:pPr>
        <w:adjustRightInd w:val="0"/>
        <w:snapToGrid w:val="0"/>
        <w:rPr>
          <w:rFonts w:hint="eastAsia" w:ascii="仿宋" w:hAnsi="仿宋" w:eastAsia="仿宋" w:cs="方正仿宋_GB2312"/>
          <w:b/>
          <w:bCs/>
          <w:color w:val="auto"/>
          <w:sz w:val="24"/>
          <w:highlight w:val="none"/>
        </w:rPr>
      </w:pPr>
      <w:bookmarkStart w:id="524" w:name="_Toc14084"/>
    </w:p>
    <w:p w14:paraId="11DD9816">
      <w:pPr>
        <w:adjustRightInd w:val="0"/>
        <w:snapToGrid w:val="0"/>
        <w:rPr>
          <w:rFonts w:hint="default" w:ascii="仿宋" w:hAnsi="仿宋" w:eastAsia="仿宋" w:cs="方正仿宋_GB2312"/>
          <w:b/>
          <w:bCs/>
          <w:color w:val="auto"/>
          <w:sz w:val="24"/>
          <w:highlight w:val="none"/>
          <w:lang w:val="en-US" w:eastAsia="zh-CN"/>
        </w:rPr>
      </w:pPr>
      <w:r>
        <w:rPr>
          <w:rFonts w:hint="eastAsia" w:ascii="仿宋" w:hAnsi="仿宋" w:eastAsia="仿宋" w:cs="方正仿宋_GB2312"/>
          <w:b/>
          <w:bCs/>
          <w:color w:val="auto"/>
          <w:sz w:val="24"/>
          <w:highlight w:val="none"/>
          <w:lang w:val="en-US" w:eastAsia="zh-CN"/>
        </w:rPr>
        <w:t>合同详见附件：湖北信通与xxx公司关xxx年装卸搬运服务合同</w:t>
      </w:r>
    </w:p>
    <w:p w14:paraId="6A2A3042">
      <w:pPr>
        <w:adjustRightInd w:val="0"/>
        <w:snapToGrid w:val="0"/>
        <w:rPr>
          <w:rFonts w:hint="eastAsia" w:ascii="仿宋" w:hAnsi="仿宋" w:eastAsia="仿宋" w:cs="方正仿宋_GB2312"/>
          <w:b/>
          <w:bCs/>
          <w:color w:val="auto"/>
          <w:sz w:val="24"/>
          <w:highlight w:val="none"/>
        </w:rPr>
      </w:pPr>
    </w:p>
    <w:p w14:paraId="2C73E718">
      <w:pPr>
        <w:adjustRightInd w:val="0"/>
        <w:snapToGrid w:val="0"/>
        <w:rPr>
          <w:rFonts w:hint="eastAsia" w:ascii="仿宋" w:hAnsi="仿宋" w:eastAsia="仿宋" w:cs="方正仿宋_GB2312"/>
          <w:b/>
          <w:bCs/>
          <w:color w:val="auto"/>
          <w:sz w:val="24"/>
          <w:highlight w:val="none"/>
        </w:rPr>
      </w:pPr>
    </w:p>
    <w:p w14:paraId="5EA5CBB8">
      <w:pPr>
        <w:rPr>
          <w:color w:val="auto"/>
          <w:highlight w:val="none"/>
        </w:rPr>
      </w:pPr>
    </w:p>
    <w:p w14:paraId="427C1714">
      <w:pPr>
        <w:keepNext/>
        <w:keepLines/>
        <w:widowControl w:val="0"/>
        <w:spacing w:before="240" w:after="120" w:line="240" w:lineRule="auto"/>
        <w:jc w:val="center"/>
        <w:outlineLvl w:val="0"/>
        <w:rPr>
          <w:rFonts w:ascii="宋体" w:hAnsi="宋体" w:eastAsia="宋体" w:cs="宋体"/>
          <w:b/>
          <w:bCs w:val="0"/>
          <w:color w:val="auto"/>
          <w:kern w:val="0"/>
          <w:sz w:val="28"/>
          <w:szCs w:val="28"/>
          <w:highlight w:val="none"/>
          <w:lang w:val="en-US" w:eastAsia="zh-CN" w:bidi="ar-SA"/>
        </w:rPr>
      </w:pPr>
      <w:r>
        <w:rPr>
          <w:rFonts w:hint="eastAsia" w:ascii="宋体" w:hAnsi="宋体" w:eastAsia="宋体" w:cs="宋体"/>
          <w:b/>
          <w:bCs w:val="0"/>
          <w:color w:val="auto"/>
          <w:kern w:val="0"/>
          <w:sz w:val="28"/>
          <w:szCs w:val="28"/>
          <w:highlight w:val="none"/>
          <w:lang w:val="en-US" w:eastAsia="zh-CN" w:bidi="ar-SA"/>
        </w:rPr>
        <w:t>第五章  技术规范书</w:t>
      </w:r>
      <w:bookmarkEnd w:id="524"/>
    </w:p>
    <w:p w14:paraId="75BC9215">
      <w:pPr>
        <w:jc w:val="center"/>
        <w:rPr>
          <w:rFonts w:hint="eastAsia" w:ascii="宋体" w:hAnsi="宋体" w:eastAsia="宋体" w:cs="宋体"/>
          <w:b/>
          <w:bCs/>
          <w:color w:val="auto"/>
          <w:sz w:val="24"/>
          <w:szCs w:val="32"/>
          <w:highlight w:val="none"/>
        </w:rPr>
      </w:pPr>
      <w:bookmarkStart w:id="525" w:name="_Toc318969405"/>
      <w:bookmarkStart w:id="526" w:name="_Toc496264199"/>
      <w:r>
        <w:rPr>
          <w:rFonts w:hint="eastAsia" w:ascii="宋体" w:hAnsi="宋体" w:eastAsia="宋体" w:cs="宋体"/>
          <w:b/>
          <w:bCs/>
          <w:color w:val="auto"/>
          <w:sz w:val="24"/>
          <w:szCs w:val="32"/>
          <w:highlight w:val="none"/>
        </w:rPr>
        <w:t>（★本章条款如有正负偏离须在《技术规范书偏离表》中说明）</w:t>
      </w:r>
      <w:bookmarkEnd w:id="525"/>
      <w:bookmarkEnd w:id="526"/>
    </w:p>
    <w:p w14:paraId="21EC5363">
      <w:pPr>
        <w:widowControl w:val="0"/>
        <w:ind w:left="0" w:leftChars="0" w:firstLine="0" w:firstLineChars="0"/>
        <w:jc w:val="both"/>
        <w:rPr>
          <w:rFonts w:hint="eastAsia" w:ascii="宋体" w:hAnsi="宋体" w:eastAsia="宋体" w:cs="宋体"/>
          <w:b/>
          <w:bCs/>
          <w:color w:val="auto"/>
          <w:kern w:val="2"/>
          <w:sz w:val="21"/>
          <w:szCs w:val="24"/>
          <w:highlight w:val="none"/>
          <w:lang w:val="en-US" w:eastAsia="zh-CN" w:bidi="ar-SA"/>
        </w:rPr>
      </w:pPr>
    </w:p>
    <w:p w14:paraId="5018714D">
      <w:pPr>
        <w:numPr>
          <w:ilvl w:val="0"/>
          <w:numId w:val="39"/>
        </w:numPr>
        <w:snapToGrid w:val="0"/>
        <w:spacing w:line="300" w:lineRule="auto"/>
        <w:jc w:val="left"/>
        <w:rPr>
          <w:rFonts w:hint="eastAsia" w:cs="Times New Roman" w:asciiTheme="minorEastAsia" w:hAnsiTheme="minorEastAsia" w:eastAsiaTheme="minorEastAsia"/>
          <w:b/>
          <w:bCs/>
          <w:color w:val="auto"/>
          <w:kern w:val="2"/>
          <w:sz w:val="28"/>
          <w:szCs w:val="28"/>
          <w:highlight w:val="none"/>
          <w:lang w:val="en-US" w:eastAsia="zh-CN" w:bidi="ar-SA"/>
        </w:rPr>
      </w:pPr>
      <w:bookmarkStart w:id="527" w:name="_Toc27324"/>
      <w:r>
        <w:rPr>
          <w:rFonts w:hint="eastAsia" w:cs="Times New Roman" w:asciiTheme="minorEastAsia" w:hAnsiTheme="minorEastAsia" w:eastAsiaTheme="minorEastAsia"/>
          <w:b/>
          <w:bCs/>
          <w:color w:val="auto"/>
          <w:kern w:val="2"/>
          <w:sz w:val="28"/>
          <w:szCs w:val="28"/>
          <w:highlight w:val="none"/>
          <w:lang w:val="en-US" w:eastAsia="zh-CN" w:bidi="ar-SA"/>
        </w:rPr>
        <w:t>项目概况</w:t>
      </w:r>
    </w:p>
    <w:p w14:paraId="19C284DD">
      <w:pPr>
        <w:snapToGrid w:val="0"/>
        <w:spacing w:line="300" w:lineRule="auto"/>
        <w:ind w:firstLine="420" w:firstLineChars="200"/>
        <w:rPr>
          <w:rFonts w:hint="eastAsia" w:ascii="方正楷体_GBK" w:hAnsi="方正楷体_GBK" w:eastAsia="方正楷体_GBK" w:cs="方正楷体_GBK"/>
          <w:b/>
          <w:bCs/>
          <w:sz w:val="30"/>
          <w:szCs w:val="30"/>
        </w:rPr>
      </w:pPr>
      <w:r>
        <w:rPr>
          <w:rFonts w:hint="eastAsia" w:cs="Times New Roman" w:asciiTheme="minorEastAsia" w:hAnsiTheme="minorEastAsia" w:eastAsiaTheme="minorEastAsia"/>
          <w:color w:val="auto"/>
          <w:kern w:val="2"/>
          <w:sz w:val="21"/>
          <w:szCs w:val="20"/>
          <w:highlight w:val="none"/>
          <w:lang w:val="en-US" w:eastAsia="zh-CN" w:bidi="ar-SA"/>
        </w:rPr>
        <w:t>湖北信通通信有限公司（含黄石城区、黄石高新区）网改、技改等项目施工现场物资装卸、搬运服务。</w:t>
      </w:r>
    </w:p>
    <w:p w14:paraId="3C9C8C45">
      <w:pPr>
        <w:numPr>
          <w:ilvl w:val="0"/>
          <w:numId w:val="39"/>
        </w:numPr>
        <w:snapToGrid w:val="0"/>
        <w:spacing w:line="300" w:lineRule="auto"/>
        <w:rPr>
          <w:rFonts w:hint="eastAsia" w:cs="Times New Roman" w:asciiTheme="minorEastAsia" w:hAnsiTheme="minorEastAsia" w:eastAsiaTheme="minorEastAsia"/>
          <w:b/>
          <w:bCs/>
          <w:color w:val="auto"/>
          <w:kern w:val="2"/>
          <w:sz w:val="28"/>
          <w:szCs w:val="28"/>
          <w:highlight w:val="none"/>
          <w:lang w:val="en-US" w:eastAsia="zh-CN" w:bidi="ar-SA"/>
        </w:rPr>
      </w:pPr>
      <w:r>
        <w:rPr>
          <w:rFonts w:hint="eastAsia" w:cs="Times New Roman" w:asciiTheme="minorEastAsia" w:hAnsiTheme="minorEastAsia" w:eastAsiaTheme="minorEastAsia"/>
          <w:b/>
          <w:bCs/>
          <w:color w:val="auto"/>
          <w:kern w:val="2"/>
          <w:sz w:val="28"/>
          <w:szCs w:val="28"/>
          <w:highlight w:val="none"/>
          <w:lang w:val="en-US" w:eastAsia="zh-CN" w:bidi="ar-SA"/>
        </w:rPr>
        <w:t>技术要求</w:t>
      </w:r>
    </w:p>
    <w:p w14:paraId="197D0D59">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1.1搬运作业要求</w:t>
      </w:r>
    </w:p>
    <w:p w14:paraId="79C98707">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1.1.1搬运前要注意货物的重量，确保货物在有条件（装卸设备符合装卸要求，人力搬运时可以承受货物重量等）的情况下进行搬运。</w:t>
      </w:r>
    </w:p>
    <w:p w14:paraId="03D36756">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1.1.2手动搬运物料时每次搬运重量不得超出25公斤，且必须用双手搬运。</w:t>
      </w:r>
    </w:p>
    <w:p w14:paraId="6FDBA3F8">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1.1.3超过25公斤物料在搬运时要使用栈板和手动叉车，栈板离地面要不低于5厘米。</w:t>
      </w:r>
    </w:p>
    <w:p w14:paraId="6AF65DEE">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1.1.4安排专门的监护人员全程跟踪，负责处理搬运过程中出现的特殊问题及恶劣条件下（如下雨，道路难行等）设备安全搬运问题；出现不可预见性的问题对（或可能对）搬运物资造成损坏时，立即采取相应措施，并跟踪处理，以防止事故的发生。</w:t>
      </w:r>
    </w:p>
    <w:p w14:paraId="35F3CE9C">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1.2装卸作业要求</w:t>
      </w:r>
    </w:p>
    <w:p w14:paraId="6CDD26CB">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1.2.1装车前，卸货后，对车辆进行检查和清扫，因货物特殊，装车前、后需对车辆进行清洗和消毒的，必须达到规定要求。</w:t>
      </w:r>
    </w:p>
    <w:p w14:paraId="6F4AF664">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1.2.2装车时要处理好易碎或易变形的物资摆放，确保该类物资的安全。</w:t>
      </w:r>
    </w:p>
    <w:p w14:paraId="39B5A4D0">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1.2.3装车作业时25公斤以上物料需两人及以上进行搬运。</w:t>
      </w:r>
    </w:p>
    <w:p w14:paraId="6AAB4CEA">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1.2.4货物顺序按照由上而下、先远后近、先大后小，上轻下重、箭头朝上；特殊货物先定装车部位，不规则货物慎配装；大硬货物先装，小软货物后装，轻重、大小货物搭配合理，码放整齐、分隔清楚。</w:t>
      </w:r>
    </w:p>
    <w:p w14:paraId="4E259D42">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1.2.5货物必须严格按照规定的方式和堆高进行堆码，不得随意改变货物堆码方式，不得超高堆码；货物之间留有间隙，应使用夹板、泡沫板等材料进行填补，使货物堆码稳固，避免货物途中倾斜倒塌。</w:t>
      </w:r>
    </w:p>
    <w:p w14:paraId="2F1E36AD">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1.2.6货物必须严格按照箱面标识装载整齐、稳固，分隔措施有效合理，不得随意改变货物装载方式，不得野蛮装卸。</w:t>
      </w:r>
    </w:p>
    <w:p w14:paraId="717C8B0F">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1.2.7不同产品混装时，应合理搭配，遵从重不压轻的原则，贵重物品应采取特殊装载措施，加以保护。</w:t>
      </w:r>
    </w:p>
    <w:p w14:paraId="6344FAC3">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1.2.8紧密堆放货件，充分利用车辆载重量和容积，巧装满载，防止由于车辆运行中因车辆震荡造成的货物倒塌、破损。</w:t>
      </w:r>
    </w:p>
    <w:p w14:paraId="1321A8BD">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1.2.9装车不超限、不超载、不偏重、不集重。</w:t>
      </w:r>
    </w:p>
    <w:p w14:paraId="15F93F05">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1.2.10装车完毕后，要检查货位，以免错装、漏装，还应及时检查车辆的上锁及货物的遮盖捆扎情况。</w:t>
      </w:r>
    </w:p>
    <w:p w14:paraId="406F28EC">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1.2.11装卸前需查看货物外箱上的装卸标识按标识内容合理装卸，需要防震、防雨、防潮、防锈、防霉、防尘的货物必须采取相应的防护措施。</w:t>
      </w:r>
    </w:p>
    <w:p w14:paraId="65FC7241">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1.2.12防止货物装卸时的混杂、污染、散落、遗漏、砸撞。</w:t>
      </w:r>
    </w:p>
    <w:p w14:paraId="7E4DD91E">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1.2.13装卸区由装卸组长统一现场指挥，指挥使用明确固定的信号，以防作业混乱、拥挤、阻塞，发生事故。</w:t>
      </w:r>
    </w:p>
    <w:p w14:paraId="37F88D6F">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1.3其他要求</w:t>
      </w:r>
    </w:p>
    <w:p w14:paraId="4DB6A084">
      <w:pPr>
        <w:numPr>
          <w:ilvl w:val="0"/>
          <w:numId w:val="0"/>
        </w:numPr>
        <w:snapToGrid w:val="0"/>
        <w:spacing w:line="300" w:lineRule="auto"/>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作业人员必须按照操作规程作业。特种设备操作人员需持有特种设备操作许可证，且严格执行操作规定，不准超负荷作业和超负荷装载或超速运行。</w:t>
      </w:r>
    </w:p>
    <w:p w14:paraId="76030005">
      <w:pPr>
        <w:numPr>
          <w:ilvl w:val="0"/>
          <w:numId w:val="0"/>
        </w:numPr>
        <w:snapToGrid w:val="0"/>
        <w:spacing w:line="300" w:lineRule="auto"/>
        <w:rPr>
          <w:rFonts w:hint="eastAsia" w:cs="Times New Roman" w:asciiTheme="minorEastAsia" w:hAnsiTheme="minorEastAsia" w:eastAsiaTheme="minorEastAsia"/>
          <w:b/>
          <w:bCs/>
          <w:color w:val="auto"/>
          <w:kern w:val="2"/>
          <w:sz w:val="28"/>
          <w:szCs w:val="28"/>
          <w:highlight w:val="none"/>
          <w:lang w:val="en-US" w:eastAsia="zh-CN" w:bidi="ar-SA"/>
        </w:rPr>
      </w:pPr>
      <w:r>
        <w:rPr>
          <w:rFonts w:hint="eastAsia" w:cs="Times New Roman" w:asciiTheme="minorEastAsia" w:hAnsiTheme="minorEastAsia" w:eastAsiaTheme="minorEastAsia"/>
          <w:b/>
          <w:bCs/>
          <w:color w:val="auto"/>
          <w:kern w:val="2"/>
          <w:sz w:val="28"/>
          <w:szCs w:val="28"/>
          <w:highlight w:val="none"/>
          <w:lang w:val="en-US" w:eastAsia="zh-CN" w:bidi="ar-SA"/>
        </w:rPr>
        <w:t>三、相关要求</w:t>
      </w:r>
    </w:p>
    <w:p w14:paraId="6E5335F1">
      <w:pPr>
        <w:numPr>
          <w:ilvl w:val="0"/>
          <w:numId w:val="40"/>
        </w:numPr>
        <w:snapToGrid w:val="0"/>
        <w:spacing w:line="300" w:lineRule="auto"/>
        <w:ind w:left="582" w:leftChars="0"/>
        <w:rPr>
          <w:rFonts w:hint="eastAsia" w:ascii="宋体" w:hAnsi="宋体" w:cs="宋体"/>
          <w:b/>
          <w:bCs/>
          <w:sz w:val="24"/>
          <w:szCs w:val="24"/>
        </w:rPr>
      </w:pPr>
      <w:r>
        <w:rPr>
          <w:rFonts w:hint="eastAsia" w:ascii="宋体" w:hAnsi="宋体" w:cs="宋体"/>
          <w:b/>
          <w:bCs/>
          <w:sz w:val="24"/>
          <w:szCs w:val="24"/>
          <w:lang w:eastAsia="zh-CN"/>
        </w:rPr>
        <w:t>供应商</w:t>
      </w:r>
      <w:r>
        <w:rPr>
          <w:rFonts w:hint="eastAsia" w:ascii="宋体" w:hAnsi="宋体" w:cs="宋体"/>
          <w:b/>
          <w:bCs/>
          <w:sz w:val="24"/>
          <w:szCs w:val="24"/>
        </w:rPr>
        <w:t>要求</w:t>
      </w:r>
    </w:p>
    <w:p w14:paraId="6C206603">
      <w:pPr>
        <w:numPr>
          <w:ilvl w:val="0"/>
          <w:numId w:val="0"/>
        </w:numPr>
        <w:snapToGrid w:val="0"/>
        <w:spacing w:line="300" w:lineRule="auto"/>
        <w:ind w:firstLine="420" w:firstLineChars="200"/>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1.1驾驶时不得吸烟、接打手机。</w:t>
      </w:r>
    </w:p>
    <w:p w14:paraId="74AA6032">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1.2供应商须制定车辆及驾驶员安全措施，安全培训记录。驾驶员安全由供应商负责，装、卸车现场服从现场工作人员指挥管理，有国家要求的相关证件。</w:t>
      </w:r>
    </w:p>
    <w:p w14:paraId="108A0518">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1.3能按照采购人要求在规定时间、地点把设备或货物放到目的地，并按时向采购人发出到货通知；保证设备或货物无短缺、无损坏、无人为变质，如有上述问题应对相应的损失承担赔偿责任。</w:t>
      </w:r>
    </w:p>
    <w:p w14:paraId="4DAC50D8">
      <w:pPr>
        <w:snapToGrid w:val="0"/>
        <w:spacing w:line="300" w:lineRule="auto"/>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1.4供应商驾驶员的食宿费应由供应商承担。</w:t>
      </w:r>
    </w:p>
    <w:p w14:paraId="3FA97792">
      <w:pPr>
        <w:numPr>
          <w:ilvl w:val="0"/>
          <w:numId w:val="0"/>
        </w:numPr>
        <w:snapToGrid w:val="0"/>
        <w:spacing w:line="300" w:lineRule="auto"/>
        <w:ind w:firstLine="420" w:firstLineChars="200"/>
        <w:rPr>
          <w:rFonts w:hint="eastAsia" w:cs="Times New Roman" w:asciiTheme="minorEastAsia" w:hAnsiTheme="minorEastAsia" w:eastAsiaTheme="minorEastAsia"/>
          <w:b/>
          <w:bCs/>
          <w:color w:val="auto"/>
          <w:kern w:val="2"/>
          <w:sz w:val="28"/>
          <w:szCs w:val="28"/>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1.5以上费用含高温补贴、夜班作业及节假日工作补助，每天按8小时计算。</w:t>
      </w:r>
    </w:p>
    <w:p w14:paraId="538BFD28">
      <w:pPr>
        <w:numPr>
          <w:ilvl w:val="0"/>
          <w:numId w:val="0"/>
        </w:numPr>
        <w:snapToGrid w:val="0"/>
        <w:spacing w:line="300" w:lineRule="auto"/>
        <w:rPr>
          <w:rFonts w:hint="eastAsia" w:cs="Times New Roman" w:asciiTheme="minorEastAsia" w:hAnsiTheme="minorEastAsia" w:eastAsiaTheme="minorEastAsia"/>
          <w:b/>
          <w:bCs/>
          <w:color w:val="auto"/>
          <w:kern w:val="2"/>
          <w:sz w:val="28"/>
          <w:szCs w:val="28"/>
          <w:highlight w:val="none"/>
          <w:lang w:val="en-US" w:eastAsia="zh-CN" w:bidi="ar-SA"/>
        </w:rPr>
      </w:pPr>
      <w:r>
        <w:rPr>
          <w:rFonts w:hint="eastAsia" w:cs="Times New Roman" w:asciiTheme="minorEastAsia" w:hAnsiTheme="minorEastAsia" w:eastAsiaTheme="minorEastAsia"/>
          <w:b/>
          <w:bCs/>
          <w:color w:val="auto"/>
          <w:kern w:val="2"/>
          <w:sz w:val="28"/>
          <w:szCs w:val="28"/>
          <w:highlight w:val="none"/>
          <w:lang w:val="en-US" w:eastAsia="zh-CN" w:bidi="ar-SA"/>
        </w:rPr>
        <w:t>四、验收要求</w:t>
      </w:r>
    </w:p>
    <w:p w14:paraId="2FCBF915">
      <w:pPr>
        <w:spacing w:before="156" w:beforeLines="50" w:after="156" w:afterLines="50" w:line="240" w:lineRule="atLeast"/>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按采购人的要求进行验收。交付资料包括但不限于向物资装卸及搬运的货物清单、双方确认的现场确认单等过程资料及归档资料。</w:t>
      </w:r>
    </w:p>
    <w:p w14:paraId="6241E551">
      <w:pPr>
        <w:spacing w:before="156" w:beforeLines="50" w:after="156" w:afterLines="50" w:line="240" w:lineRule="atLeast"/>
        <w:ind w:firstLine="420" w:firstLineChars="200"/>
        <w:rPr>
          <w:rFonts w:hint="eastAsia" w:cs="Times New Roman" w:asciiTheme="minorEastAsia" w:hAnsiTheme="minorEastAsia" w:eastAsiaTheme="minorEastAsia"/>
          <w:color w:val="auto"/>
          <w:kern w:val="2"/>
          <w:sz w:val="21"/>
          <w:szCs w:val="20"/>
          <w:highlight w:val="none"/>
          <w:lang w:val="en-US" w:eastAsia="zh-CN" w:bidi="ar-SA"/>
        </w:rPr>
      </w:pPr>
    </w:p>
    <w:p w14:paraId="257290D6">
      <w:pPr>
        <w:numPr>
          <w:ilvl w:val="0"/>
          <w:numId w:val="0"/>
        </w:numPr>
        <w:snapToGrid w:val="0"/>
        <w:spacing w:line="300" w:lineRule="auto"/>
        <w:rPr>
          <w:rFonts w:hint="eastAsia" w:cs="Times New Roman" w:asciiTheme="minorEastAsia" w:hAnsiTheme="minorEastAsia" w:eastAsiaTheme="minorEastAsia"/>
          <w:b/>
          <w:bCs/>
          <w:color w:val="auto"/>
          <w:kern w:val="2"/>
          <w:sz w:val="28"/>
          <w:szCs w:val="28"/>
          <w:highlight w:val="none"/>
          <w:lang w:val="en-US" w:eastAsia="zh-CN" w:bidi="ar-SA"/>
        </w:rPr>
      </w:pPr>
      <w:r>
        <w:rPr>
          <w:rFonts w:hint="eastAsia" w:cs="Times New Roman" w:asciiTheme="minorEastAsia" w:hAnsiTheme="minorEastAsia" w:eastAsiaTheme="minorEastAsia"/>
          <w:b/>
          <w:bCs/>
          <w:color w:val="auto"/>
          <w:kern w:val="2"/>
          <w:sz w:val="28"/>
          <w:szCs w:val="28"/>
          <w:highlight w:val="none"/>
          <w:lang w:val="en-US" w:eastAsia="zh-CN" w:bidi="ar-SA"/>
        </w:rPr>
        <w:t>人工搬运价格表</w:t>
      </w:r>
    </w:p>
    <w:tbl>
      <w:tblPr>
        <w:tblStyle w:val="7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4535"/>
        <w:gridCol w:w="1831"/>
        <w:gridCol w:w="1122"/>
      </w:tblGrid>
      <w:tr w14:paraId="438A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1034" w:type="dxa"/>
            <w:vAlign w:val="center"/>
          </w:tcPr>
          <w:p w14:paraId="1F0D0DD7">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序号</w:t>
            </w:r>
          </w:p>
        </w:tc>
        <w:tc>
          <w:tcPr>
            <w:tcW w:w="4535" w:type="dxa"/>
            <w:vAlign w:val="center"/>
          </w:tcPr>
          <w:p w14:paraId="526954F8">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服务范围</w:t>
            </w:r>
          </w:p>
        </w:tc>
        <w:tc>
          <w:tcPr>
            <w:tcW w:w="1831" w:type="dxa"/>
            <w:vAlign w:val="center"/>
          </w:tcPr>
          <w:p w14:paraId="073B52FB">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限价单价</w:t>
            </w:r>
          </w:p>
          <w:p w14:paraId="46EB4769">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（元/人/天）</w:t>
            </w:r>
          </w:p>
        </w:tc>
        <w:tc>
          <w:tcPr>
            <w:tcW w:w="1122" w:type="dxa"/>
            <w:vAlign w:val="center"/>
          </w:tcPr>
          <w:p w14:paraId="15A5109B">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备注</w:t>
            </w:r>
          </w:p>
        </w:tc>
      </w:tr>
      <w:tr w14:paraId="5008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034" w:type="dxa"/>
            <w:vAlign w:val="center"/>
          </w:tcPr>
          <w:p w14:paraId="6BA35882">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w:t>
            </w:r>
          </w:p>
        </w:tc>
        <w:tc>
          <w:tcPr>
            <w:tcW w:w="4535" w:type="dxa"/>
            <w:vAlign w:val="center"/>
          </w:tcPr>
          <w:p w14:paraId="44F6C55D">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szCs w:val="21"/>
                <w:highlight w:val="none"/>
                <w:lang w:val="en-US" w:eastAsia="zh-CN"/>
              </w:rPr>
              <w:t>黄石城区、黄石高新区、大冶地区</w:t>
            </w:r>
          </w:p>
        </w:tc>
        <w:tc>
          <w:tcPr>
            <w:tcW w:w="1831" w:type="dxa"/>
            <w:vAlign w:val="center"/>
          </w:tcPr>
          <w:p w14:paraId="0B589460">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280</w:t>
            </w:r>
          </w:p>
        </w:tc>
        <w:tc>
          <w:tcPr>
            <w:tcW w:w="1122" w:type="dxa"/>
            <w:vAlign w:val="center"/>
          </w:tcPr>
          <w:p w14:paraId="6B8AF53C">
            <w:pPr>
              <w:jc w:val="center"/>
              <w:rPr>
                <w:rFonts w:hint="eastAsia" w:cs="Times New Roman" w:asciiTheme="minorEastAsia" w:hAnsiTheme="minorEastAsia" w:eastAsiaTheme="minorEastAsia"/>
                <w:color w:val="auto"/>
                <w:kern w:val="2"/>
                <w:sz w:val="21"/>
                <w:szCs w:val="20"/>
                <w:highlight w:val="none"/>
                <w:lang w:val="en-US" w:eastAsia="zh-CN" w:bidi="ar-SA"/>
              </w:rPr>
            </w:pPr>
          </w:p>
        </w:tc>
      </w:tr>
    </w:tbl>
    <w:p w14:paraId="353CB54A">
      <w:pPr>
        <w:snapToGrid w:val="0"/>
        <w:spacing w:line="300" w:lineRule="auto"/>
        <w:rPr>
          <w:rFonts w:hint="eastAsia" w:asciiTheme="minorEastAsia" w:hAnsiTheme="minorEastAsia" w:cstheme="minorEastAsia"/>
          <w:b/>
          <w:bCs/>
          <w:sz w:val="28"/>
          <w:szCs w:val="28"/>
        </w:rPr>
      </w:pPr>
    </w:p>
    <w:p w14:paraId="75510BFA">
      <w:pPr>
        <w:snapToGrid w:val="0"/>
        <w:spacing w:line="300" w:lineRule="auto"/>
        <w:rPr>
          <w:rFonts w:hint="eastAsia" w:asciiTheme="minorEastAsia" w:hAnsiTheme="minorEastAsia" w:cstheme="minorEastAsia"/>
          <w:b/>
          <w:bCs/>
          <w:sz w:val="28"/>
          <w:szCs w:val="28"/>
        </w:rPr>
      </w:pPr>
    </w:p>
    <w:p w14:paraId="0766A1A3">
      <w:pPr>
        <w:numPr>
          <w:ilvl w:val="0"/>
          <w:numId w:val="0"/>
        </w:numPr>
        <w:snapToGrid w:val="0"/>
        <w:spacing w:line="300" w:lineRule="auto"/>
        <w:rPr>
          <w:rFonts w:hint="eastAsia" w:cs="Times New Roman" w:asciiTheme="minorEastAsia" w:hAnsiTheme="minorEastAsia" w:eastAsiaTheme="minorEastAsia"/>
          <w:b/>
          <w:bCs/>
          <w:color w:val="auto"/>
          <w:kern w:val="2"/>
          <w:sz w:val="28"/>
          <w:szCs w:val="28"/>
          <w:highlight w:val="none"/>
          <w:lang w:val="en-US" w:eastAsia="zh-CN" w:bidi="ar-SA"/>
        </w:rPr>
      </w:pPr>
      <w:r>
        <w:rPr>
          <w:rFonts w:hint="eastAsia" w:cs="Times New Roman" w:asciiTheme="minorEastAsia" w:hAnsiTheme="minorEastAsia" w:eastAsiaTheme="minorEastAsia"/>
          <w:b/>
          <w:bCs/>
          <w:color w:val="auto"/>
          <w:kern w:val="2"/>
          <w:sz w:val="28"/>
          <w:szCs w:val="28"/>
          <w:highlight w:val="none"/>
          <w:lang w:val="en-US" w:eastAsia="zh-CN" w:bidi="ar-SA"/>
        </w:rPr>
        <w:t>机械装卸价格表</w:t>
      </w:r>
    </w:p>
    <w:tbl>
      <w:tblPr>
        <w:tblStyle w:val="7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2356"/>
        <w:gridCol w:w="1411"/>
        <w:gridCol w:w="1998"/>
        <w:gridCol w:w="1705"/>
      </w:tblGrid>
      <w:tr w14:paraId="7BB65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vAlign w:val="center"/>
          </w:tcPr>
          <w:p w14:paraId="4EB7430E">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序号</w:t>
            </w:r>
          </w:p>
        </w:tc>
        <w:tc>
          <w:tcPr>
            <w:tcW w:w="2356" w:type="dxa"/>
            <w:vAlign w:val="center"/>
          </w:tcPr>
          <w:p w14:paraId="5A886D5B">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车辆</w:t>
            </w:r>
          </w:p>
        </w:tc>
        <w:tc>
          <w:tcPr>
            <w:tcW w:w="1411" w:type="dxa"/>
            <w:vAlign w:val="center"/>
          </w:tcPr>
          <w:p w14:paraId="1985EA3C">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规格</w:t>
            </w:r>
          </w:p>
        </w:tc>
        <w:tc>
          <w:tcPr>
            <w:tcW w:w="1998" w:type="dxa"/>
            <w:vAlign w:val="center"/>
          </w:tcPr>
          <w:p w14:paraId="4E61ACEA">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限价单价</w:t>
            </w:r>
          </w:p>
          <w:p w14:paraId="5413D3CF">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（元）台班</w:t>
            </w:r>
          </w:p>
        </w:tc>
        <w:tc>
          <w:tcPr>
            <w:tcW w:w="1705" w:type="dxa"/>
            <w:vAlign w:val="center"/>
          </w:tcPr>
          <w:p w14:paraId="34CC9336">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备注</w:t>
            </w:r>
          </w:p>
        </w:tc>
      </w:tr>
      <w:tr w14:paraId="3FC6B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1A936D75">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w:t>
            </w:r>
          </w:p>
        </w:tc>
        <w:tc>
          <w:tcPr>
            <w:tcW w:w="2356" w:type="dxa"/>
            <w:vMerge w:val="restart"/>
            <w:vAlign w:val="center"/>
          </w:tcPr>
          <w:p w14:paraId="4DD028E6">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吊车</w:t>
            </w:r>
          </w:p>
        </w:tc>
        <w:tc>
          <w:tcPr>
            <w:tcW w:w="1411" w:type="dxa"/>
            <w:vAlign w:val="center"/>
          </w:tcPr>
          <w:p w14:paraId="70A59F91">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8吨</w:t>
            </w:r>
          </w:p>
        </w:tc>
        <w:tc>
          <w:tcPr>
            <w:tcW w:w="1998" w:type="dxa"/>
            <w:vAlign w:val="center"/>
          </w:tcPr>
          <w:p w14:paraId="3AED2D15">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841</w:t>
            </w:r>
          </w:p>
        </w:tc>
        <w:tc>
          <w:tcPr>
            <w:tcW w:w="1705" w:type="dxa"/>
            <w:vAlign w:val="center"/>
          </w:tcPr>
          <w:p w14:paraId="31F97299">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4D4B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38802399">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2</w:t>
            </w:r>
          </w:p>
        </w:tc>
        <w:tc>
          <w:tcPr>
            <w:tcW w:w="2356" w:type="dxa"/>
            <w:vMerge w:val="continue"/>
            <w:vAlign w:val="center"/>
          </w:tcPr>
          <w:p w14:paraId="62D8DCE1">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7621E7D3">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12吨</w:t>
            </w:r>
          </w:p>
        </w:tc>
        <w:tc>
          <w:tcPr>
            <w:tcW w:w="1998" w:type="dxa"/>
            <w:vAlign w:val="center"/>
          </w:tcPr>
          <w:p w14:paraId="7A33321B">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1214</w:t>
            </w:r>
          </w:p>
        </w:tc>
        <w:tc>
          <w:tcPr>
            <w:tcW w:w="1705" w:type="dxa"/>
            <w:vAlign w:val="center"/>
          </w:tcPr>
          <w:p w14:paraId="5B1E4CA9">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452D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4F3A43C9">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3</w:t>
            </w:r>
          </w:p>
        </w:tc>
        <w:tc>
          <w:tcPr>
            <w:tcW w:w="2356" w:type="dxa"/>
            <w:vMerge w:val="continue"/>
            <w:vAlign w:val="center"/>
          </w:tcPr>
          <w:p w14:paraId="03168BA8">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777AD391">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16吨</w:t>
            </w:r>
          </w:p>
        </w:tc>
        <w:tc>
          <w:tcPr>
            <w:tcW w:w="1998" w:type="dxa"/>
            <w:vAlign w:val="center"/>
          </w:tcPr>
          <w:p w14:paraId="376143C4">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1681</w:t>
            </w:r>
          </w:p>
        </w:tc>
        <w:tc>
          <w:tcPr>
            <w:tcW w:w="1705" w:type="dxa"/>
            <w:vAlign w:val="center"/>
          </w:tcPr>
          <w:p w14:paraId="562A2FEC">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32AB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09E1141F">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4</w:t>
            </w:r>
          </w:p>
        </w:tc>
        <w:tc>
          <w:tcPr>
            <w:tcW w:w="2356" w:type="dxa"/>
            <w:vMerge w:val="continue"/>
            <w:vAlign w:val="center"/>
          </w:tcPr>
          <w:p w14:paraId="428B3825">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6CF9026E">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25吨</w:t>
            </w:r>
          </w:p>
        </w:tc>
        <w:tc>
          <w:tcPr>
            <w:tcW w:w="1998" w:type="dxa"/>
            <w:vAlign w:val="center"/>
          </w:tcPr>
          <w:p w14:paraId="374ED6C5">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2055</w:t>
            </w:r>
          </w:p>
        </w:tc>
        <w:tc>
          <w:tcPr>
            <w:tcW w:w="1705" w:type="dxa"/>
            <w:vAlign w:val="center"/>
          </w:tcPr>
          <w:p w14:paraId="398A8C08">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225F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2811FF21">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5</w:t>
            </w:r>
          </w:p>
        </w:tc>
        <w:tc>
          <w:tcPr>
            <w:tcW w:w="2356" w:type="dxa"/>
            <w:vMerge w:val="continue"/>
            <w:vAlign w:val="center"/>
          </w:tcPr>
          <w:p w14:paraId="6CBBC39D">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54E4A2A8">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30吨</w:t>
            </w:r>
          </w:p>
        </w:tc>
        <w:tc>
          <w:tcPr>
            <w:tcW w:w="1998" w:type="dxa"/>
            <w:vAlign w:val="center"/>
          </w:tcPr>
          <w:p w14:paraId="22576DA5">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2802</w:t>
            </w:r>
          </w:p>
        </w:tc>
        <w:tc>
          <w:tcPr>
            <w:tcW w:w="1705" w:type="dxa"/>
            <w:vAlign w:val="center"/>
          </w:tcPr>
          <w:p w14:paraId="42E4076E">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68E1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4C68151D">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6</w:t>
            </w:r>
          </w:p>
        </w:tc>
        <w:tc>
          <w:tcPr>
            <w:tcW w:w="2356" w:type="dxa"/>
            <w:vMerge w:val="continue"/>
            <w:vAlign w:val="center"/>
          </w:tcPr>
          <w:p w14:paraId="15D47750">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3147CD17">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50吨</w:t>
            </w:r>
          </w:p>
        </w:tc>
        <w:tc>
          <w:tcPr>
            <w:tcW w:w="1998" w:type="dxa"/>
            <w:vAlign w:val="center"/>
          </w:tcPr>
          <w:p w14:paraId="16800ED6">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4670</w:t>
            </w:r>
          </w:p>
        </w:tc>
        <w:tc>
          <w:tcPr>
            <w:tcW w:w="1705" w:type="dxa"/>
            <w:vAlign w:val="center"/>
          </w:tcPr>
          <w:p w14:paraId="7494863D">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22FE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2E15F65D">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7</w:t>
            </w:r>
          </w:p>
        </w:tc>
        <w:tc>
          <w:tcPr>
            <w:tcW w:w="2356" w:type="dxa"/>
            <w:vMerge w:val="continue"/>
            <w:vAlign w:val="center"/>
          </w:tcPr>
          <w:p w14:paraId="29C3C9E2">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32F79E4C">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100吨</w:t>
            </w:r>
          </w:p>
        </w:tc>
        <w:tc>
          <w:tcPr>
            <w:tcW w:w="1998" w:type="dxa"/>
            <w:vAlign w:val="center"/>
          </w:tcPr>
          <w:p w14:paraId="5B6067D5">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9340</w:t>
            </w:r>
          </w:p>
        </w:tc>
        <w:tc>
          <w:tcPr>
            <w:tcW w:w="1705" w:type="dxa"/>
            <w:vAlign w:val="center"/>
          </w:tcPr>
          <w:p w14:paraId="5D72723C">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26C8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191D6988">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8</w:t>
            </w:r>
          </w:p>
        </w:tc>
        <w:tc>
          <w:tcPr>
            <w:tcW w:w="2356" w:type="dxa"/>
            <w:vMerge w:val="restart"/>
            <w:vAlign w:val="center"/>
          </w:tcPr>
          <w:p w14:paraId="25108D98">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叉车</w:t>
            </w:r>
          </w:p>
        </w:tc>
        <w:tc>
          <w:tcPr>
            <w:tcW w:w="1411" w:type="dxa"/>
            <w:vAlign w:val="center"/>
          </w:tcPr>
          <w:p w14:paraId="6AC29F66">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3吨</w:t>
            </w:r>
          </w:p>
        </w:tc>
        <w:tc>
          <w:tcPr>
            <w:tcW w:w="1998" w:type="dxa"/>
            <w:vAlign w:val="center"/>
          </w:tcPr>
          <w:p w14:paraId="2C31F31C">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841</w:t>
            </w:r>
          </w:p>
        </w:tc>
        <w:tc>
          <w:tcPr>
            <w:tcW w:w="1705" w:type="dxa"/>
            <w:vAlign w:val="center"/>
          </w:tcPr>
          <w:p w14:paraId="6FFABBAB">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08BD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7E7F5B5E">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9</w:t>
            </w:r>
          </w:p>
        </w:tc>
        <w:tc>
          <w:tcPr>
            <w:tcW w:w="2356" w:type="dxa"/>
            <w:vMerge w:val="continue"/>
            <w:vAlign w:val="center"/>
          </w:tcPr>
          <w:p w14:paraId="63B3E8A5">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61295337">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5吨</w:t>
            </w:r>
          </w:p>
        </w:tc>
        <w:tc>
          <w:tcPr>
            <w:tcW w:w="1998" w:type="dxa"/>
            <w:vAlign w:val="center"/>
          </w:tcPr>
          <w:p w14:paraId="2CAE8F06">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1121</w:t>
            </w:r>
          </w:p>
        </w:tc>
        <w:tc>
          <w:tcPr>
            <w:tcW w:w="1705" w:type="dxa"/>
            <w:vAlign w:val="center"/>
          </w:tcPr>
          <w:p w14:paraId="6C9A8056">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r w14:paraId="71F1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52" w:type="dxa"/>
            <w:vAlign w:val="center"/>
          </w:tcPr>
          <w:p w14:paraId="68CA3992">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10</w:t>
            </w:r>
          </w:p>
        </w:tc>
        <w:tc>
          <w:tcPr>
            <w:tcW w:w="2356" w:type="dxa"/>
            <w:vMerge w:val="continue"/>
            <w:vAlign w:val="center"/>
          </w:tcPr>
          <w:p w14:paraId="50D78588">
            <w:pPr>
              <w:jc w:val="center"/>
              <w:rPr>
                <w:rFonts w:hint="eastAsia" w:cs="Times New Roman" w:asciiTheme="minorEastAsia" w:hAnsiTheme="minorEastAsia" w:eastAsiaTheme="minorEastAsia"/>
                <w:color w:val="auto"/>
                <w:kern w:val="2"/>
                <w:sz w:val="21"/>
                <w:szCs w:val="20"/>
                <w:highlight w:val="none"/>
                <w:lang w:val="en-US" w:eastAsia="zh-CN" w:bidi="ar-SA"/>
              </w:rPr>
            </w:pPr>
          </w:p>
        </w:tc>
        <w:tc>
          <w:tcPr>
            <w:tcW w:w="1411" w:type="dxa"/>
            <w:vAlign w:val="center"/>
          </w:tcPr>
          <w:p w14:paraId="0A32645C">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10吨</w:t>
            </w:r>
          </w:p>
        </w:tc>
        <w:tc>
          <w:tcPr>
            <w:tcW w:w="1998" w:type="dxa"/>
            <w:vAlign w:val="center"/>
          </w:tcPr>
          <w:p w14:paraId="324A28B9">
            <w:pPr>
              <w:jc w:val="center"/>
              <w:rPr>
                <w:rFonts w:hint="default"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1868</w:t>
            </w:r>
          </w:p>
        </w:tc>
        <w:tc>
          <w:tcPr>
            <w:tcW w:w="1705" w:type="dxa"/>
            <w:vAlign w:val="center"/>
          </w:tcPr>
          <w:p w14:paraId="748832D4">
            <w:pPr>
              <w:jc w:val="center"/>
              <w:rPr>
                <w:rFonts w:hint="eastAsia" w:cs="Times New Roman" w:asciiTheme="minorEastAsia" w:hAnsiTheme="minorEastAsia" w:eastAsiaTheme="minorEastAsia"/>
                <w:color w:val="auto"/>
                <w:kern w:val="2"/>
                <w:sz w:val="21"/>
                <w:szCs w:val="20"/>
                <w:highlight w:val="none"/>
                <w:lang w:val="en-US" w:eastAsia="zh-CN" w:bidi="ar-SA"/>
              </w:rPr>
            </w:pPr>
            <w:r>
              <w:rPr>
                <w:rFonts w:hint="eastAsia" w:cs="Times New Roman" w:asciiTheme="minorEastAsia" w:hAnsiTheme="minorEastAsia" w:eastAsiaTheme="minorEastAsia"/>
                <w:color w:val="auto"/>
                <w:kern w:val="2"/>
                <w:sz w:val="21"/>
                <w:szCs w:val="20"/>
                <w:highlight w:val="none"/>
                <w:lang w:val="en-US" w:eastAsia="zh-CN" w:bidi="ar-SA"/>
              </w:rPr>
              <w:t>含操作人员</w:t>
            </w:r>
          </w:p>
        </w:tc>
      </w:tr>
    </w:tbl>
    <w:p w14:paraId="27D2F7EB">
      <w:pPr>
        <w:spacing w:before="156" w:beforeLines="50" w:after="156" w:afterLines="50" w:line="240" w:lineRule="atLeas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每台班为八个小时。以上均为未税价。报价单价请按未税价格进行报价。正常工作日搬运工、叉车、吊车工作时间超过8小时后，每4小时按照1个台班计算、.如遇极端天气，搬运工、叉车、吊车工作时间超过8小时后，每4小时按照1.5个台班计算。</w:t>
      </w:r>
    </w:p>
    <w:p w14:paraId="3FB964C2">
      <w:pPr>
        <w:rPr>
          <w:rFonts w:hint="eastAsia"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br w:type="page"/>
      </w:r>
    </w:p>
    <w:p w14:paraId="5FF64881">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w:t>
      </w:r>
      <w:r>
        <w:rPr>
          <w:rFonts w:hint="eastAsia" w:cs="宋体" w:asciiTheme="minorEastAsia" w:hAnsiTheme="minorEastAsia" w:eastAsiaTheme="minorEastAsia"/>
          <w:b/>
          <w:bCs w:val="0"/>
          <w:color w:val="auto"/>
          <w:kern w:val="0"/>
          <w:sz w:val="28"/>
          <w:szCs w:val="28"/>
          <w:highlight w:val="none"/>
          <w:lang w:val="en-US" w:eastAsia="zh-CN"/>
        </w:rPr>
        <w:t>六</w:t>
      </w:r>
      <w:r>
        <w:rPr>
          <w:rFonts w:hint="eastAsia" w:cs="宋体" w:asciiTheme="minorEastAsia" w:hAnsiTheme="minorEastAsia" w:eastAsiaTheme="minorEastAsia"/>
          <w:b/>
          <w:bCs w:val="0"/>
          <w:color w:val="auto"/>
          <w:kern w:val="0"/>
          <w:sz w:val="28"/>
          <w:szCs w:val="28"/>
          <w:highlight w:val="none"/>
        </w:rPr>
        <w:t>章  响应文件格式</w:t>
      </w:r>
      <w:bookmarkEnd w:id="520"/>
      <w:bookmarkEnd w:id="521"/>
      <w:bookmarkEnd w:id="522"/>
      <w:bookmarkEnd w:id="523"/>
      <w:bookmarkEnd w:id="527"/>
      <w:bookmarkStart w:id="528" w:name="_Toc3300"/>
      <w:bookmarkStart w:id="529" w:name="_Toc139026961"/>
      <w:bookmarkStart w:id="530" w:name="_Toc38008076"/>
      <w:bookmarkStart w:id="531" w:name="_Toc21726"/>
      <w:bookmarkStart w:id="532" w:name="_Toc475472670"/>
      <w:bookmarkStart w:id="533" w:name="_Toc19470"/>
    </w:p>
    <w:p w14:paraId="268656F2">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534" w:name="_Toc18011"/>
      <w:r>
        <w:rPr>
          <w:rFonts w:hint="eastAsia" w:asciiTheme="minorEastAsia" w:hAnsiTheme="minorEastAsia" w:eastAsiaTheme="minorEastAsia"/>
          <w:color w:val="auto"/>
          <w:sz w:val="24"/>
          <w:szCs w:val="24"/>
          <w:highlight w:val="none"/>
        </w:rPr>
        <w:t>第一分册 商务响应文件</w:t>
      </w:r>
      <w:bookmarkEnd w:id="528"/>
      <w:bookmarkEnd w:id="529"/>
      <w:bookmarkEnd w:id="530"/>
      <w:bookmarkEnd w:id="531"/>
      <w:bookmarkEnd w:id="534"/>
    </w:p>
    <w:p w14:paraId="035E6560">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5" w:name="_Toc1927"/>
      <w:r>
        <w:rPr>
          <w:rFonts w:hint="eastAsia" w:asciiTheme="minorEastAsia" w:hAnsiTheme="minorEastAsia" w:eastAsiaTheme="minorEastAsia"/>
          <w:color w:val="auto"/>
          <w:sz w:val="24"/>
          <w:szCs w:val="24"/>
          <w:highlight w:val="none"/>
        </w:rPr>
        <w:t>商务响应文件封面</w:t>
      </w:r>
      <w:bookmarkEnd w:id="532"/>
      <w:bookmarkEnd w:id="533"/>
      <w:bookmarkEnd w:id="535"/>
    </w:p>
    <w:p w14:paraId="66511170">
      <w:pPr>
        <w:spacing w:after="120" w:line="360" w:lineRule="atLeast"/>
        <w:jc w:val="center"/>
        <w:rPr>
          <w:rFonts w:cs="宋体" w:asciiTheme="minorEastAsia" w:hAnsiTheme="minorEastAsia" w:eastAsiaTheme="minorEastAsia"/>
          <w:color w:val="auto"/>
          <w:sz w:val="32"/>
          <w:szCs w:val="32"/>
          <w:highlight w:val="none"/>
          <w:u w:val="single"/>
        </w:rPr>
      </w:pPr>
    </w:p>
    <w:p w14:paraId="297CA8C0">
      <w:pPr>
        <w:spacing w:after="120" w:line="360" w:lineRule="atLeast"/>
        <w:jc w:val="center"/>
        <w:rPr>
          <w:rFonts w:cs="宋体" w:asciiTheme="minorEastAsia" w:hAnsiTheme="minorEastAsia" w:eastAsiaTheme="minorEastAsia"/>
          <w:color w:val="auto"/>
          <w:sz w:val="32"/>
          <w:szCs w:val="32"/>
          <w:highlight w:val="none"/>
          <w:u w:val="single"/>
        </w:rPr>
      </w:pPr>
    </w:p>
    <w:p w14:paraId="77CDC747">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5FBF3727">
      <w:pPr>
        <w:jc w:val="center"/>
        <w:rPr>
          <w:rFonts w:cs="宋体" w:asciiTheme="minorEastAsia" w:hAnsiTheme="minorEastAsia" w:eastAsiaTheme="minorEastAsia"/>
          <w:color w:val="auto"/>
          <w:sz w:val="28"/>
          <w:szCs w:val="28"/>
          <w:highlight w:val="none"/>
        </w:rPr>
      </w:pPr>
    </w:p>
    <w:p w14:paraId="47333F08">
      <w:pPr>
        <w:jc w:val="center"/>
        <w:rPr>
          <w:rFonts w:cs="宋体" w:asciiTheme="minorEastAsia" w:hAnsiTheme="minorEastAsia" w:eastAsiaTheme="minorEastAsia"/>
          <w:color w:val="auto"/>
          <w:szCs w:val="21"/>
          <w:highlight w:val="none"/>
        </w:rPr>
      </w:pPr>
    </w:p>
    <w:p w14:paraId="31884BD7">
      <w:pPr>
        <w:jc w:val="center"/>
        <w:rPr>
          <w:rFonts w:cs="宋体" w:asciiTheme="minorEastAsia" w:hAnsiTheme="minorEastAsia" w:eastAsiaTheme="minorEastAsia"/>
          <w:color w:val="auto"/>
          <w:szCs w:val="21"/>
          <w:highlight w:val="none"/>
        </w:rPr>
      </w:pPr>
    </w:p>
    <w:p w14:paraId="2CF59AF3">
      <w:pPr>
        <w:jc w:val="center"/>
        <w:rPr>
          <w:rFonts w:cs="宋体" w:asciiTheme="minorEastAsia" w:hAnsiTheme="minorEastAsia" w:eastAsiaTheme="minorEastAsia"/>
          <w:color w:val="auto"/>
          <w:szCs w:val="21"/>
          <w:highlight w:val="none"/>
        </w:rPr>
      </w:pPr>
    </w:p>
    <w:p w14:paraId="4A3E488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响应文件【商务响应文件】部分</w:t>
      </w:r>
    </w:p>
    <w:p w14:paraId="3D9E4709">
      <w:pPr>
        <w:spacing w:after="120"/>
        <w:jc w:val="center"/>
        <w:rPr>
          <w:rFonts w:cs="宋体" w:asciiTheme="minorEastAsia" w:hAnsiTheme="minorEastAsia" w:eastAsiaTheme="minorEastAsia"/>
          <w:b/>
          <w:color w:val="auto"/>
          <w:sz w:val="32"/>
          <w:szCs w:val="32"/>
          <w:highlight w:val="none"/>
        </w:rPr>
      </w:pPr>
    </w:p>
    <w:p w14:paraId="3F18F62E">
      <w:pPr>
        <w:spacing w:after="120"/>
        <w:jc w:val="center"/>
        <w:rPr>
          <w:rFonts w:cs="宋体" w:asciiTheme="minorEastAsia" w:hAnsiTheme="minorEastAsia" w:eastAsiaTheme="minorEastAsia"/>
          <w:b/>
          <w:color w:val="auto"/>
          <w:sz w:val="32"/>
          <w:szCs w:val="32"/>
          <w:highlight w:val="none"/>
        </w:rPr>
      </w:pPr>
    </w:p>
    <w:p w14:paraId="6335AB3F">
      <w:pPr>
        <w:spacing w:after="120"/>
        <w:jc w:val="center"/>
        <w:rPr>
          <w:rFonts w:cs="宋体" w:asciiTheme="minorEastAsia" w:hAnsiTheme="minorEastAsia" w:eastAsiaTheme="minorEastAsia"/>
          <w:b/>
          <w:color w:val="auto"/>
          <w:sz w:val="32"/>
          <w:szCs w:val="32"/>
          <w:highlight w:val="none"/>
        </w:rPr>
      </w:pPr>
    </w:p>
    <w:p w14:paraId="5B4FF47B">
      <w:pPr>
        <w:spacing w:after="120"/>
        <w:jc w:val="center"/>
        <w:rPr>
          <w:rFonts w:cs="宋体" w:asciiTheme="minorEastAsia" w:hAnsiTheme="minorEastAsia" w:eastAsiaTheme="minorEastAsia"/>
          <w:b/>
          <w:color w:val="auto"/>
          <w:sz w:val="32"/>
          <w:szCs w:val="32"/>
          <w:highlight w:val="none"/>
        </w:rPr>
      </w:pPr>
    </w:p>
    <w:p w14:paraId="2CA92A17">
      <w:pPr>
        <w:spacing w:after="120"/>
        <w:jc w:val="center"/>
        <w:rPr>
          <w:rFonts w:cs="宋体" w:asciiTheme="minorEastAsia" w:hAnsiTheme="minorEastAsia" w:eastAsiaTheme="minorEastAsia"/>
          <w:b/>
          <w:color w:val="auto"/>
          <w:sz w:val="32"/>
          <w:szCs w:val="32"/>
          <w:highlight w:val="none"/>
        </w:rPr>
      </w:pPr>
    </w:p>
    <w:p w14:paraId="5AC0C075">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0D7CA701">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3DC884F2">
      <w:pPr>
        <w:adjustRightInd w:val="0"/>
        <w:snapToGrid w:val="0"/>
        <w:spacing w:line="440" w:lineRule="exact"/>
        <w:jc w:val="center"/>
        <w:rPr>
          <w:rFonts w:cs="宋体" w:asciiTheme="minorEastAsia" w:hAnsiTheme="minorEastAsia" w:eastAsiaTheme="minorEastAsia"/>
          <w:color w:val="auto"/>
          <w:sz w:val="24"/>
          <w:highlight w:val="none"/>
        </w:rPr>
      </w:pPr>
    </w:p>
    <w:p w14:paraId="1DBBEE3F">
      <w:pPr>
        <w:rPr>
          <w:color w:val="auto"/>
          <w:highlight w:val="none"/>
        </w:rPr>
      </w:pPr>
    </w:p>
    <w:p w14:paraId="19BACB35">
      <w:pPr>
        <w:rPr>
          <w:color w:val="auto"/>
          <w:highlight w:val="none"/>
        </w:rPr>
      </w:pPr>
    </w:p>
    <w:p w14:paraId="58096EA5">
      <w:pPr>
        <w:rPr>
          <w:color w:val="auto"/>
          <w:highlight w:val="none"/>
        </w:rPr>
      </w:pPr>
    </w:p>
    <w:p w14:paraId="1206C3CF">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498C6E31">
      <w:pPr>
        <w:pStyle w:val="101"/>
        <w:adjustRightInd w:val="0"/>
        <w:snapToGrid w:val="0"/>
        <w:spacing w:before="240" w:after="120" w:line="440" w:lineRule="exact"/>
        <w:rPr>
          <w:rFonts w:cs="宋体" w:asciiTheme="minorEastAsia" w:hAnsiTheme="minorEastAsia" w:eastAsiaTheme="minorEastAsia"/>
          <w:b/>
          <w:bCs w:val="0"/>
          <w:color w:val="auto"/>
          <w:kern w:val="0"/>
          <w:sz w:val="28"/>
          <w:szCs w:val="28"/>
          <w:highlight w:val="none"/>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3A801D21">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6" w:name="_Toc13218"/>
      <w:bookmarkStart w:id="537" w:name="_Toc29977"/>
      <w:bookmarkStart w:id="538" w:name="_Toc438052118"/>
      <w:bookmarkStart w:id="539" w:name="_Toc447265603"/>
      <w:bookmarkStart w:id="540" w:name="_Toc447265317"/>
      <w:r>
        <w:rPr>
          <w:rFonts w:hint="eastAsia" w:asciiTheme="minorEastAsia" w:hAnsiTheme="minorEastAsia" w:eastAsiaTheme="minorEastAsia"/>
          <w:color w:val="auto"/>
          <w:sz w:val="24"/>
          <w:szCs w:val="24"/>
          <w:highlight w:val="none"/>
        </w:rPr>
        <w:t>初步评审索引表</w:t>
      </w:r>
      <w:bookmarkEnd w:id="536"/>
      <w:bookmarkEnd w:id="537"/>
    </w:p>
    <w:p w14:paraId="3440BE9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初步评审索引表</w:t>
      </w:r>
    </w:p>
    <w:p w14:paraId="69207BCE">
      <w:pPr>
        <w:jc w:val="center"/>
        <w:rPr>
          <w:rFonts w:asciiTheme="minorEastAsia" w:hAnsiTheme="minorEastAsia" w:eastAsiaTheme="minorEastAsia"/>
          <w:b/>
          <w:color w:val="auto"/>
          <w:highlight w:val="none"/>
        </w:rPr>
      </w:pPr>
    </w:p>
    <w:p w14:paraId="726E9F50">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221"/>
        <w:gridCol w:w="1984"/>
        <w:gridCol w:w="1559"/>
        <w:gridCol w:w="1656"/>
      </w:tblGrid>
      <w:tr w14:paraId="0690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CA37F44">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221" w:type="dxa"/>
            <w:vAlign w:val="center"/>
          </w:tcPr>
          <w:p w14:paraId="5346A6C8">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4" w:type="dxa"/>
            <w:vAlign w:val="center"/>
          </w:tcPr>
          <w:p w14:paraId="33454F3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9" w:type="dxa"/>
            <w:vAlign w:val="center"/>
          </w:tcPr>
          <w:p w14:paraId="42A8E00E">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69765C47">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477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0FAA1B2">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2221" w:type="dxa"/>
            <w:vAlign w:val="center"/>
          </w:tcPr>
          <w:p w14:paraId="6612D4BA">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供应商名称</w:t>
            </w:r>
          </w:p>
        </w:tc>
        <w:tc>
          <w:tcPr>
            <w:tcW w:w="1984" w:type="dxa"/>
          </w:tcPr>
          <w:p w14:paraId="2792C9B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D5A4A3B">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DEA52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ACA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946E59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2221" w:type="dxa"/>
            <w:vAlign w:val="center"/>
          </w:tcPr>
          <w:p w14:paraId="3BE5E646">
            <w:pPr>
              <w:snapToGrid w:val="0"/>
              <w:spacing w:line="240" w:lineRule="auto"/>
              <w:jc w:val="center"/>
              <w:rPr>
                <w:rFonts w:hint="default" w:cs="宋体" w:asciiTheme="minorEastAsia" w:hAnsiTheme="minorEastAsia" w:eastAsiaTheme="minorEastAsia"/>
                <w:color w:val="auto"/>
                <w:kern w:val="0"/>
                <w:szCs w:val="21"/>
                <w:highlight w:val="none"/>
                <w:lang w:val="en-US" w:eastAsia="zh-CN"/>
              </w:rPr>
            </w:pPr>
            <w:r>
              <w:rPr>
                <w:rFonts w:hint="eastAsia" w:cs="宋体" w:asciiTheme="minorEastAsia" w:hAnsiTheme="minorEastAsia" w:eastAsiaTheme="minorEastAsia"/>
                <w:color w:val="auto"/>
                <w:kern w:val="0"/>
                <w:szCs w:val="21"/>
                <w:highlight w:val="none"/>
                <w:lang w:val="en-US" w:eastAsia="zh-CN"/>
              </w:rPr>
              <w:t>响应函</w:t>
            </w:r>
          </w:p>
        </w:tc>
        <w:tc>
          <w:tcPr>
            <w:tcW w:w="1984" w:type="dxa"/>
          </w:tcPr>
          <w:p w14:paraId="7CB12A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F3D4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3208A1A">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735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24B10F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2221" w:type="dxa"/>
            <w:vAlign w:val="center"/>
          </w:tcPr>
          <w:p w14:paraId="3F1543EE">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营业执照和资质证书</w:t>
            </w:r>
          </w:p>
        </w:tc>
        <w:tc>
          <w:tcPr>
            <w:tcW w:w="1984" w:type="dxa"/>
          </w:tcPr>
          <w:p w14:paraId="4F1DE581">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B9AF0E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2F5C219">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2F2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1026" w:type="dxa"/>
            <w:vAlign w:val="center"/>
          </w:tcPr>
          <w:p w14:paraId="03BD65F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2221" w:type="dxa"/>
            <w:vAlign w:val="center"/>
          </w:tcPr>
          <w:p w14:paraId="77999D75">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响应文件签字盖章</w:t>
            </w:r>
          </w:p>
        </w:tc>
        <w:tc>
          <w:tcPr>
            <w:tcW w:w="1984" w:type="dxa"/>
          </w:tcPr>
          <w:p w14:paraId="36BDE12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3522C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652B46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FCE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B82FD">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2221" w:type="dxa"/>
            <w:vAlign w:val="center"/>
          </w:tcPr>
          <w:p w14:paraId="180A57EA">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法定代表人授权书</w:t>
            </w:r>
          </w:p>
        </w:tc>
        <w:tc>
          <w:tcPr>
            <w:tcW w:w="1984" w:type="dxa"/>
          </w:tcPr>
          <w:p w14:paraId="7FF4224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55BC97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B163C7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64D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AC06CB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2221" w:type="dxa"/>
            <w:vAlign w:val="center"/>
          </w:tcPr>
          <w:p w14:paraId="3D5FD893">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响应文件格式</w:t>
            </w:r>
          </w:p>
        </w:tc>
        <w:tc>
          <w:tcPr>
            <w:tcW w:w="1984" w:type="dxa"/>
          </w:tcPr>
          <w:p w14:paraId="38F0A95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D2A209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88FF308">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037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4386B7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2221" w:type="dxa"/>
            <w:vAlign w:val="center"/>
          </w:tcPr>
          <w:p w14:paraId="11A86D27">
            <w:pPr>
              <w:snapToGrid w:val="0"/>
              <w:jc w:val="center"/>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基本资格要求</w:t>
            </w:r>
          </w:p>
        </w:tc>
        <w:tc>
          <w:tcPr>
            <w:tcW w:w="1984" w:type="dxa"/>
          </w:tcPr>
          <w:p w14:paraId="0A44C81E">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45F4257C">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47E4DA4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910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8C746A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2221" w:type="dxa"/>
            <w:vAlign w:val="center"/>
          </w:tcPr>
          <w:p w14:paraId="3670C499">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不得存在的情形</w:t>
            </w:r>
          </w:p>
        </w:tc>
        <w:tc>
          <w:tcPr>
            <w:tcW w:w="1984" w:type="dxa"/>
          </w:tcPr>
          <w:p w14:paraId="17467FA3">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76E1B7F7">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0C3EBB1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9EA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3FEFE1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2221" w:type="dxa"/>
            <w:vAlign w:val="center"/>
          </w:tcPr>
          <w:p w14:paraId="32F25A4C">
            <w:pPr>
              <w:snapToGrid w:val="0"/>
              <w:jc w:val="center"/>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报价唯一且有效</w:t>
            </w:r>
          </w:p>
        </w:tc>
        <w:tc>
          <w:tcPr>
            <w:tcW w:w="1984" w:type="dxa"/>
          </w:tcPr>
          <w:p w14:paraId="64436A8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A503EE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18C3C1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80E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AC1FC6A">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2221" w:type="dxa"/>
            <w:vAlign w:val="center"/>
          </w:tcPr>
          <w:p w14:paraId="7F344C8B">
            <w:pPr>
              <w:snapToGrid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异常</w:t>
            </w:r>
            <w:r>
              <w:rPr>
                <w:rFonts w:hint="eastAsia" w:cs="宋体" w:asciiTheme="minorEastAsia" w:hAnsiTheme="minorEastAsia" w:eastAsiaTheme="minorEastAsia"/>
                <w:color w:val="auto"/>
                <w:kern w:val="0"/>
                <w:szCs w:val="21"/>
                <w:highlight w:val="none"/>
                <w:lang w:val="en-US" w:eastAsia="zh-CN"/>
              </w:rPr>
              <w:t>响应</w:t>
            </w:r>
            <w:r>
              <w:rPr>
                <w:rFonts w:hint="eastAsia" w:cs="宋体" w:asciiTheme="minorEastAsia" w:hAnsiTheme="minorEastAsia" w:eastAsiaTheme="minorEastAsia"/>
                <w:color w:val="auto"/>
                <w:kern w:val="0"/>
                <w:szCs w:val="21"/>
                <w:highlight w:val="none"/>
              </w:rPr>
              <w:t>情形</w:t>
            </w:r>
          </w:p>
        </w:tc>
        <w:tc>
          <w:tcPr>
            <w:tcW w:w="1984" w:type="dxa"/>
          </w:tcPr>
          <w:p w14:paraId="665B92D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4D43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D68871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8787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8FA0F6">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2221" w:type="dxa"/>
            <w:vAlign w:val="center"/>
          </w:tcPr>
          <w:p w14:paraId="01C63574">
            <w:pPr>
              <w:snapToGrid w:val="0"/>
              <w:jc w:val="center"/>
              <w:rPr>
                <w:rFonts w:ascii="宋体" w:hAnsi="宋体" w:cs="宋体"/>
                <w:color w:val="auto"/>
                <w:szCs w:val="21"/>
                <w:highlight w:val="none"/>
              </w:rPr>
            </w:pPr>
            <w:r>
              <w:rPr>
                <w:rFonts w:hint="eastAsia" w:ascii="宋体" w:hAnsi="宋体" w:cs="宋体"/>
                <w:color w:val="auto"/>
                <w:szCs w:val="21"/>
                <w:highlight w:val="none"/>
              </w:rPr>
              <w:t>响应有效期</w:t>
            </w:r>
          </w:p>
        </w:tc>
        <w:tc>
          <w:tcPr>
            <w:tcW w:w="1984" w:type="dxa"/>
          </w:tcPr>
          <w:p w14:paraId="21945F76">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359A801">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3EBBA2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71D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8DBC1BE">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2221" w:type="dxa"/>
            <w:vAlign w:val="center"/>
          </w:tcPr>
          <w:p w14:paraId="1F2E0FB8">
            <w:pPr>
              <w:snapToGrid w:val="0"/>
              <w:jc w:val="center"/>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响应文件应答</w:t>
            </w:r>
          </w:p>
        </w:tc>
        <w:tc>
          <w:tcPr>
            <w:tcW w:w="1984" w:type="dxa"/>
          </w:tcPr>
          <w:p w14:paraId="1F17FB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F470CF3">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BDB0C8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553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EEE9AD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2221" w:type="dxa"/>
            <w:vAlign w:val="center"/>
          </w:tcPr>
          <w:p w14:paraId="45EDC677">
            <w:pPr>
              <w:snapToGrid w:val="0"/>
              <w:jc w:val="center"/>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其他</w:t>
            </w:r>
          </w:p>
        </w:tc>
        <w:tc>
          <w:tcPr>
            <w:tcW w:w="1984" w:type="dxa"/>
          </w:tcPr>
          <w:p w14:paraId="4357256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2CC7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C8BD60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2A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BD344C9">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14</w:t>
            </w:r>
          </w:p>
        </w:tc>
        <w:tc>
          <w:tcPr>
            <w:tcW w:w="2221" w:type="dxa"/>
            <w:vAlign w:val="center"/>
          </w:tcPr>
          <w:p w14:paraId="66ACBF14">
            <w:pPr>
              <w:snapToGrid w:val="0"/>
              <w:spacing w:line="240" w:lineRule="auto"/>
              <w:jc w:val="center"/>
              <w:rPr>
                <w:rFonts w:ascii="宋体" w:hAnsi="宋体" w:cs="宋体"/>
                <w:color w:val="auto"/>
                <w:szCs w:val="21"/>
                <w:highlight w:val="none"/>
              </w:rPr>
            </w:pPr>
          </w:p>
        </w:tc>
        <w:tc>
          <w:tcPr>
            <w:tcW w:w="1984" w:type="dxa"/>
          </w:tcPr>
          <w:p w14:paraId="31C5BAB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1EDD9F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0AD548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4D8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5D10EA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15</w:t>
            </w:r>
          </w:p>
        </w:tc>
        <w:tc>
          <w:tcPr>
            <w:tcW w:w="2221" w:type="dxa"/>
            <w:vAlign w:val="center"/>
          </w:tcPr>
          <w:p w14:paraId="0A54BDE1">
            <w:pPr>
              <w:snapToGrid w:val="0"/>
              <w:spacing w:line="240" w:lineRule="auto"/>
              <w:jc w:val="center"/>
              <w:rPr>
                <w:rFonts w:ascii="宋体" w:hAnsi="宋体" w:cs="宋体"/>
                <w:color w:val="auto"/>
                <w:szCs w:val="21"/>
                <w:highlight w:val="none"/>
              </w:rPr>
            </w:pPr>
          </w:p>
        </w:tc>
        <w:tc>
          <w:tcPr>
            <w:tcW w:w="1984" w:type="dxa"/>
          </w:tcPr>
          <w:p w14:paraId="0CDF2A4B">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7DB6129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F7E1D3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bl>
    <w:p w14:paraId="2F98E796">
      <w:pPr>
        <w:widowControl/>
        <w:jc w:val="left"/>
        <w:rPr>
          <w:rFonts w:asciiTheme="minorEastAsia" w:hAnsiTheme="minorEastAsia" w:eastAsiaTheme="minorEastAsia"/>
          <w:b/>
          <w:bCs/>
          <w:color w:val="auto"/>
          <w:sz w:val="24"/>
          <w:highlight w:val="none"/>
        </w:rPr>
      </w:pPr>
    </w:p>
    <w:p w14:paraId="08E54AD7">
      <w:pPr>
        <w:widowControl/>
        <w:jc w:val="left"/>
        <w:rPr>
          <w:rFonts w:asciiTheme="minorEastAsia" w:hAnsiTheme="minorEastAsia" w:eastAsiaTheme="minorEastAsia"/>
          <w:b/>
          <w:bCs/>
          <w:color w:val="auto"/>
          <w:sz w:val="24"/>
          <w:highlight w:val="none"/>
        </w:rPr>
      </w:pPr>
    </w:p>
    <w:p w14:paraId="03D1F666">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0E898635">
      <w:pPr>
        <w:widowControl/>
        <w:jc w:val="left"/>
        <w:rPr>
          <w:rFonts w:asciiTheme="minorEastAsia" w:hAnsiTheme="minorEastAsia" w:eastAsiaTheme="minorEastAsia"/>
          <w:b/>
          <w:bCs/>
          <w:color w:val="auto"/>
          <w:sz w:val="24"/>
          <w:highlight w:val="none"/>
        </w:rPr>
      </w:pPr>
    </w:p>
    <w:p w14:paraId="1813228E">
      <w:pPr>
        <w:widowControl/>
        <w:jc w:val="left"/>
        <w:rPr>
          <w:rFonts w:asciiTheme="minorEastAsia" w:hAnsiTheme="minorEastAsia" w:eastAsiaTheme="minorEastAsia"/>
          <w:b/>
          <w:bCs/>
          <w:color w:val="auto"/>
          <w:sz w:val="24"/>
          <w:highlight w:val="none"/>
        </w:rPr>
      </w:pPr>
      <w:r>
        <w:rPr>
          <w:rFonts w:asciiTheme="minorEastAsia" w:hAnsiTheme="minorEastAsia" w:eastAsiaTheme="minorEastAsia"/>
          <w:color w:val="auto"/>
          <w:sz w:val="24"/>
          <w:highlight w:val="none"/>
        </w:rPr>
        <w:br w:type="page"/>
      </w:r>
    </w:p>
    <w:p w14:paraId="5061E40D">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1" w:name="_Toc20888"/>
      <w:bookmarkStart w:id="542" w:name="_Toc19737"/>
      <w:r>
        <w:rPr>
          <w:rFonts w:hint="eastAsia" w:asciiTheme="minorEastAsia" w:hAnsiTheme="minorEastAsia" w:eastAsiaTheme="minorEastAsia"/>
          <w:color w:val="auto"/>
          <w:sz w:val="24"/>
          <w:szCs w:val="24"/>
          <w:highlight w:val="none"/>
        </w:rPr>
        <w:t>商务评审索引表</w:t>
      </w:r>
      <w:bookmarkEnd w:id="541"/>
      <w:bookmarkEnd w:id="542"/>
    </w:p>
    <w:p w14:paraId="4F90C861">
      <w:pPr>
        <w:rPr>
          <w:rFonts w:asciiTheme="minorEastAsia" w:hAnsiTheme="minorEastAsia" w:eastAsiaTheme="minorEastAsia"/>
          <w:color w:val="auto"/>
          <w:highlight w:val="none"/>
        </w:rPr>
      </w:pPr>
    </w:p>
    <w:p w14:paraId="6E293778">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商务评审索引表</w:t>
      </w:r>
    </w:p>
    <w:p w14:paraId="77BA3252">
      <w:pPr>
        <w:jc w:val="center"/>
        <w:rPr>
          <w:rFonts w:asciiTheme="minorEastAsia" w:hAnsiTheme="minorEastAsia" w:eastAsiaTheme="minorEastAsia"/>
          <w:b/>
          <w:color w:val="auto"/>
          <w:highlight w:val="none"/>
        </w:rPr>
      </w:pPr>
    </w:p>
    <w:p w14:paraId="563584B1">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795"/>
        <w:gridCol w:w="1985"/>
        <w:gridCol w:w="1984"/>
        <w:gridCol w:w="1656"/>
      </w:tblGrid>
      <w:tr w14:paraId="3CD8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87037D">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1795" w:type="dxa"/>
            <w:vAlign w:val="center"/>
          </w:tcPr>
          <w:p w14:paraId="76891CA9">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5" w:type="dxa"/>
            <w:vAlign w:val="center"/>
          </w:tcPr>
          <w:p w14:paraId="39E877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984" w:type="dxa"/>
            <w:vAlign w:val="center"/>
          </w:tcPr>
          <w:p w14:paraId="64AFA2B3">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584B5C0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7C24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31C0FDB">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1795" w:type="dxa"/>
            <w:vAlign w:val="center"/>
          </w:tcPr>
          <w:p w14:paraId="3BCCCF8D">
            <w:pPr>
              <w:tabs>
                <w:tab w:val="left" w:pos="720"/>
              </w:tabs>
              <w:spacing w:line="360" w:lineRule="auto"/>
              <w:jc w:val="center"/>
              <w:rPr>
                <w:rFonts w:hint="default" w:ascii="宋体" w:hAnsi="宋体" w:eastAsia="宋体" w:cs="宋体"/>
                <w:color w:val="auto"/>
                <w:kern w:val="0"/>
                <w:sz w:val="22"/>
                <w:szCs w:val="22"/>
                <w:highlight w:val="none"/>
                <w:lang w:val="en-US" w:eastAsia="zh-CN" w:bidi="ar"/>
              </w:rPr>
            </w:pPr>
            <w:r>
              <w:rPr>
                <w:rFonts w:hint="eastAsia" w:asciiTheme="minorEastAsia" w:hAnsiTheme="minorEastAsia" w:eastAsiaTheme="minorEastAsia"/>
                <w:color w:val="auto"/>
                <w:szCs w:val="21"/>
                <w:highlight w:val="none"/>
              </w:rPr>
              <w:t>……</w:t>
            </w:r>
          </w:p>
        </w:tc>
        <w:tc>
          <w:tcPr>
            <w:tcW w:w="1985" w:type="dxa"/>
          </w:tcPr>
          <w:p w14:paraId="6C50846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285A5B1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7681E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916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57BC32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795" w:type="dxa"/>
            <w:vAlign w:val="center"/>
          </w:tcPr>
          <w:p w14:paraId="13932F22">
            <w:pPr>
              <w:tabs>
                <w:tab w:val="left" w:pos="720"/>
              </w:tabs>
              <w:spacing w:line="360" w:lineRule="auto"/>
              <w:jc w:val="center"/>
              <w:rPr>
                <w:rFonts w:ascii="宋体" w:hAnsi="宋体" w:cs="宋体"/>
                <w:color w:val="auto"/>
                <w:kern w:val="0"/>
                <w:sz w:val="22"/>
                <w:szCs w:val="22"/>
                <w:highlight w:val="none"/>
                <w:lang w:bidi="ar"/>
              </w:rPr>
            </w:pPr>
            <w:r>
              <w:rPr>
                <w:rFonts w:hint="eastAsia" w:asciiTheme="minorEastAsia" w:hAnsiTheme="minorEastAsia" w:eastAsiaTheme="minorEastAsia"/>
                <w:color w:val="auto"/>
                <w:szCs w:val="21"/>
                <w:highlight w:val="none"/>
              </w:rPr>
              <w:t>……</w:t>
            </w:r>
          </w:p>
        </w:tc>
        <w:tc>
          <w:tcPr>
            <w:tcW w:w="1985" w:type="dxa"/>
          </w:tcPr>
          <w:p w14:paraId="7A7BCCD6">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5DCFBD52">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F632AC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B0E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D0EA704">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1795" w:type="dxa"/>
            <w:vAlign w:val="center"/>
          </w:tcPr>
          <w:p w14:paraId="48835461">
            <w:pPr>
              <w:jc w:val="center"/>
              <w:rPr>
                <w:rFonts w:ascii="宋体" w:hAnsi="宋体" w:cs="宋体"/>
                <w:color w:val="auto"/>
                <w:kern w:val="0"/>
                <w:sz w:val="22"/>
                <w:szCs w:val="22"/>
                <w:highlight w:val="none"/>
                <w:lang w:bidi="ar"/>
              </w:rPr>
            </w:pPr>
          </w:p>
        </w:tc>
        <w:tc>
          <w:tcPr>
            <w:tcW w:w="1985" w:type="dxa"/>
          </w:tcPr>
          <w:p w14:paraId="20FDBFB4">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40C1ADD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59759B4">
            <w:pPr>
              <w:tabs>
                <w:tab w:val="left" w:pos="720"/>
              </w:tabs>
              <w:spacing w:line="360" w:lineRule="auto"/>
              <w:jc w:val="center"/>
              <w:rPr>
                <w:rFonts w:asciiTheme="minorEastAsia" w:hAnsiTheme="minorEastAsia" w:eastAsiaTheme="minorEastAsia"/>
                <w:color w:val="auto"/>
                <w:szCs w:val="21"/>
                <w:highlight w:val="none"/>
              </w:rPr>
            </w:pPr>
          </w:p>
        </w:tc>
      </w:tr>
      <w:tr w14:paraId="164D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0945221">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p>
        </w:tc>
        <w:tc>
          <w:tcPr>
            <w:tcW w:w="1795" w:type="dxa"/>
            <w:vAlign w:val="center"/>
          </w:tcPr>
          <w:p w14:paraId="0E45DA78">
            <w:pPr>
              <w:spacing w:line="360" w:lineRule="auto"/>
              <w:jc w:val="center"/>
              <w:rPr>
                <w:rFonts w:asciiTheme="minorEastAsia" w:hAnsiTheme="minorEastAsia" w:eastAsiaTheme="minorEastAsia"/>
                <w:color w:val="auto"/>
                <w:szCs w:val="21"/>
                <w:highlight w:val="none"/>
              </w:rPr>
            </w:pPr>
          </w:p>
        </w:tc>
        <w:tc>
          <w:tcPr>
            <w:tcW w:w="1985" w:type="dxa"/>
          </w:tcPr>
          <w:p w14:paraId="09044FEF">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904200F">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6032DC70">
            <w:pPr>
              <w:tabs>
                <w:tab w:val="left" w:pos="720"/>
              </w:tabs>
              <w:spacing w:line="360" w:lineRule="auto"/>
              <w:jc w:val="center"/>
              <w:rPr>
                <w:rFonts w:asciiTheme="minorEastAsia" w:hAnsiTheme="minorEastAsia" w:eastAsiaTheme="minorEastAsia"/>
                <w:color w:val="auto"/>
                <w:szCs w:val="21"/>
                <w:highlight w:val="none"/>
              </w:rPr>
            </w:pPr>
          </w:p>
        </w:tc>
      </w:tr>
      <w:tr w14:paraId="7EA9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4AA97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AF8B087">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DC70EC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AA28E0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1C3D0EB">
            <w:pPr>
              <w:tabs>
                <w:tab w:val="left" w:pos="720"/>
              </w:tabs>
              <w:spacing w:line="360" w:lineRule="auto"/>
              <w:jc w:val="center"/>
              <w:rPr>
                <w:rFonts w:asciiTheme="minorEastAsia" w:hAnsiTheme="minorEastAsia" w:eastAsiaTheme="minorEastAsia"/>
                <w:color w:val="auto"/>
                <w:szCs w:val="21"/>
                <w:highlight w:val="none"/>
              </w:rPr>
            </w:pPr>
          </w:p>
        </w:tc>
      </w:tr>
      <w:tr w14:paraId="7633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1FDAD9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BCE8583">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592046B8">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E3EC51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187CB8C">
            <w:pPr>
              <w:tabs>
                <w:tab w:val="left" w:pos="720"/>
              </w:tabs>
              <w:spacing w:line="360" w:lineRule="auto"/>
              <w:jc w:val="center"/>
              <w:rPr>
                <w:rFonts w:asciiTheme="minorEastAsia" w:hAnsiTheme="minorEastAsia" w:eastAsiaTheme="minorEastAsia"/>
                <w:color w:val="auto"/>
                <w:szCs w:val="21"/>
                <w:highlight w:val="none"/>
              </w:rPr>
            </w:pPr>
          </w:p>
        </w:tc>
      </w:tr>
      <w:tr w14:paraId="24F0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B998424">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0DD47680">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22080D0">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21CE56A9">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5D3E5D1">
            <w:pPr>
              <w:tabs>
                <w:tab w:val="left" w:pos="720"/>
              </w:tabs>
              <w:spacing w:line="360" w:lineRule="auto"/>
              <w:ind w:left="420"/>
              <w:jc w:val="center"/>
              <w:rPr>
                <w:rFonts w:asciiTheme="minorEastAsia" w:hAnsiTheme="minorEastAsia" w:eastAsiaTheme="minorEastAsia"/>
                <w:color w:val="auto"/>
                <w:szCs w:val="21"/>
                <w:highlight w:val="none"/>
              </w:rPr>
            </w:pPr>
          </w:p>
        </w:tc>
      </w:tr>
      <w:tr w14:paraId="6265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1026" w:type="dxa"/>
            <w:vAlign w:val="center"/>
          </w:tcPr>
          <w:p w14:paraId="7B78A32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6E5219D9">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7761B227">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3CB55E5A">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CCA67F9">
            <w:pPr>
              <w:tabs>
                <w:tab w:val="left" w:pos="720"/>
              </w:tabs>
              <w:spacing w:line="360" w:lineRule="auto"/>
              <w:jc w:val="center"/>
              <w:rPr>
                <w:rFonts w:asciiTheme="minorEastAsia" w:hAnsiTheme="minorEastAsia" w:eastAsiaTheme="minorEastAsia"/>
                <w:color w:val="auto"/>
                <w:szCs w:val="21"/>
                <w:highlight w:val="none"/>
              </w:rPr>
            </w:pPr>
          </w:p>
        </w:tc>
      </w:tr>
      <w:tr w14:paraId="0AB0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B864126">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7FB96146">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2DA82EE">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729C1257">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49222AC">
            <w:pPr>
              <w:tabs>
                <w:tab w:val="left" w:pos="720"/>
              </w:tabs>
              <w:spacing w:line="360" w:lineRule="auto"/>
              <w:jc w:val="center"/>
              <w:rPr>
                <w:rFonts w:asciiTheme="minorEastAsia" w:hAnsiTheme="minorEastAsia" w:eastAsiaTheme="minorEastAsia"/>
                <w:color w:val="auto"/>
                <w:szCs w:val="21"/>
                <w:highlight w:val="none"/>
              </w:rPr>
            </w:pPr>
          </w:p>
        </w:tc>
      </w:tr>
      <w:tr w14:paraId="3B5C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EB4FE07">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4FD302D">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3A8C261A">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2E0F2C0">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7E22716">
            <w:pPr>
              <w:tabs>
                <w:tab w:val="left" w:pos="720"/>
              </w:tabs>
              <w:spacing w:line="360" w:lineRule="auto"/>
              <w:jc w:val="center"/>
              <w:rPr>
                <w:rFonts w:asciiTheme="minorEastAsia" w:hAnsiTheme="minorEastAsia" w:eastAsiaTheme="minorEastAsia"/>
                <w:color w:val="auto"/>
                <w:szCs w:val="21"/>
                <w:highlight w:val="none"/>
              </w:rPr>
            </w:pPr>
          </w:p>
        </w:tc>
      </w:tr>
      <w:tr w14:paraId="032E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75616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C30CF78">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C911D7C">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FA1D75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4876B98">
            <w:pPr>
              <w:tabs>
                <w:tab w:val="left" w:pos="720"/>
              </w:tabs>
              <w:spacing w:line="360" w:lineRule="auto"/>
              <w:jc w:val="center"/>
              <w:rPr>
                <w:rFonts w:asciiTheme="minorEastAsia" w:hAnsiTheme="minorEastAsia" w:eastAsiaTheme="minorEastAsia"/>
                <w:color w:val="auto"/>
                <w:szCs w:val="21"/>
                <w:highlight w:val="none"/>
              </w:rPr>
            </w:pPr>
          </w:p>
        </w:tc>
      </w:tr>
      <w:bookmarkEnd w:id="538"/>
      <w:bookmarkEnd w:id="539"/>
      <w:bookmarkEnd w:id="540"/>
    </w:tbl>
    <w:p w14:paraId="6501F725">
      <w:pPr>
        <w:rPr>
          <w:color w:val="auto"/>
          <w:highlight w:val="none"/>
        </w:rPr>
      </w:pPr>
    </w:p>
    <w:p w14:paraId="375BB850">
      <w:pPr>
        <w:rPr>
          <w:color w:val="auto"/>
          <w:highlight w:val="none"/>
        </w:rPr>
      </w:pPr>
    </w:p>
    <w:p w14:paraId="509E2518">
      <w:pPr>
        <w:rPr>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A5B80AD">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3" w:name="_Toc14540"/>
      <w:bookmarkStart w:id="544" w:name="_Toc488002677"/>
      <w:bookmarkStart w:id="545" w:name="_Toc25384"/>
      <w:bookmarkStart w:id="546" w:name="_Toc475891555"/>
      <w:bookmarkStart w:id="547" w:name="_Toc476245699"/>
      <w:bookmarkStart w:id="548" w:name="_Toc475472672"/>
      <w:bookmarkStart w:id="549" w:name="_Toc438052120"/>
      <w:r>
        <w:rPr>
          <w:rFonts w:hint="eastAsia" w:asciiTheme="minorEastAsia" w:hAnsiTheme="minorEastAsia" w:eastAsiaTheme="minorEastAsia"/>
          <w:color w:val="auto"/>
          <w:sz w:val="24"/>
          <w:szCs w:val="24"/>
          <w:highlight w:val="none"/>
        </w:rPr>
        <w:t>专用印章授权</w:t>
      </w:r>
      <w:r>
        <w:rPr>
          <w:rFonts w:hint="eastAsia" w:cs="Times New Roman" w:asciiTheme="minorEastAsia" w:hAnsiTheme="minorEastAsia" w:eastAsiaTheme="minorEastAsia"/>
          <w:color w:val="auto"/>
          <w:sz w:val="24"/>
          <w:szCs w:val="24"/>
          <w:highlight w:val="none"/>
        </w:rPr>
        <w:t>函（如有）</w:t>
      </w:r>
      <w:bookmarkEnd w:id="543"/>
      <w:bookmarkEnd w:id="544"/>
      <w:bookmarkEnd w:id="545"/>
    </w:p>
    <w:bookmarkEnd w:id="546"/>
    <w:bookmarkEnd w:id="547"/>
    <w:p w14:paraId="409C53A8">
      <w:pPr>
        <w:spacing w:line="400" w:lineRule="exact"/>
        <w:jc w:val="center"/>
        <w:rPr>
          <w:rFonts w:asciiTheme="minorEastAsia" w:hAnsiTheme="minorEastAsia" w:eastAsiaTheme="minorEastAsia"/>
          <w:b/>
          <w:color w:val="auto"/>
          <w:sz w:val="24"/>
          <w:highlight w:val="none"/>
        </w:rPr>
      </w:pPr>
    </w:p>
    <w:p w14:paraId="5214D269">
      <w:pPr>
        <w:spacing w:line="40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专用印章授权函</w:t>
      </w:r>
    </w:p>
    <w:p w14:paraId="3073007F">
      <w:pPr>
        <w:spacing w:line="400" w:lineRule="exact"/>
        <w:jc w:val="center"/>
        <w:rPr>
          <w:rFonts w:asciiTheme="minorEastAsia" w:hAnsiTheme="minorEastAsia" w:eastAsiaTheme="minorEastAsia"/>
          <w:color w:val="auto"/>
          <w:szCs w:val="21"/>
          <w:highlight w:val="none"/>
          <w:u w:val="single"/>
        </w:rPr>
      </w:pPr>
    </w:p>
    <w:p w14:paraId="6E591511">
      <w:pPr>
        <w:spacing w:line="360" w:lineRule="auto"/>
        <w:rPr>
          <w:rFonts w:asciiTheme="minorEastAsia" w:hAnsiTheme="minorEastAsia" w:eastAsiaTheme="minorEastAsia"/>
          <w:color w:val="auto"/>
          <w:sz w:val="24"/>
          <w:highlight w:val="none"/>
        </w:rPr>
      </w:pPr>
    </w:p>
    <w:p w14:paraId="0B0A2F0E">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我单位特授权在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（询比项目名称）</w:t>
      </w:r>
      <w:r>
        <w:rPr>
          <w:rFonts w:hint="eastAsia" w:asciiTheme="minorEastAsia" w:hAnsiTheme="minorEastAsia" w:eastAsiaTheme="minorEastAsia"/>
          <w:color w:val="auto"/>
          <w:szCs w:val="21"/>
          <w:highlight w:val="none"/>
        </w:rPr>
        <w:t>的询比活动中使用“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与我公司公章具有同等法律效力。因使用“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”所引起的法律后果由我单位承担。</w:t>
      </w:r>
    </w:p>
    <w:p w14:paraId="3C4863CD">
      <w:pPr>
        <w:spacing w:line="360" w:lineRule="auto"/>
        <w:ind w:firstLine="420" w:firstLineChars="200"/>
        <w:jc w:val="left"/>
        <w:rPr>
          <w:rFonts w:asciiTheme="minorEastAsia" w:hAnsiTheme="minorEastAsia" w:eastAsiaTheme="minorEastAsia"/>
          <w:color w:val="auto"/>
          <w:szCs w:val="21"/>
          <w:highlight w:val="none"/>
        </w:rPr>
      </w:pPr>
    </w:p>
    <w:p w14:paraId="58A85C04">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特此证明。</w:t>
      </w:r>
    </w:p>
    <w:p w14:paraId="1DE53B42">
      <w:pPr>
        <w:ind w:firstLine="422" w:firstLineChars="200"/>
        <w:rPr>
          <w:rFonts w:asciiTheme="minorEastAsia" w:hAnsiTheme="minorEastAsia" w:eastAsiaTheme="minorEastAsia"/>
          <w:b/>
          <w:color w:val="auto"/>
          <w:szCs w:val="21"/>
          <w:highlight w:val="none"/>
        </w:rPr>
      </w:pPr>
    </w:p>
    <w:p w14:paraId="4F48BD62">
      <w:pPr>
        <w:ind w:firstLine="422" w:firstLineChars="200"/>
        <w:rPr>
          <w:rFonts w:asciiTheme="minorEastAsia" w:hAnsiTheme="minorEastAsia" w:eastAsiaTheme="minorEastAsia"/>
          <w:b/>
          <w:color w:val="auto"/>
          <w:szCs w:val="21"/>
          <w:highlight w:val="none"/>
        </w:rPr>
      </w:pPr>
    </w:p>
    <w:p w14:paraId="0399C09B">
      <w:pPr>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被授权印章：                            </w:t>
      </w:r>
    </w:p>
    <w:p w14:paraId="3885A5E7">
      <w:pPr>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209550</wp:posOffset>
                </wp:positionH>
                <wp:positionV relativeFrom="paragraph">
                  <wp:posOffset>89535</wp:posOffset>
                </wp:positionV>
                <wp:extent cx="2339975" cy="2339975"/>
                <wp:effectExtent l="0" t="0" r="22225" b="22225"/>
                <wp:wrapNone/>
                <wp:docPr id="17" name="矩形 2"/>
                <wp:cNvGraphicFramePr/>
                <a:graphic xmlns:a="http://schemas.openxmlformats.org/drawingml/2006/main">
                  <a:graphicData uri="http://schemas.microsoft.com/office/word/2010/wordprocessingShape">
                    <wps:wsp>
                      <wps:cNvSpPr>
                        <a:spLocks noChangeArrowheads="1"/>
                      </wps:cNvSpPr>
                      <wps:spPr bwMode="auto">
                        <a:xfrm>
                          <a:off x="0" y="0"/>
                          <a:ext cx="2339975" cy="2339975"/>
                        </a:xfrm>
                        <a:prstGeom prst="rect">
                          <a:avLst/>
                        </a:prstGeom>
                        <a:solidFill>
                          <a:srgbClr val="FFFFFF"/>
                        </a:solidFill>
                        <a:ln w="9525">
                          <a:solidFill>
                            <a:srgbClr val="000000"/>
                          </a:solidFill>
                          <a:miter lim="800000"/>
                        </a:ln>
                      </wps:spPr>
                      <wps:txbx>
                        <w:txbxContent>
                          <w:p w14:paraId="023482DA">
                            <w:r>
                              <w:rPr>
                                <w:rFonts w:hint="eastAsia"/>
                              </w:rPr>
                              <w:t>（在此盖章）</w:t>
                            </w: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16.5pt;margin-top:7.05pt;height:184.25pt;width:184.25pt;z-index:251663360;mso-width-relative:page;mso-height-relative:page;" fillcolor="#FFFFFF" filled="t" stroked="t" coordsize="21600,21600" o:gfxdata="UEsDBAoAAAAAAIdO4kAAAAAAAAAAAAAAAAAEAAAAZHJzL1BLAwQUAAAACACHTuJAygMHGdcAAAAJ&#10;AQAADwAAAGRycy9kb3ducmV2LnhtbE2PwU7DMAyG70i8Q2QkbixpO6ZRmu4AGhLHrbtwc5vQFhqn&#10;atKt8PSYExztz/r9/cVucYM42yn0njQkKwXCUuNNT62GU7W/24IIEcng4Mlq+LIBduX1VYG58Rc6&#10;2PMxtoJDKOSooYtxzKUMTWcdhpUfLTF795PDyOPUSjPhhcPdIFOlNtJhT/yhw9E+dbb5PM5OQ92n&#10;J/w+VC/KPeyz+LpUH/Pbs9a3N4l6BBHtEv+O4Vef1aFkp9rPZIIYNGQZV4m8XycgmK9Vcg+iZrBN&#10;NyDLQv5vUP4AUEsDBBQAAAAIAIdO4kBiQNsyNgIAAHwEAAAOAAAAZHJzL2Uyb0RvYy54bWytVMFu&#10;EzEQvSPxD5bvZJM0oc0qm6pKFIRUoFLhAxyvN2the8zYySb8DBK3fgSfg/gNZr1JSAuHHtiD5fGM&#10;n+e9mdnp9c4atlUYNLiCD3p9zpSTUGq3Lvinj8tXV5yFKFwpDDhV8L0K/Hr28sW08bkaQg2mVMgI&#10;xIW88QWvY/R5lgVZKytCD7xy5KwArYhk4jorUTSEbk027PdfZw1g6RGkCoFOF52THxDxOYBQVVqq&#10;BciNVS52qKiMiEQp1NoHPkvZVpWS8UNVBRWZKTgxjWmlR2i/atdsNhX5GoWvtTykIJ6TwhNOVmhH&#10;j56gFiIKtkH9F5TVEiFAFXsSbNYRSYoQi0H/iTb3tfAqcSGpgz+JHv4frHy/vUOmS+qES86csFTx&#10;X98efv74zoatOI0POcXc+zts6QV/C/JzYA7mtXBrdYMITa1ESSkN2vjs0YXWCHSVrZp3UBK02ERI&#10;Ou0qtC0gKcB2qRz7UznULjJJh8OLi8nkcsyZJN/RaN8Q+fG6xxDfKLCs3RQcqd4JXmxvQ+xCjyEp&#10;fTC6XGpjkoHr1dwg2wrqjWX6EgNieR5mHGsKPhkPxwn5kS+cQ/TT9y8IqyONjNG24FfnQcYdBGs1&#10;6rSOu9XuIPsKyj1Jh9A1LY0sbWrAr5w11LAFD182AhVn5q0j+SeD0ajt8GSMxpdDMvDcszr3CCcJ&#10;quCRs247j91UbDzqdU0vDRJdBzdUskonMdtydlkd8qamTOU4DFDb9ed2ivrz05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oDBxnXAAAACQEAAA8AAAAAAAAAAQAgAAAAIgAAAGRycy9kb3ducmV2&#10;LnhtbFBLAQIUABQAAAAIAIdO4kBiQNsyNgIAAHwEAAAOAAAAAAAAAAEAIAAAACYBAABkcnMvZTJv&#10;RG9jLnhtbFBLBQYAAAAABgAGAFkBAADOBQAAAAA=&#10;">
                <v:fill on="t" focussize="0,0"/>
                <v:stroke color="#000000" miterlimit="8" joinstyle="miter"/>
                <v:imagedata o:title=""/>
                <o:lock v:ext="edit" aspectratio="f"/>
                <v:textbox>
                  <w:txbxContent>
                    <w:p w14:paraId="023482DA">
                      <w:r>
                        <w:rPr>
                          <w:rFonts w:hint="eastAsia"/>
                        </w:rPr>
                        <w:t>（在此盖章）</w:t>
                      </w:r>
                    </w:p>
                  </w:txbxContent>
                </v:textbox>
              </v:rect>
            </w:pict>
          </mc:Fallback>
        </mc:AlternateContent>
      </w:r>
    </w:p>
    <w:p w14:paraId="642A1E9F">
      <w:pPr>
        <w:rPr>
          <w:rFonts w:asciiTheme="minorEastAsia" w:hAnsiTheme="minorEastAsia" w:eastAsiaTheme="minorEastAsia"/>
          <w:color w:val="auto"/>
          <w:szCs w:val="21"/>
          <w:highlight w:val="none"/>
        </w:rPr>
      </w:pPr>
    </w:p>
    <w:p w14:paraId="4708C0DB">
      <w:pPr>
        <w:rPr>
          <w:rFonts w:asciiTheme="minorEastAsia" w:hAnsiTheme="minorEastAsia" w:eastAsiaTheme="minorEastAsia"/>
          <w:color w:val="auto"/>
          <w:szCs w:val="21"/>
          <w:highlight w:val="none"/>
        </w:rPr>
      </w:pPr>
    </w:p>
    <w:p w14:paraId="79D95150">
      <w:pPr>
        <w:rPr>
          <w:rFonts w:asciiTheme="minorEastAsia" w:hAnsiTheme="minorEastAsia" w:eastAsiaTheme="minorEastAsia"/>
          <w:color w:val="auto"/>
          <w:szCs w:val="21"/>
          <w:highlight w:val="none"/>
        </w:rPr>
      </w:pPr>
    </w:p>
    <w:p w14:paraId="71ED602C">
      <w:pPr>
        <w:rPr>
          <w:rFonts w:asciiTheme="minorEastAsia" w:hAnsiTheme="minorEastAsia" w:eastAsiaTheme="minorEastAsia"/>
          <w:color w:val="auto"/>
          <w:szCs w:val="21"/>
          <w:highlight w:val="none"/>
        </w:rPr>
      </w:pPr>
    </w:p>
    <w:p w14:paraId="1AFAC78C">
      <w:pPr>
        <w:ind w:firstLine="1259" w:firstLineChars="597"/>
        <w:rPr>
          <w:rFonts w:asciiTheme="minorEastAsia" w:hAnsiTheme="minorEastAsia" w:eastAsiaTheme="minorEastAsia"/>
          <w:b/>
          <w:color w:val="auto"/>
          <w:szCs w:val="21"/>
          <w:highlight w:val="none"/>
        </w:rPr>
      </w:pPr>
    </w:p>
    <w:p w14:paraId="7DABF95E">
      <w:pPr>
        <w:ind w:right="18" w:firstLine="4676" w:firstLineChars="2227"/>
        <w:rPr>
          <w:rFonts w:asciiTheme="minorEastAsia" w:hAnsiTheme="minorEastAsia" w:eastAsiaTheme="minorEastAsia"/>
          <w:color w:val="auto"/>
          <w:szCs w:val="21"/>
          <w:highlight w:val="none"/>
        </w:rPr>
      </w:pPr>
    </w:p>
    <w:p w14:paraId="5A47C70F">
      <w:pPr>
        <w:ind w:right="18" w:firstLine="4676" w:firstLineChars="2227"/>
        <w:rPr>
          <w:rFonts w:asciiTheme="minorEastAsia" w:hAnsiTheme="minorEastAsia" w:eastAsiaTheme="minorEastAsia"/>
          <w:color w:val="auto"/>
          <w:szCs w:val="21"/>
          <w:highlight w:val="none"/>
        </w:rPr>
      </w:pPr>
    </w:p>
    <w:p w14:paraId="45AACBFD">
      <w:pPr>
        <w:ind w:right="18" w:firstLine="4676" w:firstLineChars="2227"/>
        <w:rPr>
          <w:rFonts w:asciiTheme="minorEastAsia" w:hAnsiTheme="minorEastAsia" w:eastAsiaTheme="minorEastAsia"/>
          <w:color w:val="auto"/>
          <w:szCs w:val="21"/>
          <w:highlight w:val="none"/>
        </w:rPr>
      </w:pPr>
    </w:p>
    <w:p w14:paraId="005E99DA">
      <w:pPr>
        <w:ind w:right="18" w:firstLine="4676" w:firstLineChars="2227"/>
        <w:rPr>
          <w:rFonts w:asciiTheme="minorEastAsia" w:hAnsiTheme="minorEastAsia" w:eastAsiaTheme="minorEastAsia"/>
          <w:color w:val="auto"/>
          <w:szCs w:val="21"/>
          <w:highlight w:val="none"/>
        </w:rPr>
      </w:pPr>
    </w:p>
    <w:p w14:paraId="5870D8F9">
      <w:pPr>
        <w:ind w:right="18" w:firstLine="4676" w:firstLineChars="2227"/>
        <w:rPr>
          <w:rFonts w:asciiTheme="minorEastAsia" w:hAnsiTheme="minorEastAsia" w:eastAsiaTheme="minorEastAsia"/>
          <w:color w:val="auto"/>
          <w:szCs w:val="21"/>
          <w:highlight w:val="none"/>
        </w:rPr>
      </w:pPr>
    </w:p>
    <w:p w14:paraId="69ECDB63">
      <w:pPr>
        <w:ind w:right="18" w:firstLine="4676" w:firstLineChars="2227"/>
        <w:rPr>
          <w:rFonts w:asciiTheme="minorEastAsia" w:hAnsiTheme="minorEastAsia" w:eastAsiaTheme="minorEastAsia"/>
          <w:color w:val="auto"/>
          <w:szCs w:val="21"/>
          <w:highlight w:val="none"/>
        </w:rPr>
      </w:pPr>
    </w:p>
    <w:p w14:paraId="1C6C81C4">
      <w:pPr>
        <w:ind w:right="18" w:firstLine="4676" w:firstLineChars="2227"/>
        <w:rPr>
          <w:rFonts w:asciiTheme="minorEastAsia" w:hAnsiTheme="minorEastAsia" w:eastAsiaTheme="minorEastAsia"/>
          <w:color w:val="auto"/>
          <w:szCs w:val="21"/>
          <w:highlight w:val="none"/>
        </w:rPr>
      </w:pPr>
    </w:p>
    <w:p w14:paraId="7FCD66AD">
      <w:pPr>
        <w:ind w:right="18" w:firstLine="4676" w:firstLineChars="2227"/>
        <w:rPr>
          <w:rFonts w:asciiTheme="minorEastAsia" w:hAnsiTheme="minorEastAsia" w:eastAsiaTheme="minorEastAsia"/>
          <w:color w:val="auto"/>
          <w:szCs w:val="21"/>
          <w:highlight w:val="none"/>
        </w:rPr>
      </w:pPr>
    </w:p>
    <w:p w14:paraId="57FAC670">
      <w:pPr>
        <w:ind w:right="18" w:firstLine="4676" w:firstLineChars="2227"/>
        <w:rPr>
          <w:rFonts w:asciiTheme="minorEastAsia" w:hAnsiTheme="minorEastAsia" w:eastAsiaTheme="minorEastAsia"/>
          <w:color w:val="auto"/>
          <w:szCs w:val="21"/>
          <w:highlight w:val="none"/>
        </w:rPr>
      </w:pPr>
    </w:p>
    <w:p w14:paraId="293345A5">
      <w:pPr>
        <w:ind w:right="18"/>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供应商名称：</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（盖单位公章）</w:t>
      </w:r>
    </w:p>
    <w:p w14:paraId="7450BA2B">
      <w:pPr>
        <w:spacing w:line="440" w:lineRule="exact"/>
        <w:ind w:firstLine="2835" w:firstLineChars="1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年</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日</w:t>
      </w:r>
    </w:p>
    <w:p w14:paraId="70579D4A">
      <w:pPr>
        <w:spacing w:line="440" w:lineRule="exact"/>
        <w:ind w:firstLine="2835" w:firstLineChars="1350"/>
        <w:rPr>
          <w:rFonts w:asciiTheme="minorEastAsia" w:hAnsiTheme="minorEastAsia" w:eastAsiaTheme="minorEastAsia"/>
          <w:color w:val="auto"/>
          <w:szCs w:val="21"/>
          <w:highlight w:val="none"/>
        </w:rPr>
      </w:pPr>
    </w:p>
    <w:p w14:paraId="0BD2A7E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4C9E4CD2">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 本文件仅适用于</w:t>
      </w:r>
      <w:r>
        <w:rPr>
          <w:rFonts w:hint="eastAsia" w:asciiTheme="minorEastAsia" w:hAnsiTheme="minorEastAsia" w:eastAsiaTheme="minorEastAsia"/>
          <w:color w:val="auto"/>
          <w:szCs w:val="21"/>
          <w:highlight w:val="none"/>
        </w:rPr>
        <w:t>要求提交加盖印章扫描件的情形</w:t>
      </w:r>
      <w:r>
        <w:rPr>
          <w:rFonts w:hint="eastAsia" w:asciiTheme="minorEastAsia" w:hAnsiTheme="minorEastAsia" w:eastAsiaTheme="minorEastAsia"/>
          <w:color w:val="auto"/>
          <w:highlight w:val="none"/>
        </w:rPr>
        <w:t>。</w:t>
      </w:r>
    </w:p>
    <w:p w14:paraId="2A632740">
      <w:pPr>
        <w:topLinePunct/>
        <w:spacing w:line="440" w:lineRule="exact"/>
        <w:jc w:val="left"/>
        <w:rPr>
          <w:rFonts w:asciiTheme="minorEastAsia" w:hAnsiTheme="minorEastAsia" w:eastAsiaTheme="minorEastAsia"/>
          <w:b/>
          <w:bCs/>
          <w:color w:val="auto"/>
          <w:sz w:val="32"/>
          <w:szCs w:val="21"/>
          <w:highlight w:val="none"/>
        </w:rPr>
      </w:pPr>
      <w:r>
        <w:rPr>
          <w:rFonts w:hint="eastAsia" w:asciiTheme="minorEastAsia" w:hAnsiTheme="minorEastAsia" w:eastAsiaTheme="minorEastAsia"/>
          <w:color w:val="auto"/>
          <w:szCs w:val="21"/>
          <w:highlight w:val="none"/>
        </w:rPr>
        <w:t>2.</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br w:type="page"/>
      </w:r>
    </w:p>
    <w:p w14:paraId="02718E83">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0" w:name="_Toc13631"/>
      <w:bookmarkStart w:id="551" w:name="_Toc4954"/>
      <w:r>
        <w:rPr>
          <w:rFonts w:hint="eastAsia" w:asciiTheme="minorEastAsia" w:hAnsiTheme="minorEastAsia" w:eastAsiaTheme="minorEastAsia"/>
          <w:color w:val="auto"/>
          <w:sz w:val="24"/>
          <w:szCs w:val="24"/>
          <w:highlight w:val="none"/>
        </w:rPr>
        <w:t>响应函</w:t>
      </w:r>
      <w:bookmarkEnd w:id="548"/>
      <w:bookmarkEnd w:id="549"/>
      <w:bookmarkEnd w:id="550"/>
      <w:bookmarkEnd w:id="551"/>
    </w:p>
    <w:p w14:paraId="123CBC3E">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响   应   函</w:t>
      </w:r>
    </w:p>
    <w:p w14:paraId="67AC2880">
      <w:pPr>
        <w:adjustRightInd w:val="0"/>
        <w:snapToGrid w:val="0"/>
        <w:spacing w:line="440" w:lineRule="exact"/>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w:t>
      </w:r>
    </w:p>
    <w:p w14:paraId="6E2A609B">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（供应商名称）</w:t>
      </w:r>
      <w:r>
        <w:rPr>
          <w:rFonts w:hint="eastAsia" w:asciiTheme="minorEastAsia" w:hAnsiTheme="minorEastAsia" w:eastAsiaTheme="minorEastAsia"/>
          <w:color w:val="auto"/>
          <w:szCs w:val="21"/>
          <w:highlight w:val="none"/>
        </w:rPr>
        <w:t>（以下称“我方”）</w:t>
      </w:r>
      <w:r>
        <w:rPr>
          <w:rFonts w:asciiTheme="minorEastAsia" w:hAnsiTheme="minorEastAsia" w:eastAsiaTheme="minorEastAsia"/>
          <w:color w:val="auto"/>
          <w:szCs w:val="21"/>
          <w:highlight w:val="none"/>
        </w:rPr>
        <w:t>已仔细研究了</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rPr>
        <w:t>询比项目名称）</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标包（项目编号：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的全部内容</w:t>
      </w:r>
      <w:r>
        <w:rPr>
          <w:rFonts w:hint="eastAsia" w:asciiTheme="minorEastAsia" w:hAnsiTheme="minorEastAsia" w:eastAsiaTheme="minorEastAsia"/>
          <w:color w:val="auto"/>
          <w:szCs w:val="21"/>
          <w:highlight w:val="none"/>
        </w:rPr>
        <w:t>，</w:t>
      </w:r>
      <w:r>
        <w:rPr>
          <w:rFonts w:asciiTheme="minorEastAsia" w:hAnsiTheme="minorEastAsia" w:eastAsiaTheme="minorEastAsia"/>
          <w:bCs/>
          <w:color w:val="auto"/>
          <w:szCs w:val="21"/>
          <w:highlight w:val="none"/>
        </w:rPr>
        <w:t>包括</w:t>
      </w:r>
      <w:r>
        <w:rPr>
          <w:rFonts w:hint="eastAsia" w:asciiTheme="minorEastAsia" w:hAnsiTheme="minorEastAsia" w:eastAsiaTheme="minorEastAsia"/>
          <w:bCs/>
          <w:color w:val="auto"/>
          <w:szCs w:val="21"/>
          <w:highlight w:val="none"/>
        </w:rPr>
        <w:t>澄清或者</w:t>
      </w:r>
      <w:r>
        <w:rPr>
          <w:rFonts w:asciiTheme="minorEastAsia" w:hAnsiTheme="minorEastAsia" w:eastAsiaTheme="minorEastAsia"/>
          <w:bCs/>
          <w:color w:val="auto"/>
          <w:szCs w:val="21"/>
          <w:highlight w:val="none"/>
        </w:rPr>
        <w:t>修改文件</w:t>
      </w:r>
      <w:r>
        <w:rPr>
          <w:rFonts w:hint="eastAsia" w:asciiTheme="minorEastAsia" w:hAnsiTheme="minorEastAsia" w:eastAsiaTheme="minorEastAsia"/>
          <w:bCs/>
          <w:color w:val="auto"/>
          <w:szCs w:val="21"/>
          <w:highlight w:val="none"/>
        </w:rPr>
        <w:t>以及</w:t>
      </w:r>
      <w:r>
        <w:rPr>
          <w:rFonts w:asciiTheme="minorEastAsia" w:hAnsiTheme="minorEastAsia" w:eastAsiaTheme="minorEastAsia"/>
          <w:bCs/>
          <w:color w:val="auto"/>
          <w:szCs w:val="21"/>
          <w:highlight w:val="none"/>
        </w:rPr>
        <w:t>有关附件</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我方将严格按照询比文件要求提交符合要求的全部响应文件。</w:t>
      </w:r>
    </w:p>
    <w:p w14:paraId="5E5EE378">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我方承诺如下内容：</w:t>
      </w:r>
    </w:p>
    <w:p w14:paraId="0C816284">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我方的响应文件包含第二章“供应商须知”第3.1款规定的全部内容。</w:t>
      </w:r>
    </w:p>
    <w:p w14:paraId="6EFF4280">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w:t>
      </w:r>
      <w:r>
        <w:rPr>
          <w:rFonts w:hint="eastAsia" w:asciiTheme="minorEastAsia" w:hAnsiTheme="minorEastAsia" w:eastAsiaTheme="minorEastAsia"/>
          <w:color w:val="auto"/>
          <w:szCs w:val="21"/>
          <w:highlight w:val="none"/>
        </w:rPr>
        <w:t>询比文件规定的响应有效期</w:t>
      </w:r>
      <w:r>
        <w:rPr>
          <w:rFonts w:asciiTheme="minorEastAsia" w:hAnsiTheme="minorEastAsia" w:eastAsiaTheme="minorEastAsia"/>
          <w:color w:val="auto"/>
          <w:szCs w:val="21"/>
          <w:highlight w:val="none"/>
        </w:rPr>
        <w:t>内不修改、撤销</w:t>
      </w:r>
      <w:r>
        <w:rPr>
          <w:rFonts w:hint="eastAsia" w:asciiTheme="minorEastAsia" w:hAnsiTheme="minorEastAsia" w:eastAsiaTheme="minorEastAsia"/>
          <w:color w:val="auto"/>
          <w:szCs w:val="21"/>
          <w:highlight w:val="none"/>
        </w:rPr>
        <w:t>响应文件</w:t>
      </w:r>
      <w:r>
        <w:rPr>
          <w:rFonts w:asciiTheme="minorEastAsia" w:hAnsiTheme="minorEastAsia" w:eastAsiaTheme="minorEastAsia"/>
          <w:color w:val="auto"/>
          <w:szCs w:val="21"/>
          <w:highlight w:val="none"/>
        </w:rPr>
        <w:t>。</w:t>
      </w:r>
    </w:p>
    <w:p w14:paraId="70B7547B">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随同本</w:t>
      </w:r>
      <w:r>
        <w:rPr>
          <w:rFonts w:hint="eastAsia" w:asciiTheme="minorEastAsia" w:hAnsiTheme="minorEastAsia" w:eastAsiaTheme="minorEastAsia"/>
          <w:color w:val="auto"/>
          <w:szCs w:val="21"/>
          <w:highlight w:val="none"/>
        </w:rPr>
        <w:t>响应</w:t>
      </w:r>
      <w:r>
        <w:rPr>
          <w:rFonts w:asciiTheme="minorEastAsia" w:hAnsiTheme="minorEastAsia" w:eastAsiaTheme="minorEastAsia"/>
          <w:color w:val="auto"/>
          <w:szCs w:val="21"/>
          <w:highlight w:val="none"/>
        </w:rPr>
        <w:t>函</w:t>
      </w:r>
      <w:r>
        <w:rPr>
          <w:rFonts w:hint="eastAsia" w:asciiTheme="minorEastAsia" w:hAnsiTheme="minorEastAsia" w:eastAsiaTheme="minorEastAsia"/>
          <w:color w:val="auto"/>
          <w:szCs w:val="21"/>
          <w:highlight w:val="none"/>
        </w:rPr>
        <w:t>递交响应保证金</w:t>
      </w:r>
      <w:r>
        <w:rPr>
          <w:rFonts w:asciiTheme="minorEastAsia" w:hAnsiTheme="minorEastAsia" w:eastAsiaTheme="minorEastAsia"/>
          <w:color w:val="auto"/>
          <w:szCs w:val="21"/>
          <w:highlight w:val="none"/>
        </w:rPr>
        <w:t>一份，金额为人民币（大写）</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0B885372">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我方承诺如果在规定的响应文件提交截止时间后，在响应有效期内撤销响应文件的，我方自愿接受采购人做出的不予退还我方响应保证金的决定。</w:t>
      </w:r>
    </w:p>
    <w:p w14:paraId="5912A01D">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我方在评审过程中根据评审委员会要求提供的符合相关规定的澄清文件，构成响应文件的组成部分。</w:t>
      </w:r>
    </w:p>
    <w:p w14:paraId="1D0E4D26">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我方同意提供贵方可能要求的与询比有关的一切数据或者资料，并完全理解贵方不一定接受最低价的响应。</w:t>
      </w:r>
    </w:p>
    <w:p w14:paraId="56516301">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我方承诺不向第三方透露与询比相关的所有信息。</w:t>
      </w:r>
    </w:p>
    <w:p w14:paraId="5B3B676C">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我方承诺接受最新的《供应商不良行为管理规则》。本项承诺自本函签署之日起生效，长期有效，不受响应有效期的约束，其效力独立存在，不可撤销。</w:t>
      </w:r>
    </w:p>
    <w:p w14:paraId="3DEE360F">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如</w:t>
      </w:r>
      <w:r>
        <w:rPr>
          <w:rFonts w:hint="eastAsia" w:asciiTheme="minorEastAsia" w:hAnsiTheme="minorEastAsia" w:eastAsiaTheme="minorEastAsia"/>
          <w:color w:val="auto"/>
          <w:szCs w:val="21"/>
          <w:highlight w:val="none"/>
        </w:rPr>
        <w:t>确定</w:t>
      </w:r>
      <w:r>
        <w:rPr>
          <w:rFonts w:asciiTheme="minorEastAsia" w:hAnsiTheme="minorEastAsia" w:eastAsiaTheme="minorEastAsia"/>
          <w:color w:val="auto"/>
          <w:szCs w:val="21"/>
          <w:highlight w:val="none"/>
        </w:rPr>
        <w:t>我方</w:t>
      </w:r>
      <w:r>
        <w:rPr>
          <w:rFonts w:hint="eastAsia" w:asciiTheme="minorEastAsia" w:hAnsiTheme="minorEastAsia" w:eastAsiaTheme="minorEastAsia"/>
          <w:color w:val="auto"/>
          <w:szCs w:val="21"/>
          <w:highlight w:val="none"/>
        </w:rPr>
        <w:t>成交</w:t>
      </w:r>
      <w:r>
        <w:rPr>
          <w:rFonts w:asciiTheme="minorEastAsia" w:hAnsiTheme="minorEastAsia" w:eastAsiaTheme="minorEastAsia"/>
          <w:color w:val="auto"/>
          <w:szCs w:val="21"/>
          <w:highlight w:val="none"/>
        </w:rPr>
        <w:t>：</w:t>
      </w:r>
    </w:p>
    <w:p w14:paraId="1A72F0EA">
      <w:pPr>
        <w:pStyle w:val="102"/>
        <w:numPr>
          <w:ilvl w:val="0"/>
          <w:numId w:val="43"/>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我方承诺在收到</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后，在</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规定的期限内与你方签订合同。</w:t>
      </w:r>
    </w:p>
    <w:p w14:paraId="3F0E66E8">
      <w:pPr>
        <w:pStyle w:val="102"/>
        <w:numPr>
          <w:ilvl w:val="0"/>
          <w:numId w:val="43"/>
        </w:numPr>
        <w:tabs>
          <w:tab w:val="left" w:pos="993"/>
        </w:tabs>
        <w:spacing w:line="440" w:lineRule="exact"/>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我方承诺不在签订合同时提出任何附加条件。</w:t>
      </w:r>
    </w:p>
    <w:p w14:paraId="6697A9D4">
      <w:pPr>
        <w:pStyle w:val="102"/>
        <w:numPr>
          <w:ilvl w:val="0"/>
          <w:numId w:val="43"/>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我方承诺按照</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规定</w:t>
      </w:r>
      <w:r>
        <w:rPr>
          <w:rFonts w:hint="eastAsia" w:asciiTheme="minorEastAsia" w:hAnsiTheme="minorEastAsia" w:eastAsiaTheme="minorEastAsia"/>
          <w:color w:val="auto"/>
          <w:szCs w:val="21"/>
          <w:highlight w:val="none"/>
        </w:rPr>
        <w:t>递交</w:t>
      </w:r>
      <w:r>
        <w:rPr>
          <w:rFonts w:asciiTheme="minorEastAsia" w:hAnsiTheme="minorEastAsia" w:eastAsiaTheme="minorEastAsia"/>
          <w:color w:val="auto"/>
          <w:szCs w:val="21"/>
          <w:highlight w:val="none"/>
        </w:rPr>
        <w:t>履约</w:t>
      </w:r>
      <w:r>
        <w:rPr>
          <w:rFonts w:hint="eastAsia" w:asciiTheme="minorEastAsia" w:hAnsiTheme="minorEastAsia" w:eastAsiaTheme="minorEastAsia"/>
          <w:color w:val="auto"/>
          <w:szCs w:val="21"/>
          <w:highlight w:val="none"/>
        </w:rPr>
        <w:t>保证金或履约保函、支付采购代理服务费</w:t>
      </w:r>
      <w:r>
        <w:rPr>
          <w:rFonts w:asciiTheme="minorEastAsia" w:hAnsiTheme="minorEastAsia" w:eastAsiaTheme="minorEastAsia"/>
          <w:color w:val="auto"/>
          <w:szCs w:val="21"/>
          <w:highlight w:val="none"/>
        </w:rPr>
        <w:t>。</w:t>
      </w:r>
    </w:p>
    <w:p w14:paraId="5EE31E2F">
      <w:pPr>
        <w:pStyle w:val="102"/>
        <w:numPr>
          <w:ilvl w:val="0"/>
          <w:numId w:val="43"/>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w:t>
      </w:r>
      <w:r>
        <w:rPr>
          <w:rFonts w:hint="eastAsia" w:asciiTheme="minorEastAsia" w:hAnsiTheme="minorEastAsia" w:eastAsiaTheme="minorEastAsia"/>
          <w:color w:val="auto"/>
          <w:szCs w:val="21"/>
          <w:highlight w:val="none"/>
        </w:rPr>
        <w:t>按照询比文件的规定及合同约定履行相关责任和义务，不将成交项目转包、违法分包。</w:t>
      </w:r>
    </w:p>
    <w:p w14:paraId="37C15D1B">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我方承诺如有外国投资者直接或者间接对本单位投资的，投资者或本单位已经按照《中华人民共和国外商投资法》（中华人民共和国主席令 第26号）和《外商投资安全审查办法》（发展改革委 商务部令 第37号）等相关法律法规主动向国家外商投资安全审查工作机制办公室申报，并被允许实施投资。</w:t>
      </w:r>
    </w:p>
    <w:p w14:paraId="7369D765">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我方在此声明，所提交的响应文件及有关资料内容完整、真实和准确，且不存在第二章“供应商须知”第1.8款规定的任何一种情形。</w:t>
      </w:r>
      <w:r>
        <w:rPr>
          <w:rFonts w:asciiTheme="minorEastAsia" w:hAnsiTheme="minorEastAsia" w:eastAsiaTheme="minorEastAsia"/>
          <w:color w:val="auto"/>
          <w:szCs w:val="21"/>
          <w:highlight w:val="none"/>
        </w:rPr>
        <w:t>如有弄虚作假，将承担相应的法律责任，并赔偿由此造成的一切损失。</w:t>
      </w:r>
    </w:p>
    <w:p w14:paraId="63E2AB4D">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w:t>
      </w:r>
      <w:r>
        <w:rPr>
          <w:rFonts w:asciiTheme="minorEastAsia" w:hAnsiTheme="minorEastAsia" w:eastAsiaTheme="minorEastAsia"/>
          <w:color w:val="auto"/>
          <w:szCs w:val="21"/>
          <w:highlight w:val="none"/>
        </w:rPr>
        <w:t>补充说明</w:t>
      </w:r>
      <w:r>
        <w:rPr>
          <w:rFonts w:hint="eastAsia" w:asciiTheme="minorEastAsia" w:hAnsiTheme="minorEastAsia" w:eastAsiaTheme="minorEastAsia"/>
          <w:color w:val="auto"/>
          <w:szCs w:val="21"/>
          <w:highlight w:val="none"/>
        </w:rPr>
        <w:t>：【我方承诺按照采购人的要求在</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进行供应商注册。】</w:t>
      </w:r>
    </w:p>
    <w:p w14:paraId="4C4C1686">
      <w:pPr>
        <w:pStyle w:val="102"/>
        <w:tabs>
          <w:tab w:val="left" w:pos="709"/>
        </w:tabs>
        <w:spacing w:line="440" w:lineRule="exact"/>
        <w:ind w:left="424" w:firstLine="0" w:firstLineChars="0"/>
        <w:rPr>
          <w:rFonts w:asciiTheme="minorEastAsia" w:hAnsiTheme="minorEastAsia" w:eastAsiaTheme="minorEastAsia"/>
          <w:color w:val="auto"/>
          <w:szCs w:val="21"/>
          <w:highlight w:val="none"/>
        </w:rPr>
      </w:pPr>
    </w:p>
    <w:p w14:paraId="767E3EEB">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w:t>
      </w:r>
    </w:p>
    <w:p w14:paraId="0DED3C0B">
      <w:pPr>
        <w:spacing w:line="440" w:lineRule="exact"/>
        <w:ind w:firstLine="1134" w:firstLineChars="54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地址：</w:t>
      </w:r>
      <w:r>
        <w:rPr>
          <w:rFonts w:asciiTheme="minorEastAsia" w:hAnsiTheme="minorEastAsia" w:eastAsiaTheme="minorEastAsia"/>
          <w:color w:val="auto"/>
          <w:szCs w:val="21"/>
          <w:highlight w:val="none"/>
          <w:u w:val="single"/>
        </w:rPr>
        <w:t xml:space="preserve">                                     </w:t>
      </w:r>
    </w:p>
    <w:p w14:paraId="4FB60C2F">
      <w:pPr>
        <w:spacing w:line="440" w:lineRule="exact"/>
        <w:ind w:firstLine="1134" w:firstLineChars="54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电话：</w:t>
      </w:r>
      <w:r>
        <w:rPr>
          <w:rFonts w:asciiTheme="minorEastAsia" w:hAnsiTheme="minorEastAsia" w:eastAsiaTheme="minorEastAsia"/>
          <w:color w:val="auto"/>
          <w:szCs w:val="21"/>
          <w:highlight w:val="none"/>
          <w:u w:val="single"/>
        </w:rPr>
        <w:t xml:space="preserve">                                     </w:t>
      </w:r>
    </w:p>
    <w:p w14:paraId="34EEF29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电子邮箱</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p>
    <w:p w14:paraId="2AC65A33">
      <w:pPr>
        <w:spacing w:line="40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DF32BF8">
      <w:pPr>
        <w:ind w:firstLine="2835" w:firstLineChars="1350"/>
        <w:rPr>
          <w:rFonts w:asciiTheme="minorEastAsia" w:hAnsiTheme="minorEastAsia" w:eastAsiaTheme="minorEastAsia"/>
          <w:color w:val="auto"/>
          <w:highlight w:val="none"/>
        </w:rPr>
      </w:pPr>
    </w:p>
    <w:p w14:paraId="16E4555E">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AD927F5">
      <w:pPr>
        <w:numPr>
          <w:ilvl w:val="0"/>
          <w:numId w:val="44"/>
        </w:numPr>
        <w:topLinePunct/>
        <w:spacing w:line="440" w:lineRule="exact"/>
        <w:ind w:left="422" w:hanging="422" w:hangingChars="201"/>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352690A4">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2" w:name="_Toc492552975"/>
      <w:bookmarkEnd w:id="552"/>
      <w:bookmarkStart w:id="553" w:name="_Toc492552987"/>
      <w:bookmarkEnd w:id="553"/>
      <w:bookmarkStart w:id="554" w:name="_Toc492552984"/>
      <w:bookmarkEnd w:id="554"/>
      <w:bookmarkStart w:id="555" w:name="_Toc492552989"/>
      <w:bookmarkEnd w:id="555"/>
      <w:bookmarkStart w:id="556" w:name="_Toc492552997"/>
      <w:bookmarkEnd w:id="556"/>
      <w:bookmarkStart w:id="557" w:name="_Toc492552992"/>
      <w:bookmarkEnd w:id="557"/>
      <w:bookmarkStart w:id="558" w:name="_Toc492552973"/>
      <w:bookmarkEnd w:id="558"/>
      <w:bookmarkStart w:id="559" w:name="_Toc492552982"/>
      <w:bookmarkEnd w:id="559"/>
      <w:bookmarkStart w:id="560" w:name="_Toc492552996"/>
      <w:bookmarkEnd w:id="560"/>
      <w:bookmarkStart w:id="561" w:name="_Toc492552991"/>
      <w:bookmarkEnd w:id="561"/>
      <w:bookmarkStart w:id="562" w:name="_Toc492552998"/>
      <w:bookmarkEnd w:id="562"/>
      <w:bookmarkStart w:id="563" w:name="_Toc492552994"/>
      <w:bookmarkEnd w:id="563"/>
      <w:bookmarkStart w:id="564" w:name="_Toc492552981"/>
      <w:bookmarkEnd w:id="564"/>
      <w:bookmarkStart w:id="565" w:name="_Toc492552976"/>
      <w:bookmarkEnd w:id="565"/>
      <w:bookmarkStart w:id="566" w:name="_Toc492552979"/>
      <w:bookmarkEnd w:id="566"/>
      <w:bookmarkStart w:id="567" w:name="_Toc492552985"/>
      <w:bookmarkEnd w:id="567"/>
      <w:bookmarkStart w:id="568" w:name="_Toc492552983"/>
      <w:bookmarkEnd w:id="568"/>
      <w:bookmarkStart w:id="569" w:name="_Toc492552988"/>
      <w:bookmarkEnd w:id="569"/>
      <w:bookmarkStart w:id="570" w:name="_Toc492552999"/>
      <w:bookmarkEnd w:id="570"/>
      <w:bookmarkStart w:id="571" w:name="_Toc492552980"/>
      <w:bookmarkEnd w:id="571"/>
      <w:bookmarkStart w:id="572" w:name="_Toc492552995"/>
      <w:bookmarkEnd w:id="572"/>
      <w:bookmarkStart w:id="573" w:name="_Toc492552977"/>
      <w:bookmarkEnd w:id="573"/>
      <w:bookmarkStart w:id="574" w:name="_Toc492552986"/>
      <w:bookmarkEnd w:id="574"/>
      <w:bookmarkStart w:id="575" w:name="_Toc492552978"/>
      <w:bookmarkEnd w:id="575"/>
      <w:bookmarkStart w:id="576" w:name="_Toc492552974"/>
      <w:bookmarkEnd w:id="576"/>
      <w:bookmarkStart w:id="577" w:name="_Toc492552993"/>
      <w:bookmarkEnd w:id="577"/>
      <w:bookmarkStart w:id="578" w:name="_Toc492552990"/>
      <w:bookmarkEnd w:id="578"/>
      <w:bookmarkStart w:id="579" w:name="_Toc6383"/>
      <w:bookmarkStart w:id="580" w:name="_Toc26071"/>
      <w:bookmarkStart w:id="581" w:name="_Toc475472674"/>
      <w:r>
        <w:rPr>
          <w:rFonts w:hint="eastAsia" w:asciiTheme="minorEastAsia" w:hAnsiTheme="minorEastAsia" w:eastAsiaTheme="minorEastAsia"/>
          <w:color w:val="auto"/>
          <w:sz w:val="24"/>
          <w:szCs w:val="24"/>
          <w:highlight w:val="none"/>
        </w:rPr>
        <w:t>法定代表人/负责人身份证明</w:t>
      </w:r>
      <w:bookmarkEnd w:id="579"/>
      <w:bookmarkEnd w:id="580"/>
      <w:bookmarkEnd w:id="581"/>
    </w:p>
    <w:p w14:paraId="09A73EE5">
      <w:pPr>
        <w:jc w:val="center"/>
        <w:rPr>
          <w:rFonts w:cs="宋体" w:asciiTheme="minorEastAsia" w:hAnsiTheme="minorEastAsia" w:eastAsiaTheme="minorEastAsia"/>
          <w:b/>
          <w:color w:val="auto"/>
          <w:sz w:val="24"/>
          <w:highlight w:val="none"/>
        </w:rPr>
      </w:pPr>
    </w:p>
    <w:p w14:paraId="59C53C57">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法定代表人/负责人身份证明</w:t>
      </w:r>
    </w:p>
    <w:p w14:paraId="0931835C">
      <w:pPr>
        <w:spacing w:line="440" w:lineRule="exact"/>
        <w:rPr>
          <w:rFonts w:asciiTheme="minorEastAsia" w:hAnsiTheme="minorEastAsia" w:eastAsiaTheme="minorEastAsia"/>
          <w:color w:val="auto"/>
          <w:szCs w:val="21"/>
          <w:highlight w:val="none"/>
        </w:rPr>
      </w:pPr>
    </w:p>
    <w:p w14:paraId="260FC18B">
      <w:pPr>
        <w:topLinePunct/>
        <w:snapToGrid w:val="0"/>
        <w:spacing w:line="440" w:lineRule="exact"/>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供应商</w:t>
      </w:r>
      <w:r>
        <w:rPr>
          <w:rFonts w:asciiTheme="minorEastAsia" w:hAnsiTheme="minorEastAsia" w:eastAsiaTheme="minorEastAsia"/>
          <w:bCs/>
          <w:color w:val="auto"/>
          <w:szCs w:val="21"/>
          <w:highlight w:val="none"/>
        </w:rPr>
        <w:t>名称：</w:t>
      </w:r>
      <w:r>
        <w:rPr>
          <w:rFonts w:asciiTheme="minorEastAsia" w:hAnsiTheme="minorEastAsia" w:eastAsiaTheme="minorEastAsia"/>
          <w:bCs/>
          <w:color w:val="auto"/>
          <w:szCs w:val="21"/>
          <w:highlight w:val="none"/>
          <w:u w:val="single"/>
        </w:rPr>
        <w:t xml:space="preserve">                         </w:t>
      </w:r>
    </w:p>
    <w:p w14:paraId="63D8CD1A">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单位性质：</w:t>
      </w:r>
      <w:r>
        <w:rPr>
          <w:rFonts w:asciiTheme="minorEastAsia" w:hAnsiTheme="minorEastAsia" w:eastAsiaTheme="minorEastAsia"/>
          <w:bCs/>
          <w:color w:val="auto"/>
          <w:szCs w:val="21"/>
          <w:highlight w:val="none"/>
          <w:u w:val="single"/>
        </w:rPr>
        <w:t xml:space="preserve">                           </w:t>
      </w:r>
    </w:p>
    <w:p w14:paraId="7B742F51">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成立时间：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月</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日</w:t>
      </w:r>
    </w:p>
    <w:p w14:paraId="02528145">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经营期限：</w:t>
      </w:r>
      <w:r>
        <w:rPr>
          <w:rFonts w:asciiTheme="minorEastAsia" w:hAnsiTheme="minorEastAsia" w:eastAsiaTheme="minorEastAsia"/>
          <w:bCs/>
          <w:color w:val="auto"/>
          <w:szCs w:val="21"/>
          <w:highlight w:val="none"/>
          <w:u w:val="single"/>
        </w:rPr>
        <w:t xml:space="preserve">            </w:t>
      </w:r>
    </w:p>
    <w:p w14:paraId="66CB3B7F">
      <w:pPr>
        <w:topLinePunct/>
        <w:snapToGrid w:val="0"/>
        <w:spacing w:line="440" w:lineRule="exact"/>
        <w:rPr>
          <w:rFonts w:asciiTheme="minorEastAsia" w:hAnsiTheme="minorEastAsia" w:eastAsiaTheme="minorEastAsia"/>
          <w:bCs/>
          <w:color w:val="auto"/>
          <w:szCs w:val="21"/>
          <w:highlight w:val="none"/>
          <w:u w:val="single"/>
        </w:rPr>
      </w:pPr>
      <w:r>
        <w:rPr>
          <w:rFonts w:asciiTheme="minorEastAsia" w:hAnsiTheme="minorEastAsia" w:eastAsiaTheme="minorEastAsia"/>
          <w:bCs/>
          <w:color w:val="auto"/>
          <w:szCs w:val="21"/>
          <w:highlight w:val="none"/>
        </w:rPr>
        <w:t>姓名：</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性别：</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年龄：</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职务：</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p>
    <w:p w14:paraId="2E09FF50">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系</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[供应商单位</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w:t>
      </w:r>
      <w:r>
        <w:rPr>
          <w:rFonts w:hint="eastAsia" w:asciiTheme="minorEastAsia" w:hAnsiTheme="minorEastAsia" w:eastAsiaTheme="minorEastAsia"/>
          <w:bCs/>
          <w:color w:val="auto"/>
          <w:szCs w:val="21"/>
          <w:highlight w:val="none"/>
        </w:rPr>
        <w:t>/负责人</w:t>
      </w:r>
      <w:r>
        <w:rPr>
          <w:rFonts w:asciiTheme="minorEastAsia" w:hAnsiTheme="minorEastAsia" w:eastAsiaTheme="minorEastAsia"/>
          <w:bCs/>
          <w:color w:val="auto"/>
          <w:szCs w:val="21"/>
          <w:highlight w:val="none"/>
        </w:rPr>
        <w:t>。</w:t>
      </w:r>
    </w:p>
    <w:p w14:paraId="6CC4E6D3">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特此证明。</w:t>
      </w:r>
    </w:p>
    <w:p w14:paraId="1F03B2CA">
      <w:pPr>
        <w:topLinePunct/>
        <w:snapToGrid w:val="0"/>
        <w:spacing w:line="440" w:lineRule="exact"/>
        <w:ind w:firstLine="420" w:firstLineChars="200"/>
        <w:rPr>
          <w:rFonts w:asciiTheme="minorEastAsia" w:hAnsiTheme="minorEastAsia" w:eastAsiaTheme="minorEastAsia"/>
          <w:bCs/>
          <w:color w:val="auto"/>
          <w:szCs w:val="21"/>
          <w:highlight w:val="none"/>
        </w:rPr>
      </w:pPr>
    </w:p>
    <w:p w14:paraId="20AF2F75">
      <w:pPr>
        <w:topLinePunct/>
        <w:snapToGrid w:val="0"/>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t>附：法定代表人</w:t>
      </w:r>
      <w:r>
        <w:rPr>
          <w:rFonts w:hint="eastAsia" w:asciiTheme="minorEastAsia" w:hAnsiTheme="minorEastAsia" w:eastAsiaTheme="minorEastAsia"/>
          <w:color w:val="auto"/>
          <w:highlight w:val="none"/>
        </w:rPr>
        <w:t>/负责人的合法有效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asciiTheme="minorEastAsia" w:hAnsiTheme="minorEastAsia" w:eastAsiaTheme="minorEastAsia"/>
          <w:color w:val="auto"/>
          <w:highlight w:val="none"/>
        </w:rPr>
        <w:t>复印件</w:t>
      </w:r>
      <w:r>
        <w:rPr>
          <w:rFonts w:hint="eastAsia" w:asciiTheme="minorEastAsia" w:hAnsiTheme="minorEastAsia" w:eastAsiaTheme="minorEastAsia"/>
          <w:color w:val="auto"/>
          <w:highlight w:val="none"/>
        </w:rPr>
        <w:t>或扫描件</w:t>
      </w:r>
      <w:r>
        <w:rPr>
          <w:rFonts w:hint="eastAsia" w:asciiTheme="minorEastAsia" w:hAnsiTheme="minorEastAsia" w:eastAsiaTheme="minorEastAsia"/>
          <w:bCs/>
          <w:color w:val="auto"/>
          <w:szCs w:val="21"/>
          <w:highlight w:val="none"/>
        </w:rPr>
        <w:t>(如提供中华人民共和国居民身份证的，需同时提供国徽面及人像面)</w:t>
      </w:r>
    </w:p>
    <w:p w14:paraId="391654D0">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10" name="流程图: 可选过程 10"/>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LIqoi2ECAACjBAAADgAAAGRycy9lMm9Eb2MueG1srVTN&#10;btQwEL4j8Q6W7zSbbUO7UbNV1aoIqcBKhQfwOs7GwvGYsXez5QSnCnHgAXgBbpy4wtOUn7dg4qRl&#10;Wzj0QA6WxzPzzcw3M9k/WDeGrRR6Dbbg6daIM2UllNouCv7i+cmDPc58ELYUBqwq+Lny/GB6/95+&#10;63I1hhpMqZARiPV56wpeh+DyJPGyVo3wW+CUJWUF2IhAIi6SEkVL6I1JxqPRw6QFLB2CVN7T63Gv&#10;5AMi3gUQqkpLdQxy2SgbelRURgQqydfaeT6N2VaVkuFZVXkVmCk4VRriSUHoPu/OZLov8gUKV2s5&#10;pCDuksKtmhqhLQW9hjoWQbAl6r+gGi0RPFRhS0KT9IVERqiKdHSLm7NaOBVrIaq9uybd/z9Y+XQ1&#10;Q6ZLmgSixIqGOv79y9sfn95ffvyas8sPn3+9effz2wU9MLIgulrnc/I6czPsCvbuFORLzywc1cIu&#10;1CEitLUSJSWZdvbJDYdO8OTK5u0TKCmYWAaIzK0rbDpA4oStY4POrxuk1oFJetweT3azLONMkm6c&#10;ptuTNIsxRH7l7tCHRwoa1l0KXhloKTEMhyYotCKoWT96MaZYnfrQ5SjyK79YExhdnmhjooCL+ZFB&#10;thI0QifxG0L6TTNjWVvwSTbOIvINnd+EGMXvXxCNphSZ0U3B9zaNjB1Y7IjrGxDW8/XQizmU58Qn&#10;Qj/btNl0qQFfc9bSXBfcv1oKVJyZx5Z6Mkl3drpFiMJOtjsmATc1802NsJKgCh44669HoV+epUO9&#10;qClSGsu1cEh9rHQks+txn9WQN81u5HjYs245NuVo9effMv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AIl+NgAAAAKAQAADwAAAAAAAAABACAAAAAiAAAAZHJzL2Rvd25yZXYueG1sUEsBAhQAFAAA&#10;AAgAh07iQCyKqIthAgAAowQAAA4AAAAAAAAAAQAgAAAAJwEAAGRycy9lMm9Eb2MueG1sUEsFBgAA&#10;AAAGAAYAWQEAAPoFAAAAAA==&#10;">
                <v:fill on="t" focussize="0,0"/>
                <v:stroke color="#000000" miterlimit="8" joinstyle="miter"/>
                <v:imagedata o:title=""/>
                <o:lock v:ext="edit" aspectratio="f"/>
                <v:textbo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ScbZgAgAAoQQAAA4AAABkcnMvZTJvRG9jLnhtbK1U&#10;zW7UMBC+I/EOlu80m21Du1GzVdWqCKnASoUH8DrOxsLxmLF3s+UEpwpx4AF4AW6cuMLTlJ+3YOKk&#10;ZVs49EAOlscz883MNzPZP1g3hq0Ueg224OnWiDNlJZTaLgr+4vnJgz3OfBC2FAasKvi58vxgev/e&#10;futyNYYaTKmQEYj1eesKXofg8iTxslaN8FvglCVlBdiIQCIukhJFS+iNScaj0cOkBSwdglTe0+tx&#10;r+QDIt4FEKpKS3UMctkoG3pUVEYEKsnX2nk+jdlWlZLhWVV5FZgpOFUa4klB6D7vzmS6L/IFCldr&#10;OaQg7pLCrZoaoS0FvYY6FkGwJeq/oBotETxUYUtCk/SFREaoinR0i5uzWjgVayGqvbsm3f8/WPl0&#10;NUOmy4JPOLOioYZ///L2x6f3lx+/5uzyw+dfb979/HZBD2zSkdU6n5PPmZthV653pyBfembhqBZ2&#10;oQ4Roa2VKCnFtLNPbjh0gidXNm+fQEmxxDJA5G1dYdMBEiNsHdtzft0etQ5M0uP2eLKbZRlnknTj&#10;NN2epFmMIfIrd4c+PFLQsO5S8MpAS4lhODRBoRVBzfrBizHF6tSHLkeRX/nFmsDo8kQbEwVczI8M&#10;spWgATqJ3xDSb5oZy1qiMBtnEfmGzm9CjOL3L4hGU4rM6Kbge5tGxg4sdsT1DQjr+XroxRzKc+IT&#10;oZ9s2mu61ICvOWtpqgvuXy0FKs7MY0s9maQ7O90aRGEn2x2TgJua+aZGWElQBQ+c9dej0K/O0qFe&#10;1BQpjeVaOKQ+VjqS2fW4z2rImyY3cjxsWbcam3K0+vNnm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E/ScbZgAgAAoQQAAA4AAAAAAAAAAQAgAAAAKAEAAGRycy9lMm9Eb2MueG1sUEsFBgAA&#10;AAAGAAYAWQEAAPoFAAAAAA==&#10;">
                <v:fill on="t" focussize="0,0"/>
                <v:stroke color="#000000" miterlimit="8" joinstyle="miter"/>
                <v:imagedata o:title=""/>
                <o:lock v:ext="edit" aspectratio="f"/>
                <v:textbo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v:textbox>
              </v:shape>
            </w:pict>
          </mc:Fallback>
        </mc:AlternateContent>
      </w:r>
    </w:p>
    <w:p w14:paraId="3D35FCCD">
      <w:pPr>
        <w:spacing w:line="500" w:lineRule="exact"/>
        <w:rPr>
          <w:rFonts w:asciiTheme="minorEastAsia" w:hAnsiTheme="minorEastAsia" w:eastAsiaTheme="minorEastAsia"/>
          <w:color w:val="auto"/>
          <w:szCs w:val="21"/>
          <w:highlight w:val="none"/>
        </w:rPr>
      </w:pPr>
    </w:p>
    <w:p w14:paraId="041EDC9C">
      <w:pPr>
        <w:spacing w:line="440" w:lineRule="exact"/>
        <w:rPr>
          <w:rFonts w:asciiTheme="minorEastAsia" w:hAnsiTheme="minorEastAsia" w:eastAsiaTheme="minorEastAsia"/>
          <w:color w:val="auto"/>
          <w:szCs w:val="21"/>
          <w:highlight w:val="none"/>
        </w:rPr>
      </w:pPr>
    </w:p>
    <w:p w14:paraId="6405D676">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3E70AD7B">
      <w:pPr>
        <w:spacing w:line="500" w:lineRule="exact"/>
        <w:rPr>
          <w:rFonts w:asciiTheme="minorEastAsia" w:hAnsiTheme="minorEastAsia" w:eastAsiaTheme="minorEastAsia"/>
          <w:color w:val="auto"/>
          <w:szCs w:val="21"/>
          <w:highlight w:val="none"/>
        </w:rPr>
      </w:pPr>
    </w:p>
    <w:p w14:paraId="0D47FAE5">
      <w:pPr>
        <w:spacing w:line="440" w:lineRule="exact"/>
        <w:rPr>
          <w:rFonts w:asciiTheme="minorEastAsia" w:hAnsiTheme="minorEastAsia" w:eastAsiaTheme="minorEastAsia"/>
          <w:color w:val="auto"/>
          <w:szCs w:val="21"/>
          <w:highlight w:val="none"/>
        </w:rPr>
      </w:pPr>
    </w:p>
    <w:p w14:paraId="4CBE222E">
      <w:pPr>
        <w:spacing w:line="500" w:lineRule="exact"/>
        <w:rPr>
          <w:rFonts w:asciiTheme="minorEastAsia" w:hAnsiTheme="minorEastAsia" w:eastAsiaTheme="minorEastAsia"/>
          <w:color w:val="auto"/>
          <w:szCs w:val="21"/>
          <w:highlight w:val="none"/>
        </w:rPr>
      </w:pPr>
    </w:p>
    <w:p w14:paraId="5EFB5B9B">
      <w:pPr>
        <w:spacing w:line="440" w:lineRule="exact"/>
        <w:rPr>
          <w:rFonts w:asciiTheme="minorEastAsia" w:hAnsiTheme="minorEastAsia" w:eastAsiaTheme="minorEastAsia"/>
          <w:color w:val="auto"/>
          <w:szCs w:val="21"/>
          <w:highlight w:val="none"/>
        </w:rPr>
      </w:pPr>
    </w:p>
    <w:p w14:paraId="2C7B8A3E">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74D89D60">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768247F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3FDF19AB">
      <w:pPr>
        <w:rPr>
          <w:rFonts w:hint="eastAsia" w:eastAsia="宋体"/>
          <w:color w:val="auto"/>
          <w:highlight w:val="none"/>
          <w:lang w:val="en-US" w:eastAsia="zh-CN"/>
        </w:rPr>
      </w:pPr>
      <w:r>
        <w:rPr>
          <w:rFonts w:hint="eastAsia"/>
          <w:color w:val="auto"/>
          <w:highlight w:val="none"/>
          <w:lang w:val="en-US" w:eastAsia="zh-CN"/>
        </w:rPr>
        <w:t xml:space="preserve"> </w:t>
      </w:r>
    </w:p>
    <w:p w14:paraId="62C8FD11">
      <w:pPr>
        <w:rPr>
          <w:color w:val="auto"/>
          <w:highlight w:val="none"/>
        </w:rPr>
      </w:pPr>
    </w:p>
    <w:p w14:paraId="060B2338">
      <w:pPr>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p>
    <w:p w14:paraId="3DE15081">
      <w:pPr>
        <w:pStyle w:val="74"/>
        <w:numPr>
          <w:ilvl w:val="0"/>
          <w:numId w:val="41"/>
        </w:numPr>
        <w:tabs>
          <w:tab w:val="left" w:pos="588"/>
        </w:tabs>
        <w:snapToGrid w:val="0"/>
        <w:spacing w:before="120" w:after="120" w:line="440" w:lineRule="exact"/>
        <w:ind w:left="635" w:leftChars="0" w:firstLineChars="0"/>
        <w:jc w:val="both"/>
        <w:outlineLvl w:val="1"/>
        <w:rPr>
          <w:rFonts w:asciiTheme="minorEastAsia" w:hAnsiTheme="minorEastAsia" w:eastAsiaTheme="minorEastAsia"/>
          <w:color w:val="auto"/>
          <w:sz w:val="24"/>
          <w:szCs w:val="24"/>
          <w:highlight w:val="none"/>
        </w:rPr>
      </w:pPr>
      <w:r>
        <w:rPr>
          <w:rFonts w:asciiTheme="minorEastAsia" w:hAnsiTheme="minorEastAsia" w:eastAsiaTheme="minorEastAsia"/>
          <w:color w:val="auto"/>
          <w:szCs w:val="21"/>
          <w:highlight w:val="none"/>
        </w:rPr>
        <w:br w:type="page"/>
      </w:r>
      <w:bookmarkStart w:id="582" w:name="_Toc15843"/>
      <w:bookmarkStart w:id="583" w:name="_Toc438052122"/>
      <w:bookmarkStart w:id="584" w:name="_Toc475472675"/>
      <w:bookmarkStart w:id="585" w:name="_Toc11041"/>
      <w:r>
        <w:rPr>
          <w:rFonts w:hint="eastAsia" w:asciiTheme="minorEastAsia" w:hAnsiTheme="minorEastAsia" w:eastAsiaTheme="minorEastAsia"/>
          <w:color w:val="auto"/>
          <w:sz w:val="24"/>
          <w:szCs w:val="24"/>
          <w:highlight w:val="none"/>
        </w:rPr>
        <w:t>法定代表人/负责人授权委托书</w:t>
      </w:r>
      <w:bookmarkEnd w:id="582"/>
      <w:bookmarkEnd w:id="583"/>
      <w:bookmarkEnd w:id="584"/>
      <w:bookmarkEnd w:id="585"/>
    </w:p>
    <w:p w14:paraId="1FEDF65D">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法定代表人/负责人授权委托书</w:t>
      </w:r>
    </w:p>
    <w:p w14:paraId="3F39ED06">
      <w:pPr>
        <w:jc w:val="center"/>
        <w:rPr>
          <w:rFonts w:cs="宋体" w:asciiTheme="minorEastAsia" w:hAnsiTheme="minorEastAsia" w:eastAsiaTheme="minorEastAsia"/>
          <w:b/>
          <w:color w:val="auto"/>
          <w:sz w:val="24"/>
          <w:highlight w:val="none"/>
        </w:rPr>
      </w:pPr>
    </w:p>
    <w:p w14:paraId="31292976">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本人</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系 </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的法定代表人，现委托</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[委托代理人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为我方代理人。代理人根据授权，以我方名义</w:t>
      </w:r>
      <w:r>
        <w:rPr>
          <w:rFonts w:hint="eastAsia" w:asciiTheme="minorEastAsia" w:hAnsiTheme="minorEastAsia" w:eastAsiaTheme="minorEastAsia"/>
          <w:bCs/>
          <w:color w:val="auto"/>
          <w:szCs w:val="21"/>
          <w:highlight w:val="none"/>
        </w:rPr>
        <w:t>全权处理</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湖北信通通信有限公司2026年度大冶物资装卸及搬运服务项目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u w:val="single"/>
        </w:rPr>
        <w:t>签署、澄清</w:t>
      </w:r>
      <w:r>
        <w:rPr>
          <w:rFonts w:hint="eastAsia" w:asciiTheme="minorEastAsia" w:hAnsiTheme="minorEastAsia" w:eastAsiaTheme="minorEastAsia"/>
          <w:bCs/>
          <w:color w:val="auto"/>
          <w:szCs w:val="21"/>
          <w:highlight w:val="none"/>
          <w:u w:val="single"/>
        </w:rPr>
        <w:t>、说明、补正</w:t>
      </w:r>
      <w:r>
        <w:rPr>
          <w:rFonts w:asciiTheme="minorEastAsia" w:hAnsiTheme="minorEastAsia" w:eastAsiaTheme="minorEastAsia"/>
          <w:bCs/>
          <w:color w:val="auto"/>
          <w:szCs w:val="21"/>
          <w:highlight w:val="none"/>
          <w:u w:val="single"/>
        </w:rPr>
        <w:t>、</w:t>
      </w:r>
      <w:r>
        <w:rPr>
          <w:rFonts w:hint="eastAsia" w:asciiTheme="minorEastAsia" w:hAnsiTheme="minorEastAsia" w:eastAsiaTheme="minorEastAsia"/>
          <w:bCs/>
          <w:color w:val="auto"/>
          <w:szCs w:val="21"/>
          <w:highlight w:val="none"/>
          <w:u w:val="single"/>
        </w:rPr>
        <w:t>提交</w:t>
      </w:r>
      <w:r>
        <w:rPr>
          <w:rFonts w:asciiTheme="minorEastAsia" w:hAnsiTheme="minorEastAsia" w:eastAsiaTheme="minorEastAsia"/>
          <w:bCs/>
          <w:color w:val="auto"/>
          <w:szCs w:val="21"/>
          <w:highlight w:val="none"/>
          <w:u w:val="single"/>
        </w:rPr>
        <w:t>、撤回、修改</w:t>
      </w:r>
      <w:r>
        <w:rPr>
          <w:rFonts w:hint="eastAsia" w:asciiTheme="minorEastAsia" w:hAnsiTheme="minorEastAsia" w:eastAsiaTheme="minorEastAsia"/>
          <w:bCs/>
          <w:color w:val="auto"/>
          <w:szCs w:val="21"/>
          <w:highlight w:val="none"/>
          <w:u w:val="single"/>
        </w:rPr>
        <w:t>响应文件，</w:t>
      </w:r>
      <w:r>
        <w:rPr>
          <w:rFonts w:asciiTheme="minorEastAsia" w:hAnsiTheme="minorEastAsia" w:eastAsiaTheme="minorEastAsia"/>
          <w:bCs/>
          <w:color w:val="auto"/>
          <w:szCs w:val="21"/>
          <w:highlight w:val="none"/>
          <w:u w:val="single"/>
        </w:rPr>
        <w:t>签订合同和处理</w:t>
      </w:r>
      <w:r>
        <w:rPr>
          <w:rFonts w:hint="eastAsia" w:asciiTheme="minorEastAsia" w:hAnsiTheme="minorEastAsia" w:eastAsiaTheme="minorEastAsia"/>
          <w:bCs/>
          <w:color w:val="auto"/>
          <w:szCs w:val="21"/>
          <w:highlight w:val="none"/>
          <w:u w:val="single"/>
        </w:rPr>
        <w:t>一切</w:t>
      </w:r>
      <w:r>
        <w:rPr>
          <w:rFonts w:asciiTheme="minorEastAsia" w:hAnsiTheme="minorEastAsia" w:eastAsiaTheme="minorEastAsia"/>
          <w:bCs/>
          <w:color w:val="auto"/>
          <w:szCs w:val="21"/>
          <w:highlight w:val="none"/>
          <w:u w:val="single"/>
        </w:rPr>
        <w:t>有关事宜</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，其法律后果由我方承担。 </w:t>
      </w:r>
    </w:p>
    <w:p w14:paraId="2428403C">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委托期限：</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w:t>
      </w:r>
    </w:p>
    <w:p w14:paraId="0D16A5A1">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w:t>
      </w:r>
      <w:r>
        <w:rPr>
          <w:rFonts w:asciiTheme="minorEastAsia" w:hAnsiTheme="minorEastAsia" w:eastAsiaTheme="minorEastAsia"/>
          <w:bCs/>
          <w:color w:val="auto"/>
          <w:szCs w:val="21"/>
          <w:highlight w:val="none"/>
        </w:rPr>
        <w:t>代理人无转委托权。</w:t>
      </w:r>
    </w:p>
    <w:p w14:paraId="2930F983">
      <w:pPr>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附：</w:t>
      </w:r>
    </w:p>
    <w:p w14:paraId="2F37B18D">
      <w:pPr>
        <w:pStyle w:val="102"/>
        <w:numPr>
          <w:ilvl w:val="0"/>
          <w:numId w:val="45"/>
        </w:numPr>
        <w:spacing w:line="440" w:lineRule="exact"/>
        <w:ind w:firstLineChars="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w:t>
      </w:r>
      <w:r>
        <w:rPr>
          <w:rFonts w:hint="eastAsia" w:asciiTheme="minorEastAsia" w:hAnsiTheme="minorEastAsia" w:eastAsiaTheme="minorEastAsia"/>
          <w:color w:val="auto"/>
          <w:highlight w:val="none"/>
        </w:rPr>
        <w:t>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hint="eastAsia" w:asciiTheme="minorEastAsia" w:hAnsiTheme="minorEastAsia" w:eastAsiaTheme="minorEastAsia"/>
          <w:bCs/>
          <w:color w:val="auto"/>
          <w:szCs w:val="21"/>
          <w:highlight w:val="none"/>
        </w:rPr>
        <w:t>复印件或扫描件(如提供中华人民共和国居民身份证的，需同时提供国徽面及人像面)</w:t>
      </w:r>
    </w:p>
    <w:p w14:paraId="69850B82">
      <w:pPr>
        <w:topLinePunct/>
        <w:snapToGrid w:val="0"/>
        <w:spacing w:line="440" w:lineRule="exact"/>
        <w:ind w:firstLine="420" w:firstLineChars="200"/>
        <w:jc w:val="righ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 xml:space="preserve"> </w:t>
      </w:r>
    </w:p>
    <w:p w14:paraId="1C4DF2C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9DCC268">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委托代理人上级领导：</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（姓名）</w:t>
      </w:r>
    </w:p>
    <w:p w14:paraId="6D385DF9">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联系方式（手机）：</w:t>
      </w:r>
      <w:r>
        <w:rPr>
          <w:rFonts w:hint="eastAsia" w:asciiTheme="minorEastAsia" w:hAnsiTheme="minorEastAsia" w:eastAsiaTheme="minorEastAsia"/>
          <w:bCs/>
          <w:color w:val="auto"/>
          <w:szCs w:val="21"/>
          <w:highlight w:val="none"/>
          <w:u w:val="single"/>
        </w:rPr>
        <w:t xml:space="preserve">                     </w:t>
      </w:r>
    </w:p>
    <w:p w14:paraId="05E8BC07">
      <w:pPr>
        <w:topLinePunct/>
        <w:snapToGrid w:val="0"/>
        <w:spacing w:line="44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EEE1497">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8" name="流程图: 可选过程 8"/>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VgdiWGACAAChBAAADgAAAGRycy9lMm9Eb2MueG1srVTN&#10;btQwEL4j8Q6W7zSbbUO7UbNV1aoIqcBKhQfwOs7GwvGYsXez5QSnCnHgAXgBbpy4wtOUn7dg4qRl&#10;Wzj0QA6Wx+P5Zub7PNk/WDeGrRR6Dbbg6daIM2UllNouCv7i+cmDPc58ELYUBqwq+Lny/GB6/95+&#10;63I1hhpMqZARiPV56wpeh+DyJPGyVo3wW+CUJWcF2IhAJi6SEkVL6I1JxqPRw6QFLB2CVN7T6XHv&#10;5AMi3gUQqkpLdQxy2SgbelRURgRqydfaeT6N1VaVkuFZVXkVmCk4dRriSkloP+/WZLov8gUKV2s5&#10;lCDuUsKtnhqhLSW9hjoWQbAl6r+gGi0RPFRhS0KT9I1ERqiLdHSLm7NaOBV7Iaq9uybd/z9Y+XQ1&#10;Q6bLgpPsVjQk+Pcvb398en/58WvOLj98/vXm3c9vF3TA9jqyWudzijlzM+za9e4U5EvPLBzVwi7U&#10;ISK0tRIllZh295MbAZ3hKZTN2ydQUi6xDBB5W1fYdIDECFtHec6v5VHrwCQdbo8nu1mWcSbJN07T&#10;7UmaxRwivwp36MMjBQ3rNgWvDLRUGIZDExRaEdSsf3gxp1id+tDVKPKruNgTGF2eaGOigYv5kUG2&#10;EvSATuI3pPSb14xlbcEn2TiLyDd8fhNiFL9/QTSaSmRGNyTF5iVjBxY74noBwnq+HrSYQ3lOfCL0&#10;L5vmmjY14GvOWnrVBfevlgIVZ+axJU0m6c5ONwbR2Ml2x2Tgpme+6RFWElTBA2f99ij0o7N0qBc1&#10;ZUpjuxYOScdKRzI7jfuqhrrp5UaOhynrRmPTjrf+/Fm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AAiX42AAAAAoBAAAPAAAAAAAAAAEAIAAAACIAAABkcnMvZG93bnJldi54bWxQSwECFAAUAAAA&#10;CACHTuJAVgdiWGACAAChBAAADgAAAAAAAAABACAAAAAnAQAAZHJzL2Uyb0RvYy54bWxQSwUGAAAA&#10;AAYABgBZAQAA+QUAAAAA&#10;">
                <v:fill on="t" focussize="0,0"/>
                <v:stroke color="#000000" miterlimit="8" joinstyle="miter"/>
                <v:imagedata o:title=""/>
                <o:lock v:ext="edit" aspectratio="f"/>
                <v:textbo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BaX0KJgAgAAoQQAAA4AAABkcnMvZTJvRG9jLnhtbK1U&#10;zW7UMBC+I/EOlu80m23DdqNmq6pVEVKBSoUH8DrOxsLxmLF3s+UEpwpx4AF4AW6cuMLTlJ+3YOKk&#10;ZVs49EAOlscz883MNzPZ2183hq0Ueg224OnWiDNlJZTaLgr+4vnxg13OfBC2FAasKvi58nx/dv/e&#10;XutyNYYaTKmQEYj1eesKXofg8iTxslaN8FvglCVlBdiIQCIukhJFS+iNScaj0cOkBSwdglTe0+tR&#10;r+QDIt4FEKpKS3UEctkoG3pUVEYEKsnX2nk+i9lWlZLhWVV5FZgpOFUa4klB6D7vzmS2J/IFCldr&#10;OaQg7pLCrZoaoS0FvYY6EkGwJeq/oBotETxUYUtCk/SFREaoinR0i5uzWjgVayGqvbsm3f8/WPl0&#10;dYpMlwWfcGZFQw3//uXtj0/vLz9+zdnlh8+/3rz7+e2CHtikI6t1PiefM3eKXbnenYB86ZmFw1rY&#10;hTpAhLZWoqQU084+ueHQCZ5c2bx9AiXFEssAkbd1hU0HSIywdWzP+XV71DowSY/b4+kkyzLOJOnG&#10;abo9TbMYQ+RX7g59eKSgYd2l4JWBlhLDcGCCQiuCOu0HL8YUqxMfuhxFfuUXawKjy2NtTBRwMT80&#10;yFaCBug4fkNIv2lmLGsLPs3GWUS+ofObEKP4/Qui0ZQiM7op+O6mkbEDix1xfQPCer4eejGH8pz4&#10;ROgnm/aaLjXga85amuqC+1dLgYoz89hST6bpzk63BlHYySZjEnBTM9/UCCsJquCBs/56GPrVWTrU&#10;i5oipbFcCwfUx0pHMrse91kNedPkRo6HLetWY1OOVn/+LL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BaX0KJgAgAAoQQAAA4AAAAAAAAAAQAgAAAAKAEAAGRycy9lMm9Eb2MueG1sUEsFBgAA&#10;AAAGAAYAWQEAAPoFAAAAAA==&#10;">
                <v:fill on="t" focussize="0,0"/>
                <v:stroke color="#000000" miterlimit="8" joinstyle="miter"/>
                <v:imagedata o:title=""/>
                <o:lock v:ext="edit" aspectratio="f"/>
                <v:textbo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p>
    <w:p w14:paraId="46198098">
      <w:pPr>
        <w:spacing w:line="440" w:lineRule="exact"/>
        <w:rPr>
          <w:rFonts w:asciiTheme="minorEastAsia" w:hAnsiTheme="minorEastAsia" w:eastAsiaTheme="minorEastAsia"/>
          <w:color w:val="auto"/>
          <w:szCs w:val="21"/>
          <w:highlight w:val="none"/>
        </w:rPr>
      </w:pPr>
    </w:p>
    <w:p w14:paraId="1B9442E6">
      <w:pPr>
        <w:spacing w:line="500" w:lineRule="exact"/>
        <w:rPr>
          <w:rFonts w:asciiTheme="minorEastAsia" w:hAnsiTheme="minorEastAsia" w:eastAsiaTheme="minorEastAsia"/>
          <w:color w:val="auto"/>
          <w:szCs w:val="21"/>
          <w:highlight w:val="none"/>
        </w:rPr>
      </w:pPr>
    </w:p>
    <w:p w14:paraId="56720CB5">
      <w:pPr>
        <w:spacing w:line="440" w:lineRule="exact"/>
        <w:rPr>
          <w:rFonts w:asciiTheme="minorEastAsia" w:hAnsiTheme="minorEastAsia" w:eastAsiaTheme="minorEastAsia"/>
          <w:color w:val="auto"/>
          <w:szCs w:val="21"/>
          <w:highlight w:val="none"/>
        </w:rPr>
      </w:pPr>
    </w:p>
    <w:p w14:paraId="480E3F65">
      <w:pPr>
        <w:topLinePunct/>
        <w:snapToGrid w:val="0"/>
        <w:spacing w:line="440" w:lineRule="exact"/>
        <w:rPr>
          <w:rFonts w:asciiTheme="minorEastAsia" w:hAnsiTheme="minorEastAsia" w:eastAsiaTheme="minorEastAsia"/>
          <w:color w:val="auto"/>
          <w:highlight w:val="none"/>
        </w:rPr>
      </w:pPr>
    </w:p>
    <w:p w14:paraId="53AC84D5">
      <w:pPr>
        <w:topLinePunct/>
        <w:spacing w:line="440" w:lineRule="exact"/>
        <w:jc w:val="left"/>
        <w:rPr>
          <w:rFonts w:asciiTheme="minorEastAsia" w:hAnsiTheme="minorEastAsia" w:eastAsiaTheme="minorEastAsia"/>
          <w:color w:val="auto"/>
          <w:highlight w:val="none"/>
        </w:rPr>
      </w:pPr>
    </w:p>
    <w:p w14:paraId="7BD26414">
      <w:pPr>
        <w:topLinePunct/>
        <w:spacing w:line="440" w:lineRule="exact"/>
        <w:jc w:val="left"/>
        <w:rPr>
          <w:rFonts w:asciiTheme="minorEastAsia" w:hAnsiTheme="minorEastAsia" w:eastAsiaTheme="minorEastAsia"/>
          <w:color w:val="auto"/>
          <w:highlight w:val="none"/>
        </w:rPr>
      </w:pPr>
    </w:p>
    <w:p w14:paraId="2F014108">
      <w:pPr>
        <w:topLinePunct/>
        <w:spacing w:line="440" w:lineRule="exact"/>
        <w:jc w:val="left"/>
        <w:rPr>
          <w:rFonts w:asciiTheme="minorEastAsia" w:hAnsiTheme="minorEastAsia" w:eastAsiaTheme="minorEastAsia"/>
          <w:color w:val="auto"/>
          <w:highlight w:val="none"/>
        </w:rPr>
      </w:pPr>
    </w:p>
    <w:p w14:paraId="34194510">
      <w:pPr>
        <w:topLinePunct/>
        <w:spacing w:line="440" w:lineRule="exact"/>
        <w:jc w:val="left"/>
        <w:rPr>
          <w:rFonts w:asciiTheme="minorEastAsia" w:hAnsiTheme="minorEastAsia" w:eastAsiaTheme="minorEastAsia"/>
          <w:color w:val="auto"/>
          <w:highlight w:val="none"/>
        </w:rPr>
      </w:pPr>
    </w:p>
    <w:p w14:paraId="63A0D92A">
      <w:pPr>
        <w:topLinePunct/>
        <w:spacing w:line="440" w:lineRule="exact"/>
        <w:jc w:val="left"/>
        <w:rPr>
          <w:rFonts w:asciiTheme="minorEastAsia" w:hAnsiTheme="minorEastAsia" w:eastAsiaTheme="minorEastAsia"/>
          <w:color w:val="auto"/>
          <w:highlight w:val="none"/>
        </w:rPr>
      </w:pPr>
    </w:p>
    <w:p w14:paraId="4F00527C">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58AA6554">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0F20E92D">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6" w:name="_Toc475472676"/>
      <w:bookmarkStart w:id="587" w:name="_Toc23410"/>
      <w:bookmarkStart w:id="588" w:name="_Toc3484"/>
      <w:r>
        <w:rPr>
          <w:rFonts w:hint="eastAsia" w:asciiTheme="minorEastAsia" w:hAnsiTheme="minorEastAsia" w:eastAsiaTheme="minorEastAsia"/>
          <w:color w:val="auto"/>
          <w:sz w:val="24"/>
          <w:szCs w:val="24"/>
          <w:highlight w:val="none"/>
        </w:rPr>
        <w:t>制造商授权函</w:t>
      </w:r>
      <w:bookmarkEnd w:id="586"/>
      <w:r>
        <w:rPr>
          <w:rFonts w:hint="eastAsia"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lang w:val="en-US" w:eastAsia="zh-CN"/>
        </w:rPr>
        <w:t>如有</w:t>
      </w:r>
      <w:r>
        <w:rPr>
          <w:rFonts w:hint="eastAsia" w:asciiTheme="minorEastAsia" w:hAnsiTheme="minorEastAsia" w:eastAsiaTheme="minorEastAsia"/>
          <w:color w:val="auto"/>
          <w:sz w:val="24"/>
          <w:szCs w:val="24"/>
          <w:highlight w:val="none"/>
        </w:rPr>
        <w:t>）</w:t>
      </w:r>
      <w:bookmarkEnd w:id="587"/>
      <w:bookmarkEnd w:id="588"/>
    </w:p>
    <w:p w14:paraId="57D5E803">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制造商授权函</w:t>
      </w:r>
    </w:p>
    <w:p w14:paraId="7BE3B2D3">
      <w:pPr>
        <w:topLinePunct/>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p w14:paraId="7D563008">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（制造商名称）</w:t>
      </w:r>
      <w:r>
        <w:rPr>
          <w:rFonts w:hint="eastAsia" w:asciiTheme="minorEastAsia" w:hAnsiTheme="minorEastAsia" w:eastAsiaTheme="minorEastAsia"/>
          <w:color w:val="auto"/>
          <w:szCs w:val="21"/>
          <w:highlight w:val="none"/>
        </w:rPr>
        <w:t>是按</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法律成立的制造商，主要制造地点设在</w:t>
      </w:r>
      <w:r>
        <w:rPr>
          <w:rFonts w:hint="eastAsia" w:asciiTheme="minorEastAsia" w:hAnsiTheme="minorEastAsia" w:eastAsiaTheme="minorEastAsia"/>
          <w:color w:val="auto"/>
          <w:szCs w:val="21"/>
          <w:highlight w:val="none"/>
          <w:u w:val="single"/>
        </w:rPr>
        <w:t xml:space="preserve">           （制造商地址）</w:t>
      </w:r>
      <w:r>
        <w:rPr>
          <w:rFonts w:hint="eastAsia" w:asciiTheme="minorEastAsia" w:hAnsiTheme="minorEastAsia" w:eastAsiaTheme="minorEastAsia"/>
          <w:color w:val="auto"/>
          <w:szCs w:val="21"/>
          <w:highlight w:val="none"/>
        </w:rPr>
        <w:t xml:space="preserve">。兹指派按 </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的法律正式成立的，主要营业地点设在</w:t>
      </w:r>
      <w:r>
        <w:rPr>
          <w:rFonts w:hint="eastAsia" w:asciiTheme="minorEastAsia" w:hAnsiTheme="minorEastAsia" w:eastAsiaTheme="minorEastAsia"/>
          <w:color w:val="auto"/>
          <w:szCs w:val="21"/>
          <w:highlight w:val="none"/>
          <w:u w:val="single"/>
        </w:rPr>
        <w:t xml:space="preserve">        （代理商地址）</w:t>
      </w:r>
      <w:r>
        <w:rPr>
          <w:rFonts w:hint="eastAsia" w:asciiTheme="minorEastAsia" w:hAnsiTheme="minorEastAsia" w:eastAsiaTheme="minorEastAsia"/>
          <w:color w:val="auto"/>
          <w:szCs w:val="21"/>
          <w:highlight w:val="none"/>
        </w:rPr>
        <w:t>的</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作为我方合法的唯一代理人进行下列有效的询比活动：</w:t>
      </w:r>
    </w:p>
    <w:p w14:paraId="4DD7E9CB">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（1）代表我方在【中国】办理贵方</w:t>
      </w:r>
      <w:r>
        <w:rPr>
          <w:rFonts w:hint="eastAsia" w:asciiTheme="minorEastAsia" w:hAnsiTheme="minorEastAsia" w:eastAsiaTheme="minorEastAsia"/>
          <w:color w:val="auto"/>
          <w:szCs w:val="21"/>
          <w:highlight w:val="none"/>
          <w:u w:val="single"/>
        </w:rPr>
        <w:t xml:space="preserve">              （项目名称）</w:t>
      </w:r>
      <w:r>
        <w:rPr>
          <w:rFonts w:hint="eastAsia" w:asciiTheme="minorEastAsia" w:hAnsiTheme="minorEastAsia" w:eastAsiaTheme="minorEastAsia"/>
          <w:color w:val="auto"/>
          <w:szCs w:val="21"/>
          <w:highlight w:val="none"/>
        </w:rPr>
        <w:t>货物询比邀请要求提供的由我方制造的货物的有关事宜，并对我方具有约束力。</w:t>
      </w:r>
    </w:p>
    <w:p w14:paraId="5EDB144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）作为制造商，我方保证提供符合询比文件中所规定的货物，按照成交合同供货，</w:t>
      </w:r>
      <w:r>
        <w:rPr>
          <w:rFonts w:hint="eastAsia" w:cs="宋体" w:asciiTheme="minorEastAsia" w:hAnsiTheme="minorEastAsia" w:eastAsiaTheme="minorEastAsia"/>
          <w:color w:val="auto"/>
          <w:szCs w:val="21"/>
          <w:highlight w:val="none"/>
        </w:rPr>
        <w:t>并对产品质量承担责任</w:t>
      </w:r>
      <w:r>
        <w:rPr>
          <w:rFonts w:hint="eastAsia" w:asciiTheme="minorEastAsia" w:hAnsiTheme="minorEastAsia" w:eastAsiaTheme="minorEastAsia"/>
          <w:color w:val="auto"/>
          <w:szCs w:val="21"/>
          <w:highlight w:val="none"/>
        </w:rPr>
        <w:t>。</w:t>
      </w:r>
    </w:p>
    <w:p w14:paraId="6FC8AC9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）我方兹授予</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全权办理和履行上述我方为完成上述各点所必须的事宜，具有替换或撤消的全权。兹确认</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或其正式委托代理人依此合法地办理一切事宜。</w:t>
      </w:r>
    </w:p>
    <w:p w14:paraId="56CB551F">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日签署本文件，</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日接受此件，以此为证。</w:t>
      </w:r>
    </w:p>
    <w:p w14:paraId="6B4182EE">
      <w:pPr>
        <w:tabs>
          <w:tab w:val="left" w:pos="0"/>
        </w:tabs>
        <w:spacing w:line="440" w:lineRule="exact"/>
        <w:ind w:left="420"/>
        <w:rPr>
          <w:rFonts w:asciiTheme="minorEastAsia" w:hAnsiTheme="minorEastAsia" w:eastAsiaTheme="minorEastAsia"/>
          <w:color w:val="auto"/>
          <w:sz w:val="24"/>
          <w:highlight w:val="none"/>
        </w:rPr>
      </w:pPr>
    </w:p>
    <w:p w14:paraId="53FCC8BD">
      <w:pPr>
        <w:tabs>
          <w:tab w:val="left" w:pos="0"/>
        </w:tabs>
        <w:spacing w:line="360" w:lineRule="auto"/>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代理商名称：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b/>
          <w:color w:val="auto"/>
          <w:szCs w:val="21"/>
          <w:highlight w:val="none"/>
        </w:rPr>
        <w:t>制造商名称：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p>
    <w:p w14:paraId="2AF3EB00">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签字人职务和部门：</w:t>
      </w:r>
      <w:r>
        <w:rPr>
          <w:rFonts w:hint="eastAsia" w:asciiTheme="minorEastAsia" w:hAnsiTheme="minorEastAsia" w:eastAsiaTheme="minorEastAsia"/>
          <w:color w:val="auto"/>
          <w:szCs w:val="21"/>
          <w:highlight w:val="none"/>
          <w:u w:val="single"/>
        </w:rPr>
        <w:t xml:space="preserve">            </w:t>
      </w:r>
    </w:p>
    <w:p w14:paraId="3AA08322">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签字人姓名：</w:t>
      </w:r>
      <w:r>
        <w:rPr>
          <w:rFonts w:hint="eastAsia" w:asciiTheme="minorEastAsia" w:hAnsiTheme="minorEastAsia" w:eastAsiaTheme="minorEastAsia"/>
          <w:color w:val="auto"/>
          <w:szCs w:val="21"/>
          <w:highlight w:val="none"/>
          <w:u w:val="single"/>
        </w:rPr>
        <w:t xml:space="preserve">                  </w:t>
      </w:r>
    </w:p>
    <w:p w14:paraId="0813C499">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签字人签名：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签字人签名：</w:t>
      </w:r>
      <w:r>
        <w:rPr>
          <w:rFonts w:hint="eastAsia" w:asciiTheme="minorEastAsia" w:hAnsiTheme="minorEastAsia" w:eastAsiaTheme="minorEastAsia"/>
          <w:color w:val="auto"/>
          <w:szCs w:val="21"/>
          <w:highlight w:val="none"/>
          <w:u w:val="single"/>
        </w:rPr>
        <w:t xml:space="preserve">                  </w:t>
      </w:r>
    </w:p>
    <w:p w14:paraId="5D7CD606">
      <w:pPr>
        <w:tabs>
          <w:tab w:val="left" w:pos="0"/>
        </w:tabs>
        <w:spacing w:line="360" w:lineRule="auto"/>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本项目联系人职务和部门：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本项目联系人职务和部门：</w:t>
      </w:r>
      <w:r>
        <w:rPr>
          <w:rFonts w:hint="eastAsia" w:asciiTheme="minorEastAsia" w:hAnsiTheme="minorEastAsia" w:eastAsiaTheme="minorEastAsia"/>
          <w:color w:val="auto"/>
          <w:szCs w:val="21"/>
          <w:highlight w:val="none"/>
          <w:u w:val="single"/>
        </w:rPr>
        <w:t xml:space="preserve">      </w:t>
      </w:r>
    </w:p>
    <w:p w14:paraId="63C43C01">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联系人姓名：</w:t>
      </w:r>
      <w:r>
        <w:rPr>
          <w:rFonts w:hint="eastAsia" w:asciiTheme="minorEastAsia" w:hAnsiTheme="minorEastAsia" w:eastAsiaTheme="minorEastAsia"/>
          <w:color w:val="auto"/>
          <w:szCs w:val="21"/>
          <w:highlight w:val="none"/>
          <w:u w:val="single"/>
        </w:rPr>
        <w:t xml:space="preserve">                  </w:t>
      </w:r>
    </w:p>
    <w:p w14:paraId="547B504C">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联系人电话：</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联系人电话：</w:t>
      </w:r>
      <w:r>
        <w:rPr>
          <w:rFonts w:hint="eastAsia" w:asciiTheme="minorEastAsia" w:hAnsiTheme="minorEastAsia" w:eastAsiaTheme="minorEastAsia"/>
          <w:color w:val="auto"/>
          <w:szCs w:val="21"/>
          <w:highlight w:val="none"/>
          <w:u w:val="single"/>
        </w:rPr>
        <w:t xml:space="preserve">                  </w:t>
      </w:r>
    </w:p>
    <w:p w14:paraId="0D7513C0">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联系人邮箱：</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联系人邮箱：</w:t>
      </w:r>
      <w:r>
        <w:rPr>
          <w:rFonts w:hint="eastAsia" w:asciiTheme="minorEastAsia" w:hAnsiTheme="minorEastAsia" w:eastAsiaTheme="minorEastAsia"/>
          <w:color w:val="auto"/>
          <w:szCs w:val="21"/>
          <w:highlight w:val="none"/>
          <w:u w:val="single"/>
        </w:rPr>
        <w:t xml:space="preserve">                  </w:t>
      </w:r>
    </w:p>
    <w:p w14:paraId="6D50A15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03A9EC62">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代理商和制造商均应按要求签字并加盖单位公章，并上传签章后的扫描件。</w:t>
      </w:r>
    </w:p>
    <w:p w14:paraId="332A749F">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针对特殊情况下接受代理商响应（①产品制造商注册地在中华人民共和国境外（与中华人民共和国有正常贸易与往来的国家或地区）及香港、澳门、台湾地区且必须使用代理商响应和签订销售合同；②产品</w:t>
      </w:r>
      <w:r>
        <w:rPr>
          <w:rFonts w:asciiTheme="minorEastAsia" w:hAnsiTheme="minorEastAsia" w:eastAsiaTheme="minorEastAsia"/>
          <w:color w:val="auto"/>
          <w:szCs w:val="21"/>
          <w:highlight w:val="none"/>
        </w:rPr>
        <w:t>制造商</w:t>
      </w:r>
      <w:r>
        <w:rPr>
          <w:rFonts w:hint="eastAsia" w:asciiTheme="minorEastAsia" w:hAnsiTheme="minorEastAsia" w:eastAsiaTheme="minorEastAsia"/>
          <w:color w:val="auto"/>
          <w:szCs w:val="21"/>
          <w:highlight w:val="none"/>
        </w:rPr>
        <w:t>为</w:t>
      </w:r>
      <w:r>
        <w:rPr>
          <w:rFonts w:asciiTheme="minorEastAsia" w:hAnsiTheme="minorEastAsia" w:eastAsiaTheme="minorEastAsia"/>
          <w:color w:val="auto"/>
          <w:szCs w:val="21"/>
          <w:highlight w:val="none"/>
        </w:rPr>
        <w:t>注册地在中华人民共和国境内的外资企业</w:t>
      </w:r>
      <w:r>
        <w:rPr>
          <w:rFonts w:hint="eastAsia" w:asciiTheme="minorEastAsia" w:hAnsiTheme="minorEastAsia" w:eastAsiaTheme="minorEastAsia"/>
          <w:color w:val="auto"/>
          <w:szCs w:val="21"/>
          <w:highlight w:val="none"/>
        </w:rPr>
        <w:t>(包括香港、澳门、台湾地区资本)或者由外国投资者（包括香港、澳门、台湾地区）享有绝对控制权（最大或最多表决权）的企业且必须使用代理商响应和签订销售合同）的项目，应同时提供产品制造商出具使用代理商响应理由的说明文件。</w:t>
      </w:r>
    </w:p>
    <w:p w14:paraId="5E949749">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04233262">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color w:val="auto"/>
          <w:highlight w:val="none"/>
        </w:rPr>
        <w:t>供应商可以根据实际情况对本文件进行调整和修改，但应满足询比文件对本文件的要求。</w:t>
      </w:r>
    </w:p>
    <w:p w14:paraId="6FC30025">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12685998">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9" w:name="_Toc475294115"/>
      <w:bookmarkStart w:id="590" w:name="_Toc933"/>
      <w:bookmarkStart w:id="591" w:name="_Toc475472677"/>
      <w:bookmarkStart w:id="592" w:name="_Toc25894"/>
      <w:r>
        <w:rPr>
          <w:rFonts w:hint="eastAsia" w:asciiTheme="minorEastAsia" w:hAnsiTheme="minorEastAsia" w:eastAsiaTheme="minorEastAsia"/>
          <w:color w:val="auto"/>
          <w:sz w:val="24"/>
          <w:szCs w:val="24"/>
          <w:highlight w:val="none"/>
        </w:rPr>
        <w:t>廉洁响应承诺书</w:t>
      </w:r>
      <w:bookmarkEnd w:id="589"/>
      <w:bookmarkEnd w:id="590"/>
      <w:bookmarkEnd w:id="591"/>
      <w:bookmarkEnd w:id="592"/>
    </w:p>
    <w:p w14:paraId="0AA4A1CB">
      <w:pPr>
        <w:topLinePunct/>
        <w:spacing w:line="440" w:lineRule="exact"/>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sz w:val="24"/>
          <w:highlight w:val="none"/>
        </w:rPr>
        <w:t>廉洁响应承诺书</w:t>
      </w:r>
    </w:p>
    <w:p w14:paraId="186ADA7E">
      <w:pPr>
        <w:topLinePunct/>
        <w:snapToGrid w:val="0"/>
        <w:spacing w:line="400" w:lineRule="exac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highlight w:val="none"/>
          <w:lang w:eastAsia="zh-CN"/>
        </w:rPr>
        <w:t>湖北信通通信有限公司</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rPr>
        <w:t>：</w:t>
      </w:r>
    </w:p>
    <w:p w14:paraId="3AA0D52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我公司自愿参加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湖北信通通信有限公司2026年度大冶物资装卸及搬运服务项目</w:t>
      </w:r>
      <w:r>
        <w:rPr>
          <w:rFonts w:hint="eastAsia" w:asciiTheme="minorEastAsia" w:hAnsiTheme="minorEastAsia" w:eastAsiaTheme="minorEastAsia"/>
          <w:color w:val="auto"/>
          <w:szCs w:val="21"/>
          <w:highlight w:val="none"/>
          <w:u w:val="single"/>
        </w:rPr>
        <w:t>[项目名称]</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szCs w:val="21"/>
          <w:highlight w:val="none"/>
        </w:rPr>
        <w:t>询比项目，为保证询比采购活动公开、公平、公正，依据国家法律法规和廉洁从业相关规定，现承诺如下：</w:t>
      </w:r>
    </w:p>
    <w:p w14:paraId="7DFD41E7">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宋体" w:hAnsi="宋体"/>
          <w:color w:val="auto"/>
          <w:szCs w:val="21"/>
          <w:highlight w:val="none"/>
        </w:rPr>
        <w:t>不通过受让、租借或者挂靠资质参加询比响应，或者以其他方式以他人名义响应；不伪造、变造资质、资格证书或者其他许可证件，提供虚假业绩、奖项、项目负责人等材料参加询比响应，</w:t>
      </w:r>
      <w:r>
        <w:rPr>
          <w:rFonts w:hint="eastAsia" w:asciiTheme="minorEastAsia" w:hAnsiTheme="minorEastAsia" w:eastAsiaTheme="minorEastAsia"/>
          <w:color w:val="auto"/>
          <w:szCs w:val="21"/>
          <w:highlight w:val="none"/>
        </w:rPr>
        <w:t>或者以其他方式弄虚作假，骗取成交；</w:t>
      </w:r>
    </w:p>
    <w:p w14:paraId="6315F8C7">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不与其他供应商相互串通响应或订立攻守同盟；</w:t>
      </w:r>
    </w:p>
    <w:p w14:paraId="783A0344">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不与采购人或采购代理机构串通响应；</w:t>
      </w:r>
    </w:p>
    <w:p w14:paraId="26A35ACB">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不向采购人、采购代理机构、</w:t>
      </w:r>
      <w:r>
        <w:rPr>
          <w:rFonts w:hint="eastAsia" w:ascii="宋体" w:hAnsi="宋体"/>
          <w:color w:val="auto"/>
          <w:szCs w:val="21"/>
          <w:highlight w:val="none"/>
        </w:rPr>
        <w:t>交易平台运行服务机构、</w:t>
      </w:r>
      <w:r>
        <w:rPr>
          <w:rFonts w:hint="eastAsia" w:asciiTheme="minorEastAsia" w:hAnsiTheme="minorEastAsia" w:eastAsiaTheme="minorEastAsia"/>
          <w:color w:val="auto"/>
          <w:szCs w:val="21"/>
          <w:highlight w:val="none"/>
        </w:rPr>
        <w:t>评审委员会成员</w:t>
      </w:r>
      <w:r>
        <w:rPr>
          <w:rFonts w:hint="eastAsia" w:ascii="宋体" w:hAnsi="宋体"/>
          <w:color w:val="auto"/>
          <w:szCs w:val="21"/>
          <w:highlight w:val="none"/>
        </w:rPr>
        <w:t>或行政监督部门人员等</w:t>
      </w:r>
      <w:r>
        <w:rPr>
          <w:rFonts w:hint="eastAsia" w:asciiTheme="minorEastAsia" w:hAnsiTheme="minorEastAsia" w:eastAsiaTheme="minorEastAsia"/>
          <w:color w:val="auto"/>
          <w:szCs w:val="21"/>
          <w:highlight w:val="none"/>
        </w:rPr>
        <w:t>行贿</w:t>
      </w:r>
      <w:r>
        <w:rPr>
          <w:rFonts w:hint="eastAsia" w:ascii="宋体" w:hAnsi="宋体"/>
          <w:color w:val="auto"/>
          <w:szCs w:val="21"/>
          <w:highlight w:val="none"/>
        </w:rPr>
        <w:t>谋取</w:t>
      </w:r>
      <w:r>
        <w:rPr>
          <w:rFonts w:hint="eastAsia" w:asciiTheme="minorEastAsia" w:hAnsiTheme="minorEastAsia" w:eastAsiaTheme="minorEastAsia"/>
          <w:color w:val="auto"/>
          <w:szCs w:val="21"/>
          <w:highlight w:val="none"/>
        </w:rPr>
        <w:t>成交，包括提供现金(礼金)、礼券、礼品、购物卡、有价证券等财物，或娱乐、宴请、旅游等活动，或支付应由其个人承担的学费、餐费、医药费等各种费用等；</w:t>
      </w:r>
    </w:p>
    <w:p w14:paraId="09D48CCF">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不通过非正常渠道探听采购过程中应当保密的信息，包括(潜在)供应商的数量与名称、评审委员会成员名单和联系方式、其他供应商的响应文件、评审情况及成交推荐意见等；</w:t>
      </w:r>
    </w:p>
    <w:p w14:paraId="51EA2F8F">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不私下接触采购人、采购代理机构或评审委员会成员，利用人际关系干扰询比询比活动；</w:t>
      </w:r>
    </w:p>
    <w:p w14:paraId="1CEE4367">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不在办公场所、响应文件开启和评审现场寻衅滋事、无理取闹或以其他手段非法干预、影响询比的过程和结果；</w:t>
      </w:r>
    </w:p>
    <w:p w14:paraId="14741BD2">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不捏造事实、伪造材料，或以非法取得的材料进行恶意</w:t>
      </w:r>
      <w:r>
        <w:rPr>
          <w:rFonts w:hint="eastAsia" w:ascii="宋体" w:hAnsi="宋体"/>
          <w:color w:val="auto"/>
          <w:szCs w:val="21"/>
          <w:highlight w:val="none"/>
        </w:rPr>
        <w:t>提出异议、</w:t>
      </w:r>
      <w:r>
        <w:rPr>
          <w:rFonts w:hint="eastAsia" w:asciiTheme="minorEastAsia" w:hAnsiTheme="minorEastAsia" w:eastAsiaTheme="minorEastAsia"/>
          <w:color w:val="auto"/>
          <w:szCs w:val="21"/>
          <w:highlight w:val="none"/>
        </w:rPr>
        <w:t>投诉</w:t>
      </w:r>
      <w:r>
        <w:rPr>
          <w:rFonts w:hint="eastAsia" w:ascii="宋体" w:hAnsi="宋体"/>
          <w:color w:val="auto"/>
          <w:szCs w:val="21"/>
          <w:highlight w:val="none"/>
        </w:rPr>
        <w:t>或举报，干扰正常询比采购活动</w:t>
      </w:r>
      <w:r>
        <w:rPr>
          <w:rFonts w:hint="eastAsia" w:asciiTheme="minorEastAsia" w:hAnsiTheme="minorEastAsia" w:eastAsiaTheme="minorEastAsia"/>
          <w:color w:val="auto"/>
          <w:szCs w:val="21"/>
          <w:highlight w:val="none"/>
        </w:rPr>
        <w:t>；不毫无根据地散播不实消息，诋毁他人名誉，主观臆断反映问题与诉求；</w:t>
      </w:r>
    </w:p>
    <w:p w14:paraId="3FF85C32">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不以低于成本的报价响应；</w:t>
      </w:r>
    </w:p>
    <w:p w14:paraId="322EF946">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不以其他方式排挤其他供应商的公平竞争；</w:t>
      </w:r>
    </w:p>
    <w:p w14:paraId="33F38D08">
      <w:pPr>
        <w:numPr>
          <w:ilvl w:val="0"/>
          <w:numId w:val="47"/>
        </w:numPr>
        <w:tabs>
          <w:tab w:val="left" w:pos="709"/>
        </w:tabs>
        <w:topLinePunct/>
        <w:spacing w:line="44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在最近五年内，不存在与采购活动相关的行贿犯罪记录；</w:t>
      </w:r>
    </w:p>
    <w:p w14:paraId="2D2CEDAC">
      <w:pPr>
        <w:numPr>
          <w:ilvl w:val="0"/>
          <w:numId w:val="47"/>
        </w:numPr>
        <w:tabs>
          <w:tab w:val="left" w:pos="709"/>
        </w:tabs>
        <w:topLinePunct/>
        <w:spacing w:line="440" w:lineRule="exact"/>
        <w:rPr>
          <w:rFonts w:asciiTheme="minorEastAsia" w:hAnsiTheme="minorEastAsia" w:eastAsiaTheme="minorEastAsia"/>
          <w:color w:val="auto"/>
          <w:szCs w:val="21"/>
          <w:highlight w:val="none"/>
        </w:rPr>
      </w:pPr>
      <w:r>
        <w:rPr>
          <w:rFonts w:hint="eastAsia" w:ascii="宋体" w:hAnsi="宋体"/>
          <w:color w:val="auto"/>
          <w:szCs w:val="21"/>
          <w:highlight w:val="none"/>
        </w:rPr>
        <w:t>发现评审专家有违法行为的，及时向行政监督部门报告。</w:t>
      </w:r>
    </w:p>
    <w:p w14:paraId="307719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如发生任何违反本承诺的行为，除按法律法规接受处罚外，采购人有权否决我方本次响应、宣布成交无效、暂停甚至取消我方参加采购人后续询比项目的响应资格等。</w:t>
      </w:r>
    </w:p>
    <w:p w14:paraId="7A5B34B5">
      <w:pPr>
        <w:topLinePunct/>
        <w:spacing w:line="440" w:lineRule="exact"/>
        <w:ind w:left="420"/>
        <w:rPr>
          <w:rFonts w:asciiTheme="minorEastAsia" w:hAnsiTheme="minorEastAsia" w:eastAsiaTheme="minorEastAsia"/>
          <w:color w:val="auto"/>
          <w:szCs w:val="21"/>
          <w:highlight w:val="none"/>
        </w:rPr>
      </w:pPr>
    </w:p>
    <w:p w14:paraId="7EDDF84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FFEC184">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F572D56">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br w:type="page"/>
      </w:r>
    </w:p>
    <w:p w14:paraId="5DF3ECD6">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93" w:name="_Toc475294116"/>
      <w:bookmarkStart w:id="594" w:name="_Toc20252"/>
      <w:bookmarkStart w:id="595" w:name="_Toc441224725"/>
      <w:bookmarkStart w:id="596" w:name="_Toc26239"/>
      <w:bookmarkStart w:id="597" w:name="_Toc487101441"/>
      <w:bookmarkStart w:id="598" w:name="_Toc438052129"/>
      <w:bookmarkStart w:id="599" w:name="_Toc475472682"/>
      <w:bookmarkStart w:id="600" w:name="_Toc486866108"/>
      <w:r>
        <w:rPr>
          <w:rFonts w:hint="eastAsia" w:asciiTheme="minorEastAsia" w:hAnsiTheme="minorEastAsia" w:eastAsiaTheme="minorEastAsia"/>
          <w:color w:val="auto"/>
          <w:sz w:val="24"/>
          <w:szCs w:val="24"/>
          <w:highlight w:val="none"/>
        </w:rPr>
        <w:t>近【五】年发生的诉讼及仲裁情况</w:t>
      </w:r>
      <w:bookmarkEnd w:id="593"/>
      <w:bookmarkEnd w:id="594"/>
      <w:bookmarkEnd w:id="595"/>
      <w:bookmarkEnd w:id="596"/>
      <w:bookmarkEnd w:id="597"/>
    </w:p>
    <w:p w14:paraId="644A4CCF">
      <w:pPr>
        <w:topLinePunct/>
        <w:spacing w:line="44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近【五】年发生的诉讼及仲裁情况</w:t>
      </w:r>
    </w:p>
    <w:p w14:paraId="0C4C40D6">
      <w:pPr>
        <w:rPr>
          <w:rFonts w:asciiTheme="minorEastAsia" w:hAnsiTheme="minorEastAsia" w:eastAsiaTheme="minorEastAsia"/>
          <w:color w:val="auto"/>
          <w:highlight w:val="none"/>
        </w:rPr>
      </w:pPr>
    </w:p>
    <w:p w14:paraId="5DA6326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有诉讼和/或仲裁（包括已结案和尚在进行的诉讼和/或仲裁阶段的案件）且可能影响履约能力的，则须向采购人或采购代理机构提供诉讼和/或仲裁案件的有关资料及证明，包括原告（诉讼和/或仲裁申请人）、被告（诉讼和/或仲裁被申请人）、诉讼和/或仲裁原因、诉讼和/或仲裁事件、诉讼和/或仲裁金额、诉讼和/或仲裁结果等，并填入下表。</w:t>
      </w:r>
    </w:p>
    <w:p w14:paraId="0CE76EA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如供应商无上述情况，则应在第一行“</w:t>
      </w:r>
      <w:r>
        <w:rPr>
          <w:rFonts w:hint="eastAsia" w:cs="Arial" w:asciiTheme="minorEastAsia" w:hAnsiTheme="minorEastAsia" w:eastAsiaTheme="minorEastAsia"/>
          <w:color w:val="auto"/>
          <w:szCs w:val="21"/>
          <w:highlight w:val="none"/>
        </w:rPr>
        <w:t>起诉（仲裁）人</w:t>
      </w:r>
      <w:r>
        <w:rPr>
          <w:rFonts w:hint="eastAsia" w:asciiTheme="minorEastAsia" w:hAnsiTheme="minorEastAsia" w:eastAsiaTheme="minorEastAsia"/>
          <w:color w:val="auto"/>
          <w:szCs w:val="21"/>
          <w:highlight w:val="none"/>
        </w:rPr>
        <w:t>”列填写“不涉及”。</w:t>
      </w:r>
    </w:p>
    <w:tbl>
      <w:tblPr>
        <w:tblStyle w:val="78"/>
        <w:tblW w:w="5000" w:type="pct"/>
        <w:tblInd w:w="0" w:type="dxa"/>
        <w:tblLayout w:type="autofit"/>
        <w:tblCellMar>
          <w:top w:w="0" w:type="dxa"/>
          <w:left w:w="0" w:type="dxa"/>
          <w:bottom w:w="0" w:type="dxa"/>
          <w:right w:w="0" w:type="dxa"/>
        </w:tblCellMar>
      </w:tblPr>
      <w:tblGrid>
        <w:gridCol w:w="650"/>
        <w:gridCol w:w="800"/>
        <w:gridCol w:w="1207"/>
        <w:gridCol w:w="1450"/>
        <w:gridCol w:w="1490"/>
        <w:gridCol w:w="1044"/>
        <w:gridCol w:w="1044"/>
        <w:gridCol w:w="651"/>
      </w:tblGrid>
      <w:tr w14:paraId="1AB587DE">
        <w:tblPrEx>
          <w:tblCellMar>
            <w:top w:w="0" w:type="dxa"/>
            <w:left w:w="0" w:type="dxa"/>
            <w:bottom w:w="0" w:type="dxa"/>
            <w:right w:w="0" w:type="dxa"/>
          </w:tblCellMar>
        </w:tblPrEx>
        <w:trPr>
          <w:trHeight w:val="899" w:hRule="atLeast"/>
        </w:trPr>
        <w:tc>
          <w:tcPr>
            <w:tcW w:w="39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82A59F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序号</w:t>
            </w:r>
          </w:p>
        </w:tc>
        <w:tc>
          <w:tcPr>
            <w:tcW w:w="48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828C48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日期</w:t>
            </w:r>
          </w:p>
        </w:tc>
        <w:tc>
          <w:tcPr>
            <w:tcW w:w="72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2EB0253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起诉（仲裁）人</w:t>
            </w:r>
          </w:p>
        </w:tc>
        <w:tc>
          <w:tcPr>
            <w:tcW w:w="87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5D0EBE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被诉（被仲裁）人</w:t>
            </w:r>
          </w:p>
        </w:tc>
        <w:tc>
          <w:tcPr>
            <w:tcW w:w="89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64F4E7E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诉讼（仲裁）事件</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B1C21F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诉讼（仲裁）金额</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393D695E">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诉讼（仲裁）结果</w:t>
            </w:r>
          </w:p>
        </w:tc>
        <w:tc>
          <w:tcPr>
            <w:tcW w:w="39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77B22F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备注</w:t>
            </w:r>
          </w:p>
        </w:tc>
      </w:tr>
      <w:tr w14:paraId="1A11637D">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429D0D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7AE74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488EC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1D12E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ABAAF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C629F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DD24BD">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6B75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3F83CD44">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570E5C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EC80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7E7B9B">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6024B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B09C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9ADF7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C7E18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52C29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1FD6052">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ECA07D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3</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0425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CF62EE">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E02B6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DD1D7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5C1F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DC1D1A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18EE3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86A941C">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05B1533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A6758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AF15E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9B053A">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20426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D1B82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89006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4640FF">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bl>
    <w:p w14:paraId="03623E91">
      <w:pPr>
        <w:spacing w:line="440" w:lineRule="exact"/>
        <w:ind w:right="480" w:firstLine="4800" w:firstLineChars="2000"/>
        <w:rPr>
          <w:rFonts w:asciiTheme="minorEastAsia" w:hAnsiTheme="minorEastAsia" w:eastAsiaTheme="minorEastAsia"/>
          <w:color w:val="auto"/>
          <w:sz w:val="24"/>
          <w:highlight w:val="none"/>
        </w:rPr>
      </w:pPr>
    </w:p>
    <w:p w14:paraId="062EE208">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BB6A9A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000CC3C">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p>
    <w:p w14:paraId="39BBE0BA">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1" w:name="_Toc20977"/>
      <w:bookmarkStart w:id="602" w:name="_Toc3192"/>
      <w:r>
        <w:rPr>
          <w:rFonts w:hint="eastAsia" w:asciiTheme="minorEastAsia" w:hAnsiTheme="minorEastAsia" w:eastAsiaTheme="minorEastAsia"/>
          <w:color w:val="auto"/>
          <w:sz w:val="24"/>
          <w:szCs w:val="24"/>
          <w:highlight w:val="none"/>
        </w:rPr>
        <w:t>资格审查资料</w:t>
      </w:r>
      <w:bookmarkEnd w:id="601"/>
    </w:p>
    <w:p w14:paraId="402F2CBD">
      <w:pPr>
        <w:spacing w:line="420" w:lineRule="exact"/>
        <w:rPr>
          <w:rFonts w:hint="eastAsia" w:ascii="宋体" w:hAnsi="宋体" w:eastAsia="宋体" w:cs="宋体"/>
          <w:color w:val="auto"/>
          <w:szCs w:val="21"/>
          <w:highlight w:val="none"/>
          <w:lang w:eastAsia="zh-CN"/>
        </w:rPr>
      </w:pPr>
      <w:r>
        <w:rPr>
          <w:rFonts w:hint="eastAsia" w:ascii="宋体" w:hAnsi="宋体"/>
          <w:color w:val="auto"/>
          <w:szCs w:val="21"/>
          <w:highlight w:val="none"/>
        </w:rPr>
        <w:t>（1）</w:t>
      </w:r>
      <w:r>
        <w:rPr>
          <w:rFonts w:hint="eastAsia" w:ascii="宋体" w:hAnsi="宋体" w:cs="宋体"/>
          <w:b/>
          <w:bCs/>
          <w:color w:val="auto"/>
          <w:highlight w:val="none"/>
        </w:rPr>
        <w:t>基</w:t>
      </w:r>
      <w:r>
        <w:rPr>
          <w:rFonts w:hint="eastAsia" w:ascii="宋体" w:hAnsi="宋体" w:cs="宋体"/>
          <w:b/>
          <w:color w:val="auto"/>
          <w:highlight w:val="none"/>
        </w:rPr>
        <w:t>本要求：</w:t>
      </w:r>
      <w:r>
        <w:rPr>
          <w:rFonts w:hint="eastAsia" w:ascii="宋体" w:hAnsi="宋体" w:eastAsia="宋体" w:cs="宋体"/>
          <w:color w:val="auto"/>
          <w:szCs w:val="21"/>
          <w:highlight w:val="none"/>
          <w:lang w:eastAsia="zh-CN"/>
        </w:rPr>
        <w:t>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7818E6BB">
      <w:pPr>
        <w:spacing w:line="420" w:lineRule="exact"/>
        <w:ind w:firstLine="422" w:firstLineChars="200"/>
        <w:rPr>
          <w:rFonts w:ascii="宋体" w:hAnsi="宋体"/>
          <w:b/>
          <w:bCs/>
          <w:color w:val="auto"/>
          <w:szCs w:val="21"/>
          <w:highlight w:val="none"/>
        </w:rPr>
      </w:pPr>
      <w:r>
        <w:rPr>
          <w:rFonts w:hint="eastAsia" w:ascii="宋体" w:hAnsi="宋体"/>
          <w:b/>
          <w:bCs/>
          <w:color w:val="auto"/>
          <w:szCs w:val="21"/>
          <w:highlight w:val="none"/>
        </w:rPr>
        <w:t>提供</w:t>
      </w:r>
      <w:r>
        <w:rPr>
          <w:rFonts w:hint="eastAsia" w:ascii="宋体" w:hAnsi="宋体"/>
          <w:b/>
          <w:bCs/>
          <w:color w:val="auto"/>
          <w:szCs w:val="21"/>
          <w:highlight w:val="none"/>
          <w:lang w:val="en-US" w:eastAsia="zh-CN"/>
        </w:rPr>
        <w:t>供应</w:t>
      </w:r>
      <w:r>
        <w:rPr>
          <w:rFonts w:hint="eastAsia" w:ascii="宋体" w:hAnsi="宋体"/>
          <w:b/>
          <w:bCs/>
          <w:color w:val="auto"/>
          <w:szCs w:val="21"/>
          <w:highlight w:val="none"/>
        </w:rPr>
        <w:t>清晰有效的营业执照；</w:t>
      </w:r>
    </w:p>
    <w:p w14:paraId="546BA933">
      <w:pPr>
        <w:spacing w:line="420" w:lineRule="exact"/>
        <w:rPr>
          <w:rFonts w:ascii="宋体" w:hAnsi="宋体"/>
          <w:b/>
          <w:bCs/>
          <w:color w:val="auto"/>
          <w:szCs w:val="21"/>
          <w:highlight w:val="none"/>
        </w:rPr>
      </w:pPr>
    </w:p>
    <w:p w14:paraId="1336FB49">
      <w:pPr>
        <w:spacing w:line="420" w:lineRule="exact"/>
        <w:rPr>
          <w:rFonts w:hint="eastAsia" w:ascii="宋体" w:hAnsi="宋体" w:eastAsia="宋体" w:cs="宋体"/>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cs="宋体"/>
          <w:b/>
          <w:bCs/>
          <w:color w:val="auto"/>
          <w:szCs w:val="21"/>
          <w:highlight w:val="none"/>
        </w:rPr>
        <w:t>业绩要求：</w:t>
      </w:r>
      <w:r>
        <w:rPr>
          <w:rFonts w:hint="eastAsia" w:ascii="宋体" w:hAnsi="宋体" w:cs="宋体"/>
          <w:b w:val="0"/>
          <w:bCs w:val="0"/>
          <w:color w:val="auto"/>
          <w:szCs w:val="21"/>
          <w:highlight w:val="none"/>
        </w:rPr>
        <w:t>供应商须具备近年（202</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08ACF9DF">
      <w:pPr>
        <w:spacing w:line="420" w:lineRule="exact"/>
        <w:ind w:firstLine="422" w:firstLineChars="200"/>
        <w:rPr>
          <w:rFonts w:hint="eastAsia" w:ascii="宋体" w:hAnsi="宋体" w:eastAsia="宋体"/>
          <w:b/>
          <w:bCs/>
          <w:color w:val="auto"/>
          <w:szCs w:val="21"/>
          <w:highlight w:val="none"/>
          <w:lang w:eastAsia="zh-CN"/>
        </w:rPr>
      </w:pPr>
      <w:r>
        <w:rPr>
          <w:rFonts w:hint="eastAsia" w:ascii="宋体" w:hAnsi="宋体"/>
          <w:b/>
          <w:bCs/>
          <w:color w:val="auto"/>
          <w:szCs w:val="21"/>
          <w:highlight w:val="none"/>
        </w:rPr>
        <w:t>提供证明材料</w:t>
      </w:r>
      <w:r>
        <w:rPr>
          <w:rFonts w:hint="eastAsia" w:ascii="宋体" w:hAnsi="宋体"/>
          <w:b/>
          <w:bCs/>
          <w:color w:val="auto"/>
          <w:szCs w:val="21"/>
          <w:highlight w:val="none"/>
          <w:lang w:eastAsia="zh-CN"/>
        </w:rPr>
        <w:t>；</w:t>
      </w:r>
    </w:p>
    <w:p w14:paraId="4C823EE1">
      <w:pPr>
        <w:pStyle w:val="102"/>
        <w:spacing w:line="420" w:lineRule="exact"/>
        <w:ind w:left="0" w:leftChars="0" w:firstLine="0" w:firstLineChars="0"/>
        <w:rPr>
          <w:rFonts w:hint="eastAsia" w:ascii="宋体" w:hAnsi="宋体" w:cs="宋体"/>
          <w:color w:val="auto"/>
          <w:kern w:val="2"/>
          <w:sz w:val="21"/>
          <w:szCs w:val="21"/>
          <w:highlight w:val="none"/>
          <w:lang w:val="en-US" w:eastAsia="zh-CN" w:bidi="ar-SA"/>
        </w:rPr>
      </w:pPr>
    </w:p>
    <w:p w14:paraId="6D926E59">
      <w:pPr>
        <w:rPr>
          <w:rFonts w:hint="eastAsia" w:ascii="宋体" w:hAnsi="宋体"/>
          <w:b w:val="0"/>
          <w:color w:val="auto"/>
          <w:sz w:val="21"/>
          <w:szCs w:val="24"/>
          <w:highlight w:val="none"/>
        </w:rPr>
      </w:pPr>
      <w:bookmarkStart w:id="603" w:name="_Toc5164"/>
      <w:r>
        <w:rPr>
          <w:rFonts w:hint="eastAsia" w:ascii="宋体" w:hAnsi="宋体"/>
          <w:b w:val="0"/>
          <w:color w:val="auto"/>
          <w:sz w:val="21"/>
          <w:szCs w:val="24"/>
          <w:highlight w:val="none"/>
        </w:rPr>
        <w:br w:type="page"/>
      </w:r>
    </w:p>
    <w:p w14:paraId="792F5281">
      <w:pPr>
        <w:pStyle w:val="74"/>
        <w:tabs>
          <w:tab w:val="left" w:pos="588"/>
        </w:tabs>
        <w:snapToGrid w:val="0"/>
        <w:spacing w:before="120" w:after="120" w:line="440" w:lineRule="exact"/>
        <w:jc w:val="left"/>
        <w:outlineLvl w:val="9"/>
        <w:rPr>
          <w:rFonts w:ascii="宋体" w:hAnsi="宋体"/>
          <w:b w:val="0"/>
          <w:color w:val="auto"/>
          <w:sz w:val="21"/>
          <w:szCs w:val="24"/>
          <w:highlight w:val="none"/>
        </w:rPr>
      </w:pPr>
      <w:r>
        <w:rPr>
          <w:rFonts w:hint="eastAsia" w:ascii="宋体" w:hAnsi="宋体"/>
          <w:b w:val="0"/>
          <w:color w:val="auto"/>
          <w:sz w:val="21"/>
          <w:szCs w:val="24"/>
          <w:highlight w:val="none"/>
        </w:rPr>
        <w:t>（</w:t>
      </w:r>
      <w:r>
        <w:rPr>
          <w:rFonts w:hint="eastAsia" w:ascii="宋体" w:hAnsi="宋体"/>
          <w:b w:val="0"/>
          <w:color w:val="auto"/>
          <w:sz w:val="21"/>
          <w:szCs w:val="24"/>
          <w:highlight w:val="none"/>
          <w:lang w:val="en-US" w:eastAsia="zh-CN"/>
        </w:rPr>
        <w:t>3</w:t>
      </w:r>
      <w:r>
        <w:rPr>
          <w:rFonts w:hint="eastAsia" w:ascii="宋体" w:hAnsi="宋体"/>
          <w:b w:val="0"/>
          <w:color w:val="auto"/>
          <w:sz w:val="21"/>
          <w:szCs w:val="24"/>
          <w:highlight w:val="none"/>
        </w:rPr>
        <w:t>）</w:t>
      </w:r>
      <w:r>
        <w:rPr>
          <w:rFonts w:hint="eastAsia" w:ascii="宋体" w:hAnsi="宋体"/>
          <w:bCs w:val="0"/>
          <w:color w:val="auto"/>
          <w:sz w:val="21"/>
          <w:szCs w:val="24"/>
          <w:highlight w:val="none"/>
        </w:rPr>
        <w:t>“供应商资格要求”承诺书</w:t>
      </w:r>
      <w:bookmarkEnd w:id="603"/>
    </w:p>
    <w:p w14:paraId="405D0026">
      <w:pPr>
        <w:jc w:val="center"/>
        <w:rPr>
          <w:rFonts w:ascii="宋体" w:hAnsi="宋体"/>
          <w:b/>
          <w:bCs/>
          <w:color w:val="auto"/>
          <w:sz w:val="24"/>
          <w:highlight w:val="none"/>
        </w:rPr>
      </w:pPr>
      <w:r>
        <w:rPr>
          <w:rFonts w:hint="eastAsia" w:ascii="宋体" w:hAnsi="宋体"/>
          <w:b/>
          <w:bCs/>
          <w:color w:val="auto"/>
          <w:sz w:val="24"/>
          <w:highlight w:val="none"/>
        </w:rPr>
        <w:t>“供应商资格要求”承诺书</w:t>
      </w:r>
    </w:p>
    <w:p w14:paraId="7689D254">
      <w:pPr>
        <w:spacing w:line="360" w:lineRule="auto"/>
        <w:rPr>
          <w:rFonts w:ascii="宋体" w:hAnsi="宋体"/>
          <w:color w:val="auto"/>
          <w:highlight w:val="none"/>
        </w:rPr>
      </w:pPr>
      <w:bookmarkStart w:id="604" w:name="_Hlk505246980"/>
      <w:r>
        <w:rPr>
          <w:rFonts w:hint="eastAsia" w:ascii="宋体" w:hAnsi="宋体"/>
          <w:color w:val="auto"/>
          <w:highlight w:val="none"/>
          <w:u w:val="single"/>
        </w:rPr>
        <w:t>致：【</w:t>
      </w:r>
      <w:r>
        <w:rPr>
          <w:rFonts w:hint="eastAsia" w:ascii="宋体" w:hAnsi="宋体"/>
          <w:color w:val="auto"/>
          <w:highlight w:val="none"/>
          <w:u w:val="single"/>
          <w:lang w:eastAsia="zh-CN"/>
        </w:rPr>
        <w:t>湖北信通通信有限公司</w:t>
      </w:r>
      <w:r>
        <w:rPr>
          <w:rFonts w:hint="eastAsia" w:ascii="宋体" w:hAnsi="宋体"/>
          <w:color w:val="auto"/>
          <w:highlight w:val="none"/>
          <w:u w:val="single"/>
        </w:rPr>
        <w:t>】</w:t>
      </w:r>
      <w:r>
        <w:rPr>
          <w:rFonts w:ascii="宋体" w:hAnsi="宋体"/>
          <w:color w:val="auto"/>
          <w:highlight w:val="none"/>
        </w:rPr>
        <w:t>：</w:t>
      </w:r>
    </w:p>
    <w:bookmarkEnd w:id="604"/>
    <w:p w14:paraId="03C5BE87">
      <w:pPr>
        <w:spacing w:line="360" w:lineRule="auto"/>
        <w:ind w:firstLine="420" w:firstLineChars="200"/>
        <w:rPr>
          <w:rFonts w:ascii="宋体" w:hAnsi="宋体"/>
          <w:b/>
          <w:color w:val="auto"/>
          <w:highlight w:val="none"/>
        </w:rPr>
      </w:pPr>
      <w:r>
        <w:rPr>
          <w:rFonts w:ascii="宋体" w:hAnsi="宋体"/>
          <w:color w:val="auto"/>
          <w:highlight w:val="none"/>
        </w:rPr>
        <w:t>我方递交的</w:t>
      </w:r>
      <w:r>
        <w:rPr>
          <w:rFonts w:hint="eastAsia" w:ascii="宋体" w:hAnsi="宋体"/>
          <w:color w:val="auto"/>
          <w:highlight w:val="none"/>
        </w:rPr>
        <w:t>应答文件</w:t>
      </w:r>
      <w:r>
        <w:rPr>
          <w:rFonts w:ascii="宋体" w:hAnsi="宋体"/>
          <w:color w:val="auto"/>
          <w:highlight w:val="none"/>
        </w:rPr>
        <w:t>及有关资料，用于你方（</w:t>
      </w:r>
      <w:r>
        <w:rPr>
          <w:rFonts w:hint="eastAsia" w:ascii="宋体" w:hAnsi="宋体"/>
          <w:color w:val="auto"/>
          <w:highlight w:val="none"/>
        </w:rPr>
        <w:t>采购人</w:t>
      </w:r>
      <w:r>
        <w:rPr>
          <w:rFonts w:ascii="宋体" w:hAnsi="宋体"/>
          <w:color w:val="auto"/>
          <w:highlight w:val="none"/>
        </w:rPr>
        <w:t>）审查我方参加</w:t>
      </w:r>
      <w:r>
        <w:rPr>
          <w:rFonts w:hint="eastAsia" w:ascii="宋体" w:hAnsi="宋体"/>
          <w:color w:val="auto"/>
          <w:highlight w:val="none"/>
          <w:u w:val="single"/>
        </w:rPr>
        <w:t>【</w:t>
      </w:r>
      <w:r>
        <w:rPr>
          <w:rFonts w:ascii="宋体" w:hAnsi="宋体"/>
          <w:color w:val="auto"/>
          <w:highlight w:val="none"/>
          <w:u w:val="single"/>
        </w:rPr>
        <w:t>项目名称</w:t>
      </w:r>
      <w:r>
        <w:rPr>
          <w:rFonts w:hint="eastAsia" w:ascii="宋体" w:hAnsi="宋体"/>
          <w:color w:val="auto"/>
          <w:highlight w:val="none"/>
          <w:u w:val="single"/>
        </w:rPr>
        <w:t>】</w:t>
      </w:r>
      <w:r>
        <w:rPr>
          <w:rFonts w:ascii="宋体" w:hAnsi="宋体"/>
          <w:color w:val="auto"/>
          <w:highlight w:val="none"/>
        </w:rPr>
        <w:t>的</w:t>
      </w:r>
      <w:r>
        <w:rPr>
          <w:rFonts w:hint="eastAsia" w:ascii="宋体" w:hAnsi="宋体"/>
          <w:color w:val="auto"/>
          <w:highlight w:val="none"/>
        </w:rPr>
        <w:t>应答资格</w:t>
      </w:r>
      <w:r>
        <w:rPr>
          <w:rFonts w:ascii="宋体" w:hAnsi="宋体"/>
          <w:color w:val="auto"/>
          <w:highlight w:val="none"/>
        </w:rPr>
        <w:t>，</w:t>
      </w:r>
      <w:r>
        <w:rPr>
          <w:rFonts w:ascii="宋体" w:hAnsi="宋体"/>
          <w:b/>
          <w:color w:val="auto"/>
          <w:highlight w:val="none"/>
        </w:rPr>
        <w:t>我方承诺</w:t>
      </w:r>
      <w:r>
        <w:rPr>
          <w:rFonts w:hint="eastAsia" w:ascii="宋体" w:hAnsi="宋体"/>
          <w:b/>
          <w:color w:val="auto"/>
          <w:highlight w:val="none"/>
        </w:rPr>
        <w:t>满足</w:t>
      </w:r>
      <w:r>
        <w:rPr>
          <w:rFonts w:ascii="宋体" w:hAnsi="宋体"/>
          <w:b/>
          <w:color w:val="auto"/>
          <w:highlight w:val="none"/>
        </w:rPr>
        <w:t>下列</w:t>
      </w:r>
      <w:r>
        <w:rPr>
          <w:rFonts w:hint="eastAsia" w:ascii="宋体" w:hAnsi="宋体"/>
          <w:b/>
          <w:color w:val="auto"/>
          <w:highlight w:val="none"/>
        </w:rPr>
        <w:t>事项</w:t>
      </w:r>
      <w:r>
        <w:rPr>
          <w:rFonts w:ascii="宋体" w:hAnsi="宋体"/>
          <w:b/>
          <w:color w:val="auto"/>
          <w:highlight w:val="none"/>
        </w:rPr>
        <w:t>：</w:t>
      </w:r>
    </w:p>
    <w:p w14:paraId="7C033C69">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bCs/>
          <w:color w:val="auto"/>
          <w:highlight w:val="none"/>
        </w:rPr>
        <w:t>承诺在本项目中为非联合体响应单位</w:t>
      </w:r>
      <w:r>
        <w:rPr>
          <w:rFonts w:ascii="宋体" w:hAnsi="宋体" w:eastAsia="宋体" w:cs="Times New Roman"/>
          <w:bCs/>
          <w:color w:val="auto"/>
          <w:highlight w:val="none"/>
        </w:rPr>
        <w:t>，不</w:t>
      </w:r>
      <w:r>
        <w:rPr>
          <w:rFonts w:hint="eastAsia" w:ascii="宋体" w:hAnsi="宋体" w:eastAsia="宋体" w:cs="Times New Roman"/>
          <w:bCs/>
          <w:color w:val="auto"/>
          <w:highlight w:val="none"/>
        </w:rPr>
        <w:t>出现转包和违法分包</w:t>
      </w:r>
      <w:r>
        <w:rPr>
          <w:rFonts w:ascii="宋体" w:hAnsi="宋体" w:eastAsia="宋体" w:cs="Times New Roman"/>
          <w:color w:val="auto"/>
          <w:highlight w:val="none"/>
        </w:rPr>
        <w:t>。</w:t>
      </w:r>
    </w:p>
    <w:p w14:paraId="594B3DC2">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我方承诺不存在下列情形：</w:t>
      </w:r>
    </w:p>
    <w:p w14:paraId="6054A0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0B3AFC3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59BB1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4196F1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331892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334B886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64EEE7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17E2D47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0ABA492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（9）为本询比项目提供过设计、编制技术规范和其他文件的咨询服务；</w:t>
      </w:r>
    </w:p>
    <w:p w14:paraId="7F4DE0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（10）为本工程项目的相关监理人，或者与本工程项目的相关监理人存在隶属关系或者其他利害关系；</w:t>
      </w:r>
    </w:p>
    <w:p w14:paraId="0C19354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（11）为本询比项目的代建人；</w:t>
      </w:r>
    </w:p>
    <w:p w14:paraId="5028C9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（12）为本询比项目的采购代理机构；</w:t>
      </w:r>
    </w:p>
    <w:p w14:paraId="4721315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（13）与本询比项目的监理人或代建人或采购代理机构同为一个法定代表人；</w:t>
      </w:r>
    </w:p>
    <w:p w14:paraId="17CEE43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（14）与本询比项目的监理人或代建人或采购代理机构存在控股或参股关系；</w:t>
      </w:r>
    </w:p>
    <w:p w14:paraId="5F0C1E8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（15）被工商行政管理机关在国家企业信用信息公示系统中列入严重违法失信企业名单的；</w:t>
      </w:r>
    </w:p>
    <w:p w14:paraId="0432BC95">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（16）法律法规、询比文件限定的其他情形。</w:t>
      </w:r>
    </w:p>
    <w:p w14:paraId="5B28B199">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我方承诺符合“供应商的法定代表人或负责人为同一人或者存在控股、管理关系的不同供应商，不得参加同一标包响应或者未划分标包的同一招标项目响应。”的供应商资格条件。</w:t>
      </w:r>
    </w:p>
    <w:p w14:paraId="13A8FC71">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color w:val="auto"/>
          <w:highlight w:val="none"/>
        </w:rPr>
        <w:t>承诺</w:t>
      </w:r>
      <w:r>
        <w:rPr>
          <w:rFonts w:ascii="宋体" w:hAnsi="宋体" w:eastAsia="宋体" w:cs="Times New Roman"/>
          <w:color w:val="auto"/>
          <w:highlight w:val="none"/>
        </w:rPr>
        <w:t>满足</w:t>
      </w:r>
      <w:r>
        <w:rPr>
          <w:rFonts w:ascii="宋体" w:hAnsi="宋体" w:eastAsia="宋体" w:cs="Times New Roman"/>
          <w:bCs/>
          <w:color w:val="auto"/>
          <w:highlight w:val="none"/>
        </w:rPr>
        <w:t>法律法规规定的其他必须符合的要求</w:t>
      </w:r>
      <w:r>
        <w:rPr>
          <w:rFonts w:ascii="宋体" w:hAnsi="宋体" w:eastAsia="宋体" w:cs="Times New Roman"/>
          <w:color w:val="auto"/>
          <w:highlight w:val="none"/>
        </w:rPr>
        <w:t>。</w:t>
      </w:r>
    </w:p>
    <w:p w14:paraId="74B92D7C">
      <w:pPr>
        <w:spacing w:line="360" w:lineRule="auto"/>
        <w:ind w:firstLine="420" w:firstLineChars="200"/>
        <w:jc w:val="left"/>
        <w:rPr>
          <w:rFonts w:ascii="宋体" w:hAnsi="宋体"/>
          <w:color w:val="auto"/>
          <w:highlight w:val="none"/>
        </w:rPr>
      </w:pPr>
      <w:r>
        <w:rPr>
          <w:rFonts w:ascii="宋体" w:hAnsi="宋体"/>
          <w:color w:val="auto"/>
          <w:highlight w:val="none"/>
        </w:rPr>
        <w:t>若我方存在</w:t>
      </w:r>
      <w:r>
        <w:rPr>
          <w:rFonts w:hint="eastAsia" w:ascii="宋体" w:hAnsi="宋体"/>
          <w:color w:val="auto"/>
          <w:highlight w:val="none"/>
        </w:rPr>
        <w:t>不满足</w:t>
      </w:r>
      <w:r>
        <w:rPr>
          <w:rFonts w:ascii="宋体" w:hAnsi="宋体"/>
          <w:color w:val="auto"/>
          <w:highlight w:val="none"/>
        </w:rPr>
        <w:t>上述情形之一，</w:t>
      </w:r>
      <w:r>
        <w:rPr>
          <w:rFonts w:hint="eastAsia" w:ascii="宋体" w:hAnsi="宋体"/>
          <w:color w:val="auto"/>
          <w:highlight w:val="none"/>
        </w:rPr>
        <w:t>采购人</w:t>
      </w:r>
      <w:r>
        <w:rPr>
          <w:rFonts w:ascii="宋体" w:hAnsi="宋体"/>
          <w:color w:val="auto"/>
          <w:highlight w:val="none"/>
        </w:rPr>
        <w:t>有权取消我方</w:t>
      </w:r>
      <w:r>
        <w:rPr>
          <w:rFonts w:hint="eastAsia" w:ascii="宋体" w:hAnsi="宋体"/>
          <w:color w:val="auto"/>
          <w:highlight w:val="none"/>
        </w:rPr>
        <w:t>成交资格</w:t>
      </w:r>
      <w:r>
        <w:rPr>
          <w:rFonts w:ascii="宋体" w:hAnsi="宋体"/>
          <w:color w:val="auto"/>
          <w:highlight w:val="none"/>
        </w:rPr>
        <w:t>，由此造成的损失由我方自行承担！</w:t>
      </w:r>
    </w:p>
    <w:p w14:paraId="2C69DB35">
      <w:pPr>
        <w:tabs>
          <w:tab w:val="left" w:pos="4320"/>
        </w:tabs>
        <w:adjustRightInd w:val="0"/>
        <w:snapToGrid w:val="0"/>
        <w:spacing w:line="360" w:lineRule="auto"/>
        <w:ind w:left="420" w:firstLine="420" w:firstLineChars="200"/>
        <w:rPr>
          <w:rFonts w:ascii="宋体" w:hAnsi="宋体"/>
          <w:color w:val="auto"/>
          <w:highlight w:val="none"/>
        </w:rPr>
      </w:pPr>
      <w:r>
        <w:rPr>
          <w:rFonts w:ascii="宋体" w:hAnsi="宋体"/>
          <w:color w:val="auto"/>
          <w:highlight w:val="none"/>
        </w:rPr>
        <w:t>特此承诺！</w:t>
      </w:r>
    </w:p>
    <w:p w14:paraId="2CDBAC14">
      <w:pPr>
        <w:pStyle w:val="15"/>
        <w:rPr>
          <w:color w:val="auto"/>
          <w:highlight w:val="none"/>
        </w:rPr>
      </w:pPr>
    </w:p>
    <w:p w14:paraId="0B200E3C">
      <w:pPr>
        <w:wordWrap w:val="0"/>
        <w:spacing w:line="360" w:lineRule="exact"/>
        <w:jc w:val="right"/>
        <w:rPr>
          <w:rFonts w:ascii="宋体" w:hAnsi="宋体"/>
          <w:color w:val="auto"/>
          <w:highlight w:val="none"/>
        </w:rPr>
      </w:pPr>
      <w:r>
        <w:rPr>
          <w:rFonts w:hint="eastAsia" w:ascii="宋体" w:hAnsi="宋体"/>
          <w:color w:val="auto"/>
          <w:highlight w:val="none"/>
        </w:rPr>
        <w:t>承诺单位：</w:t>
      </w:r>
      <w:r>
        <w:rPr>
          <w:rFonts w:hint="eastAsia" w:ascii="宋体" w:hAnsi="宋体"/>
          <w:color w:val="auto"/>
          <w:highlight w:val="none"/>
          <w:u w:val="single"/>
        </w:rPr>
        <w:t xml:space="preserve">                   </w:t>
      </w:r>
      <w:r>
        <w:rPr>
          <w:rFonts w:ascii="宋体" w:hAnsi="宋体"/>
          <w:color w:val="auto"/>
          <w:highlight w:val="none"/>
        </w:rPr>
        <w:t xml:space="preserve"> </w:t>
      </w:r>
    </w:p>
    <w:p w14:paraId="61685126">
      <w:pPr>
        <w:pStyle w:val="15"/>
        <w:jc w:val="right"/>
        <w:rPr>
          <w:rFonts w:ascii="宋体" w:hAnsi="宋体"/>
          <w:color w:val="auto"/>
          <w:sz w:val="21"/>
          <w:szCs w:val="21"/>
          <w:highlight w:val="none"/>
        </w:rPr>
      </w:pPr>
      <w:r>
        <w:rPr>
          <w:rFonts w:hint="eastAsia" w:ascii="宋体" w:hAnsi="宋体"/>
          <w:color w:val="auto"/>
          <w:sz w:val="21"/>
          <w:szCs w:val="21"/>
          <w:highlight w:val="none"/>
        </w:rPr>
        <w:t>日期：      年     月     日</w:t>
      </w:r>
    </w:p>
    <w:p w14:paraId="096CB4E7">
      <w:pPr>
        <w:rPr>
          <w:color w:val="auto"/>
          <w:highlight w:val="none"/>
        </w:rPr>
      </w:pPr>
    </w:p>
    <w:p w14:paraId="05053F37">
      <w:pP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14:paraId="30D15579">
      <w:pPr>
        <w:widowControl/>
        <w:numPr>
          <w:ilvl w:val="0"/>
          <w:numId w:val="0"/>
        </w:numPr>
        <w:topLinePunct/>
        <w:jc w:val="left"/>
        <w:rPr>
          <w:rFonts w:hint="eastAsia" w:ascii="Times New Roman" w:hAnsi="Times New Roman" w:eastAsia="宋体" w:cs="Times New Roman"/>
          <w:color w:val="auto"/>
          <w:kern w:val="2"/>
          <w:sz w:val="24"/>
          <w:szCs w:val="24"/>
          <w:highlight w:val="none"/>
          <w:lang w:val="en-US" w:eastAsia="zh-CN" w:bidi="ar-SA"/>
        </w:rPr>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B207F5D">
      <w:pPr>
        <w:widowControl/>
        <w:numPr>
          <w:ilvl w:val="0"/>
          <w:numId w:val="0"/>
        </w:numPr>
        <w:topLinePunct/>
        <w:jc w:val="center"/>
        <w:rPr>
          <w:rFonts w:hint="eastAsia" w:ascii="宋体" w:hAnsi="宋体" w:eastAsia="宋体" w:cs="宋体"/>
          <w:b/>
          <w:bCs/>
          <w:color w:val="auto"/>
          <w:kern w:val="0"/>
          <w:sz w:val="24"/>
          <w:highlight w:val="none"/>
        </w:rPr>
      </w:pPr>
    </w:p>
    <w:p w14:paraId="41E596D3">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5" w:name="_Toc10140"/>
      <w:r>
        <w:rPr>
          <w:rFonts w:hint="eastAsia" w:asciiTheme="minorEastAsia" w:hAnsiTheme="minorEastAsia" w:eastAsiaTheme="minorEastAsia"/>
          <w:color w:val="auto"/>
          <w:sz w:val="24"/>
          <w:szCs w:val="24"/>
          <w:highlight w:val="none"/>
        </w:rPr>
        <w:t>供应商控股及管理关系情况申报表</w:t>
      </w:r>
      <w:bookmarkEnd w:id="598"/>
      <w:bookmarkEnd w:id="599"/>
      <w:bookmarkEnd w:id="600"/>
      <w:bookmarkEnd w:id="602"/>
      <w:bookmarkEnd w:id="605"/>
    </w:p>
    <w:p w14:paraId="58275D84">
      <w:pPr>
        <w:pStyle w:val="102"/>
        <w:ind w:firstLine="0" w:firstLineChars="0"/>
        <w:jc w:val="center"/>
        <w:rPr>
          <w:rFonts w:cs="宋体"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供应商控股及管理关系情况申报表</w:t>
      </w:r>
    </w:p>
    <w:p w14:paraId="1F0697DF">
      <w:pPr>
        <w:adjustRightInd w:val="0"/>
        <w:snapToGrid w:val="0"/>
        <w:spacing w:line="440" w:lineRule="exact"/>
        <w:rPr>
          <w:rFonts w:asciiTheme="minorEastAsia" w:hAnsiTheme="minorEastAsia" w:eastAsiaTheme="minorEastAsia"/>
          <w:color w:val="auto"/>
          <w:highlight w:val="none"/>
        </w:rPr>
      </w:pPr>
    </w:p>
    <w:p w14:paraId="6AD9C24D">
      <w:pPr>
        <w:adjustRightInd w:val="0"/>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我方参加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湖北信通通信有限公司2026年度大冶物资装卸及搬运服务项目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rPr>
        <w:t>的询比响应，根据法律法规维护询比公正性的相关规定，特就本单位控股及管理关系情况申报如下，并承担申报不实的责任。</w:t>
      </w:r>
    </w:p>
    <w:tbl>
      <w:tblPr>
        <w:tblStyle w:val="78"/>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1265"/>
        <w:gridCol w:w="4645"/>
      </w:tblGrid>
      <w:tr w14:paraId="7DE4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Align w:val="center"/>
          </w:tcPr>
          <w:p w14:paraId="7214BDA9">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申报人名称</w:t>
            </w:r>
          </w:p>
        </w:tc>
        <w:tc>
          <w:tcPr>
            <w:tcW w:w="3536" w:type="pct"/>
            <w:gridSpan w:val="2"/>
            <w:vAlign w:val="center"/>
          </w:tcPr>
          <w:p w14:paraId="07B6714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【XX公司[供应商名称]】</w:t>
            </w:r>
          </w:p>
        </w:tc>
      </w:tr>
      <w:tr w14:paraId="5703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463" w:type="pct"/>
            <w:vMerge w:val="restart"/>
            <w:vAlign w:val="center"/>
          </w:tcPr>
          <w:p w14:paraId="0FF3D18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法定代表人</w:t>
            </w:r>
            <w:r>
              <w:rPr>
                <w:rFonts w:cs="宋体" w:asciiTheme="minorEastAsia" w:hAnsiTheme="minorEastAsia" w:eastAsiaTheme="minorEastAsia"/>
                <w:color w:val="auto"/>
                <w:highlight w:val="none"/>
              </w:rPr>
              <w:t>/单位负责人</w:t>
            </w:r>
          </w:p>
        </w:tc>
        <w:tc>
          <w:tcPr>
            <w:tcW w:w="757" w:type="pct"/>
            <w:vAlign w:val="center"/>
          </w:tcPr>
          <w:p w14:paraId="563492C8">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姓    名</w:t>
            </w:r>
          </w:p>
        </w:tc>
        <w:tc>
          <w:tcPr>
            <w:tcW w:w="2779" w:type="pct"/>
            <w:vAlign w:val="center"/>
          </w:tcPr>
          <w:p w14:paraId="77872C4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tc>
      </w:tr>
      <w:tr w14:paraId="05E1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463" w:type="pct"/>
            <w:vMerge w:val="continue"/>
            <w:vAlign w:val="center"/>
          </w:tcPr>
          <w:p w14:paraId="7A4B7102">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7CD972B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身份证号</w:t>
            </w:r>
          </w:p>
        </w:tc>
        <w:tc>
          <w:tcPr>
            <w:tcW w:w="2779" w:type="pct"/>
            <w:vAlign w:val="center"/>
          </w:tcPr>
          <w:p w14:paraId="7B42A22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[供应商法定代表人/负责人身份证号]</w:t>
            </w:r>
            <w:r>
              <w:rPr>
                <w:rFonts w:hint="eastAsia" w:asciiTheme="minorEastAsia" w:hAnsiTheme="minorEastAsia" w:eastAsiaTheme="minorEastAsia"/>
                <w:color w:val="auto"/>
                <w:highlight w:val="none"/>
                <w:u w:val="single"/>
              </w:rPr>
              <w:t>】</w:t>
            </w:r>
          </w:p>
        </w:tc>
      </w:tr>
      <w:tr w14:paraId="3338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463" w:type="pct"/>
            <w:vAlign w:val="center"/>
          </w:tcPr>
          <w:p w14:paraId="1F862A03">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控股股东/投资人名称</w:t>
            </w:r>
          </w:p>
          <w:p w14:paraId="0A48E97E">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11B06FC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【XX公司/XX[自然人]，出资比例XX%，[供应商控股股东/投资人名称及出资比例]】</w:t>
            </w:r>
          </w:p>
        </w:tc>
      </w:tr>
      <w:tr w14:paraId="3F1E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463" w:type="pct"/>
            <w:vAlign w:val="center"/>
          </w:tcPr>
          <w:p w14:paraId="1369F15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非控股股东/投资人名称</w:t>
            </w:r>
          </w:p>
          <w:p w14:paraId="5AA51AE4">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7B39B7B0">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【XX公司/XX[自然人]，出资比例XX%，[供应商非控股股东/投资人名称及出资比例，应从出资比例由高到低进行填写]】</w:t>
            </w:r>
          </w:p>
        </w:tc>
      </w:tr>
      <w:tr w14:paraId="7597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463" w:type="pct"/>
            <w:vMerge w:val="restart"/>
            <w:vAlign w:val="center"/>
          </w:tcPr>
          <w:p w14:paraId="2FB565EB">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757" w:type="pct"/>
            <w:vAlign w:val="center"/>
          </w:tcPr>
          <w:p w14:paraId="07CFAB87">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2779" w:type="pct"/>
            <w:vAlign w:val="center"/>
          </w:tcPr>
          <w:p w14:paraId="50422443">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【XX公司[管理单位全称]】</w:t>
            </w:r>
          </w:p>
        </w:tc>
      </w:tr>
      <w:tr w14:paraId="5CD2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Merge w:val="continue"/>
            <w:vAlign w:val="center"/>
          </w:tcPr>
          <w:p w14:paraId="65EA71CE">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3DB043C2">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被管理关系单位名称</w:t>
            </w:r>
          </w:p>
        </w:tc>
        <w:tc>
          <w:tcPr>
            <w:tcW w:w="2779" w:type="pct"/>
            <w:vAlign w:val="center"/>
          </w:tcPr>
          <w:p w14:paraId="652E4C8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【XX公司[被管理单位全称，应列明所有被管理单位]】</w:t>
            </w:r>
          </w:p>
        </w:tc>
      </w:tr>
      <w:tr w14:paraId="2438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5000" w:type="pct"/>
            <w:gridSpan w:val="3"/>
            <w:shd w:val="clear" w:color="auto" w:fill="auto"/>
            <w:vAlign w:val="center"/>
          </w:tcPr>
          <w:p w14:paraId="64CBA21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备注：</w:t>
            </w:r>
          </w:p>
        </w:tc>
      </w:tr>
    </w:tbl>
    <w:p w14:paraId="7C417F99">
      <w:pPr>
        <w:spacing w:line="440" w:lineRule="exact"/>
        <w:ind w:firstLine="1134" w:firstLineChars="540"/>
        <w:rPr>
          <w:rFonts w:asciiTheme="minorEastAsia" w:hAnsiTheme="minorEastAsia" w:eastAsiaTheme="minorEastAsia"/>
          <w:color w:val="auto"/>
          <w:szCs w:val="21"/>
          <w:highlight w:val="none"/>
        </w:rPr>
      </w:pPr>
    </w:p>
    <w:p w14:paraId="26B7EA1B">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68ED6B8">
      <w:pPr>
        <w:spacing w:line="440" w:lineRule="exact"/>
        <w:ind w:firstLine="424" w:firstLineChars="202"/>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4EA4F64">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 xml:space="preserve"> </w:t>
      </w:r>
    </w:p>
    <w:p w14:paraId="4A6878D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1.控股股东/投资人是指出资比例在50%以上，或者出资比例不足50%，但享有公司股东会/董事会控制权的投资方（含单位或者个人）。</w:t>
      </w:r>
    </w:p>
    <w:p w14:paraId="32289D4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2.管理关系单位是指与不具有出资持股关系的其他单位之间存在管理与被管理关系的单位。</w:t>
      </w:r>
    </w:p>
    <w:p w14:paraId="3AC341A4">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3.如未有相关情况，请在相应栏填写“无”。</w:t>
      </w:r>
    </w:p>
    <w:p w14:paraId="77A3D6B7">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4.除本文件允许供应商进行填写的内容以外，供应商不得对本文件进行修改。</w:t>
      </w:r>
      <w:r>
        <w:rPr>
          <w:rFonts w:asciiTheme="minorEastAsia" w:hAnsiTheme="minorEastAsia" w:eastAsiaTheme="minorEastAsia"/>
          <w:color w:val="auto"/>
          <w:highlight w:val="none"/>
        </w:rPr>
        <w:br w:type="page"/>
      </w:r>
    </w:p>
    <w:p w14:paraId="74BB701A">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6" w:name="_Toc15310"/>
      <w:bookmarkStart w:id="607" w:name="_Toc447265324"/>
      <w:bookmarkStart w:id="608" w:name="_Toc3971"/>
      <w:bookmarkStart w:id="609" w:name="_Toc475472683"/>
      <w:bookmarkStart w:id="610" w:name="_Toc486866109"/>
      <w:bookmarkStart w:id="611" w:name="_Toc447265610"/>
      <w:r>
        <w:rPr>
          <w:rFonts w:hint="eastAsia" w:asciiTheme="minorEastAsia" w:hAnsiTheme="minorEastAsia" w:eastAsiaTheme="minorEastAsia"/>
          <w:color w:val="auto"/>
          <w:sz w:val="24"/>
          <w:szCs w:val="24"/>
          <w:highlight w:val="none"/>
        </w:rPr>
        <w:t>商务规范书偏离表</w:t>
      </w:r>
      <w:bookmarkEnd w:id="606"/>
      <w:bookmarkEnd w:id="607"/>
      <w:bookmarkEnd w:id="608"/>
      <w:bookmarkEnd w:id="609"/>
      <w:bookmarkEnd w:id="610"/>
      <w:bookmarkEnd w:id="611"/>
    </w:p>
    <w:p w14:paraId="35749B27">
      <w:pPr>
        <w:rPr>
          <w:rFonts w:cs="宋体" w:asciiTheme="minorEastAsia" w:hAnsiTheme="minorEastAsia" w:eastAsiaTheme="minorEastAsia"/>
          <w:color w:val="auto"/>
          <w:highlight w:val="none"/>
        </w:rPr>
      </w:pPr>
    </w:p>
    <w:p w14:paraId="5E3760A6">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商务规范书偏离表</w:t>
      </w:r>
    </w:p>
    <w:p w14:paraId="36C838B2">
      <w:pPr>
        <w:jc w:val="center"/>
        <w:rPr>
          <w:rFonts w:cs="宋体" w:asciiTheme="minorEastAsia" w:hAnsiTheme="minorEastAsia" w:eastAsiaTheme="minorEastAsia"/>
          <w:color w:val="auto"/>
          <w:sz w:val="24"/>
          <w:highlight w:val="none"/>
        </w:rPr>
      </w:pPr>
    </w:p>
    <w:p w14:paraId="3757E37D">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56AD8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67D9EB4E">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7719DE33">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208" w:type="dxa"/>
            <w:vAlign w:val="center"/>
          </w:tcPr>
          <w:p w14:paraId="60A0FDE1">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合同</w:t>
            </w:r>
            <w:r>
              <w:rPr>
                <w:rFonts w:cs="宋体" w:asciiTheme="minorEastAsia" w:hAnsiTheme="minorEastAsia" w:eastAsiaTheme="minorEastAsia"/>
                <w:color w:val="auto"/>
                <w:szCs w:val="21"/>
                <w:highlight w:val="none"/>
              </w:rPr>
              <w:t>条款</w:t>
            </w:r>
          </w:p>
        </w:tc>
        <w:tc>
          <w:tcPr>
            <w:tcW w:w="2435" w:type="dxa"/>
            <w:vAlign w:val="center"/>
          </w:tcPr>
          <w:p w14:paraId="550AAA48">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5ED37710">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4F028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C94AC3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3EC49F0">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0BCC8DF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EDB9C3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AC2A69D">
            <w:pPr>
              <w:adjustRightInd w:val="0"/>
              <w:snapToGrid w:val="0"/>
              <w:spacing w:line="440" w:lineRule="exact"/>
              <w:rPr>
                <w:rFonts w:cs="宋体" w:asciiTheme="minorEastAsia" w:hAnsiTheme="minorEastAsia" w:eastAsiaTheme="minorEastAsia"/>
                <w:color w:val="auto"/>
                <w:szCs w:val="21"/>
                <w:highlight w:val="none"/>
              </w:rPr>
            </w:pPr>
          </w:p>
        </w:tc>
      </w:tr>
      <w:tr w14:paraId="70B4E5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5F1DAB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743374E">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65916E7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EB604E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9D7E1FC">
            <w:pPr>
              <w:adjustRightInd w:val="0"/>
              <w:snapToGrid w:val="0"/>
              <w:spacing w:line="440" w:lineRule="exact"/>
              <w:rPr>
                <w:rFonts w:cs="宋体" w:asciiTheme="minorEastAsia" w:hAnsiTheme="minorEastAsia" w:eastAsiaTheme="minorEastAsia"/>
                <w:color w:val="auto"/>
                <w:szCs w:val="21"/>
                <w:highlight w:val="none"/>
              </w:rPr>
            </w:pPr>
          </w:p>
        </w:tc>
      </w:tr>
      <w:tr w14:paraId="1D1EF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29BA0B1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1CF603F">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269FCED0">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20A1548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5DFEAECC">
            <w:pPr>
              <w:adjustRightInd w:val="0"/>
              <w:snapToGrid w:val="0"/>
              <w:spacing w:line="440" w:lineRule="exact"/>
              <w:rPr>
                <w:rFonts w:cs="宋体" w:asciiTheme="minorEastAsia" w:hAnsiTheme="minorEastAsia" w:eastAsiaTheme="minorEastAsia"/>
                <w:color w:val="auto"/>
                <w:szCs w:val="21"/>
                <w:highlight w:val="none"/>
              </w:rPr>
            </w:pPr>
          </w:p>
        </w:tc>
      </w:tr>
      <w:tr w14:paraId="28A411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29865E0">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3A1CDED">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414EF4C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68785BD">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4FE373D7">
            <w:pPr>
              <w:adjustRightInd w:val="0"/>
              <w:snapToGrid w:val="0"/>
              <w:spacing w:line="440" w:lineRule="exact"/>
              <w:rPr>
                <w:rFonts w:cs="宋体" w:asciiTheme="minorEastAsia" w:hAnsiTheme="minorEastAsia" w:eastAsiaTheme="minorEastAsia"/>
                <w:color w:val="auto"/>
                <w:szCs w:val="21"/>
                <w:highlight w:val="none"/>
              </w:rPr>
            </w:pPr>
          </w:p>
        </w:tc>
      </w:tr>
      <w:tr w14:paraId="4D9B90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36FBAD2C">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4FD491A7">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1B3F2DC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0D86995">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2F90902F">
            <w:pPr>
              <w:adjustRightInd w:val="0"/>
              <w:snapToGrid w:val="0"/>
              <w:spacing w:line="440" w:lineRule="exact"/>
              <w:rPr>
                <w:rFonts w:cs="宋体" w:asciiTheme="minorEastAsia" w:hAnsiTheme="minorEastAsia" w:eastAsiaTheme="minorEastAsia"/>
                <w:color w:val="auto"/>
                <w:szCs w:val="21"/>
                <w:highlight w:val="none"/>
              </w:rPr>
            </w:pPr>
          </w:p>
        </w:tc>
      </w:tr>
      <w:tr w14:paraId="68C5CF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5F4DD0E4">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F03D59A">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3BE7749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4337500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4582BF">
            <w:pPr>
              <w:adjustRightInd w:val="0"/>
              <w:snapToGrid w:val="0"/>
              <w:spacing w:line="440" w:lineRule="exact"/>
              <w:rPr>
                <w:rFonts w:cs="宋体" w:asciiTheme="minorEastAsia" w:hAnsiTheme="minorEastAsia" w:eastAsiaTheme="minorEastAsia"/>
                <w:color w:val="auto"/>
                <w:szCs w:val="21"/>
                <w:highlight w:val="none"/>
              </w:rPr>
            </w:pPr>
          </w:p>
        </w:tc>
      </w:tr>
    </w:tbl>
    <w:p w14:paraId="2FAF0FF1">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7509AC81">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EA2F00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A954BFC">
      <w:pPr>
        <w:widowControl/>
        <w:jc w:val="left"/>
        <w:rPr>
          <w:rFonts w:asciiTheme="minorEastAsia" w:hAnsiTheme="minorEastAsia" w:eastAsiaTheme="minorEastAsia"/>
          <w:color w:val="auto"/>
          <w:highlight w:val="none"/>
        </w:rPr>
      </w:pPr>
    </w:p>
    <w:p w14:paraId="092F4599">
      <w:pPr>
        <w:adjustRightInd w:val="0"/>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编制要求</w:t>
      </w:r>
      <w:r>
        <w:rPr>
          <w:rFonts w:hint="eastAsia" w:cs="宋体" w:asciiTheme="minorEastAsia" w:hAnsiTheme="minorEastAsia" w:eastAsiaTheme="minorEastAsia"/>
          <w:color w:val="auto"/>
          <w:szCs w:val="21"/>
          <w:highlight w:val="none"/>
        </w:rPr>
        <w:t>：</w:t>
      </w:r>
    </w:p>
    <w:p w14:paraId="7C1B088B">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1.如对商务规范书条款无任何偏离，供应商仅需在本偏离表中填写“无偏离”即可。当本表为空时，视为响应文件对商务规范书条款全部满足，无偏离；</w:t>
      </w:r>
    </w:p>
    <w:p w14:paraId="1FD9EAEA">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 如对商务规范书条款存在偏离，供应商需对商务规范书条款存在的偏离逐条做出说明。</w:t>
      </w:r>
    </w:p>
    <w:p w14:paraId="53036EDF">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color w:val="auto"/>
          <w:highlight w:val="none"/>
        </w:rPr>
        <w:t>3. 供应商可以根据实际情况对本文件进行调整和修改，但应满足询比文件对本文件的要求。</w:t>
      </w:r>
    </w:p>
    <w:p w14:paraId="6753C83A">
      <w:pPr>
        <w:pStyle w:val="102"/>
        <w:adjustRightInd w:val="0"/>
        <w:snapToGrid w:val="0"/>
        <w:spacing w:line="440" w:lineRule="exact"/>
        <w:ind w:firstLine="0" w:firstLineChars="0"/>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189C1B56">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12" w:name="_Toc477190543"/>
      <w:bookmarkEnd w:id="612"/>
      <w:bookmarkStart w:id="613" w:name="_Toc477190482"/>
      <w:bookmarkEnd w:id="613"/>
      <w:bookmarkStart w:id="614" w:name="_Toc477190584"/>
      <w:bookmarkEnd w:id="614"/>
      <w:bookmarkStart w:id="615" w:name="_Toc477190601"/>
      <w:bookmarkEnd w:id="615"/>
      <w:bookmarkStart w:id="616" w:name="_Toc477190568"/>
      <w:bookmarkEnd w:id="616"/>
      <w:bookmarkStart w:id="617" w:name="_Toc477190589"/>
      <w:bookmarkEnd w:id="617"/>
      <w:bookmarkStart w:id="618" w:name="_Toc477190474"/>
      <w:bookmarkEnd w:id="618"/>
      <w:bookmarkStart w:id="619" w:name="_Toc477190574"/>
      <w:bookmarkEnd w:id="619"/>
      <w:bookmarkStart w:id="620" w:name="_Toc477190590"/>
      <w:bookmarkEnd w:id="620"/>
      <w:bookmarkStart w:id="621" w:name="_Toc477190517"/>
      <w:bookmarkEnd w:id="621"/>
      <w:bookmarkStart w:id="622" w:name="_Toc477190586"/>
      <w:bookmarkEnd w:id="622"/>
      <w:bookmarkStart w:id="623" w:name="_Toc477190549"/>
      <w:bookmarkEnd w:id="623"/>
      <w:bookmarkStart w:id="624" w:name="_Toc477190450"/>
      <w:bookmarkEnd w:id="624"/>
      <w:bookmarkStart w:id="625" w:name="_Toc477190429"/>
      <w:bookmarkEnd w:id="625"/>
      <w:bookmarkStart w:id="626" w:name="_Toc477190537"/>
      <w:bookmarkEnd w:id="626"/>
      <w:bookmarkStart w:id="627" w:name="_Toc477190472"/>
      <w:bookmarkEnd w:id="627"/>
      <w:bookmarkStart w:id="628" w:name="_Toc477190434"/>
      <w:bookmarkEnd w:id="628"/>
      <w:bookmarkStart w:id="629" w:name="_Toc477190646"/>
      <w:bookmarkEnd w:id="629"/>
      <w:bookmarkStart w:id="630" w:name="_Toc477190462"/>
      <w:bookmarkEnd w:id="630"/>
      <w:bookmarkStart w:id="631" w:name="_Toc477190563"/>
      <w:bookmarkEnd w:id="631"/>
      <w:bookmarkStart w:id="632" w:name="_Toc477190518"/>
      <w:bookmarkEnd w:id="632"/>
      <w:bookmarkStart w:id="633" w:name="_Toc477190612"/>
      <w:bookmarkEnd w:id="633"/>
      <w:bookmarkStart w:id="634" w:name="_Toc477190575"/>
      <w:bookmarkEnd w:id="634"/>
      <w:bookmarkStart w:id="635" w:name="_Toc477190460"/>
      <w:bookmarkEnd w:id="635"/>
      <w:bookmarkStart w:id="636" w:name="_Toc477190654"/>
      <w:bookmarkEnd w:id="636"/>
      <w:bookmarkStart w:id="637" w:name="_Toc477190653"/>
      <w:bookmarkEnd w:id="637"/>
      <w:bookmarkStart w:id="638" w:name="_Toc477190596"/>
      <w:bookmarkEnd w:id="638"/>
      <w:bookmarkStart w:id="639" w:name="_Toc477190439"/>
      <w:bookmarkEnd w:id="639"/>
      <w:bookmarkStart w:id="640" w:name="_Toc477190514"/>
      <w:bookmarkEnd w:id="640"/>
      <w:bookmarkStart w:id="641" w:name="_Toc477190445"/>
      <w:bookmarkEnd w:id="641"/>
      <w:bookmarkStart w:id="642" w:name="_Toc477190435"/>
      <w:bookmarkEnd w:id="642"/>
      <w:bookmarkStart w:id="643" w:name="_Toc477190592"/>
      <w:bookmarkEnd w:id="643"/>
      <w:bookmarkStart w:id="644" w:name="_Toc477190461"/>
      <w:bookmarkEnd w:id="644"/>
      <w:bookmarkStart w:id="645" w:name="_Toc477190424"/>
      <w:bookmarkEnd w:id="645"/>
      <w:bookmarkStart w:id="646" w:name="_Toc477190595"/>
      <w:bookmarkEnd w:id="646"/>
      <w:bookmarkStart w:id="647" w:name="_Toc477190513"/>
      <w:bookmarkEnd w:id="647"/>
      <w:bookmarkStart w:id="648" w:name="_Toc477190507"/>
      <w:bookmarkEnd w:id="648"/>
      <w:bookmarkStart w:id="649" w:name="_Toc477190365"/>
      <w:bookmarkEnd w:id="649"/>
      <w:bookmarkStart w:id="650" w:name="_Toc477190573"/>
      <w:bookmarkEnd w:id="650"/>
      <w:bookmarkStart w:id="651" w:name="_Toc477190454"/>
      <w:bookmarkEnd w:id="651"/>
      <w:bookmarkStart w:id="652" w:name="_Toc477190525"/>
      <w:bookmarkEnd w:id="652"/>
      <w:bookmarkStart w:id="653" w:name="_Toc477190585"/>
      <w:bookmarkEnd w:id="653"/>
      <w:bookmarkStart w:id="654" w:name="_Toc477190648"/>
      <w:bookmarkEnd w:id="654"/>
      <w:bookmarkStart w:id="655" w:name="_Toc477190448"/>
      <w:bookmarkEnd w:id="655"/>
      <w:bookmarkStart w:id="656" w:name="_Toc477190436"/>
      <w:bookmarkEnd w:id="656"/>
      <w:bookmarkStart w:id="657" w:name="_Toc477190577"/>
      <w:bookmarkEnd w:id="657"/>
      <w:bookmarkStart w:id="658" w:name="_Toc477190453"/>
      <w:bookmarkEnd w:id="658"/>
      <w:bookmarkStart w:id="659" w:name="_Toc477190650"/>
      <w:bookmarkEnd w:id="659"/>
      <w:bookmarkStart w:id="660" w:name="_Toc477190444"/>
      <w:bookmarkEnd w:id="660"/>
      <w:bookmarkStart w:id="661" w:name="_Toc477190570"/>
      <w:bookmarkEnd w:id="661"/>
      <w:bookmarkStart w:id="662" w:name="_Toc477190645"/>
      <w:bookmarkEnd w:id="662"/>
      <w:bookmarkStart w:id="663" w:name="_Toc477190565"/>
      <w:bookmarkEnd w:id="663"/>
      <w:bookmarkStart w:id="664" w:name="_Toc477190422"/>
      <w:bookmarkEnd w:id="664"/>
      <w:bookmarkStart w:id="665" w:name="_Toc477190652"/>
      <w:bookmarkEnd w:id="665"/>
      <w:bookmarkStart w:id="666" w:name="_Toc477190437"/>
      <w:bookmarkEnd w:id="666"/>
      <w:bookmarkStart w:id="667" w:name="_Toc477190572"/>
      <w:bookmarkEnd w:id="667"/>
      <w:bookmarkStart w:id="668" w:name="_Toc477190506"/>
      <w:bookmarkEnd w:id="668"/>
      <w:bookmarkStart w:id="669" w:name="_Toc477190416"/>
      <w:bookmarkEnd w:id="669"/>
      <w:bookmarkStart w:id="670" w:name="_Toc477190418"/>
      <w:bookmarkEnd w:id="670"/>
      <w:bookmarkStart w:id="671" w:name="_Toc477190464"/>
      <w:bookmarkEnd w:id="671"/>
      <w:bookmarkStart w:id="672" w:name="_Toc477190597"/>
      <w:bookmarkEnd w:id="672"/>
      <w:bookmarkStart w:id="673" w:name="_Toc477190588"/>
      <w:bookmarkEnd w:id="673"/>
      <w:bookmarkStart w:id="674" w:name="_Toc477190471"/>
      <w:bookmarkEnd w:id="674"/>
      <w:bookmarkStart w:id="675" w:name="_Toc477190417"/>
      <w:bookmarkEnd w:id="675"/>
      <w:bookmarkStart w:id="676" w:name="_Toc477190649"/>
      <w:bookmarkEnd w:id="676"/>
      <w:bookmarkStart w:id="677" w:name="_Toc477190431"/>
      <w:bookmarkEnd w:id="677"/>
      <w:bookmarkStart w:id="678" w:name="_Toc477190632"/>
      <w:bookmarkEnd w:id="678"/>
      <w:bookmarkStart w:id="679" w:name="_Toc477190505"/>
      <w:bookmarkEnd w:id="679"/>
      <w:bookmarkStart w:id="680" w:name="_Toc477190367"/>
      <w:bookmarkEnd w:id="680"/>
      <w:bookmarkStart w:id="681" w:name="_Toc477190449"/>
      <w:bookmarkEnd w:id="681"/>
      <w:bookmarkStart w:id="682" w:name="_Toc477190561"/>
      <w:bookmarkEnd w:id="682"/>
      <w:bookmarkStart w:id="683" w:name="_Toc477190651"/>
      <w:bookmarkEnd w:id="683"/>
      <w:bookmarkStart w:id="684" w:name="_Toc477190600"/>
      <w:bookmarkEnd w:id="684"/>
      <w:bookmarkStart w:id="685" w:name="_Toc477190578"/>
      <w:bookmarkEnd w:id="685"/>
      <w:bookmarkStart w:id="686" w:name="_Toc477190515"/>
      <w:bookmarkEnd w:id="686"/>
      <w:bookmarkStart w:id="687" w:name="_Toc477190470"/>
      <w:bookmarkEnd w:id="687"/>
      <w:bookmarkStart w:id="688" w:name="_Toc477190465"/>
      <w:bookmarkEnd w:id="688"/>
      <w:bookmarkStart w:id="689" w:name="_Toc477190433"/>
      <w:bookmarkEnd w:id="689"/>
      <w:bookmarkStart w:id="690" w:name="_Toc477190468"/>
      <w:bookmarkEnd w:id="690"/>
      <w:bookmarkStart w:id="691" w:name="_Toc477190571"/>
      <w:bookmarkEnd w:id="691"/>
      <w:bookmarkStart w:id="692" w:name="_Toc477190509"/>
      <w:bookmarkEnd w:id="692"/>
      <w:bookmarkStart w:id="693" w:name="_Toc477190441"/>
      <w:bookmarkEnd w:id="693"/>
      <w:bookmarkStart w:id="694" w:name="_Toc477190599"/>
      <w:bookmarkEnd w:id="694"/>
      <w:bookmarkStart w:id="695" w:name="_Toc477190469"/>
      <w:bookmarkEnd w:id="695"/>
      <w:bookmarkStart w:id="696" w:name="_Toc477190504"/>
      <w:bookmarkEnd w:id="696"/>
      <w:bookmarkStart w:id="697" w:name="_Toc477190414"/>
      <w:bookmarkEnd w:id="697"/>
      <w:bookmarkStart w:id="698" w:name="_Toc477190555"/>
      <w:bookmarkEnd w:id="698"/>
      <w:bookmarkStart w:id="699" w:name="_Toc477190581"/>
      <w:bookmarkEnd w:id="699"/>
      <w:bookmarkStart w:id="700" w:name="_Toc477190564"/>
      <w:bookmarkEnd w:id="700"/>
      <w:bookmarkStart w:id="701" w:name="_Toc477190531"/>
      <w:bookmarkEnd w:id="701"/>
      <w:bookmarkStart w:id="702" w:name="_Toc477190447"/>
      <w:bookmarkEnd w:id="702"/>
      <w:bookmarkStart w:id="703" w:name="_Toc477190583"/>
      <w:bookmarkEnd w:id="703"/>
      <w:bookmarkStart w:id="704" w:name="_Toc477190428"/>
      <w:bookmarkEnd w:id="704"/>
      <w:bookmarkStart w:id="705" w:name="_Toc477190598"/>
      <w:bookmarkEnd w:id="705"/>
      <w:bookmarkStart w:id="706" w:name="_Toc477190427"/>
      <w:bookmarkEnd w:id="706"/>
      <w:bookmarkStart w:id="707" w:name="_Toc477190473"/>
      <w:bookmarkEnd w:id="707"/>
      <w:bookmarkStart w:id="708" w:name="_Toc477190593"/>
      <w:bookmarkEnd w:id="708"/>
      <w:bookmarkStart w:id="709" w:name="_Toc477190456"/>
      <w:bookmarkEnd w:id="709"/>
      <w:bookmarkStart w:id="710" w:name="_Toc477190508"/>
      <w:bookmarkEnd w:id="710"/>
      <w:bookmarkStart w:id="711" w:name="_Toc477190566"/>
      <w:bookmarkEnd w:id="711"/>
      <w:bookmarkStart w:id="712" w:name="_Toc477190458"/>
      <w:bookmarkEnd w:id="712"/>
      <w:bookmarkStart w:id="713" w:name="_Toc477190446"/>
      <w:bookmarkEnd w:id="713"/>
      <w:bookmarkStart w:id="714" w:name="_Toc477190512"/>
      <w:bookmarkEnd w:id="714"/>
      <w:bookmarkStart w:id="715" w:name="_Toc477190425"/>
      <w:bookmarkEnd w:id="715"/>
      <w:bookmarkStart w:id="716" w:name="_Toc477190455"/>
      <w:bookmarkEnd w:id="716"/>
      <w:bookmarkStart w:id="717" w:name="_Toc477190582"/>
      <w:bookmarkEnd w:id="717"/>
      <w:bookmarkStart w:id="718" w:name="_Toc477190442"/>
      <w:bookmarkEnd w:id="718"/>
      <w:bookmarkStart w:id="719" w:name="_Toc477190510"/>
      <w:bookmarkEnd w:id="719"/>
      <w:bookmarkStart w:id="720" w:name="_Toc477190423"/>
      <w:bookmarkEnd w:id="720"/>
      <w:bookmarkStart w:id="721" w:name="_Toc477190647"/>
      <w:bookmarkEnd w:id="721"/>
      <w:bookmarkStart w:id="722" w:name="_Toc477190587"/>
      <w:bookmarkEnd w:id="722"/>
      <w:bookmarkStart w:id="723" w:name="_Toc477190459"/>
      <w:bookmarkEnd w:id="723"/>
      <w:bookmarkStart w:id="724" w:name="_Toc477190580"/>
      <w:bookmarkEnd w:id="724"/>
      <w:bookmarkStart w:id="725" w:name="_Toc477190366"/>
      <w:bookmarkEnd w:id="725"/>
      <w:bookmarkStart w:id="726" w:name="_Toc477190567"/>
      <w:bookmarkEnd w:id="726"/>
      <w:bookmarkStart w:id="727" w:name="_Toc477190368"/>
      <w:bookmarkEnd w:id="727"/>
      <w:bookmarkStart w:id="728" w:name="_Toc477190440"/>
      <w:bookmarkEnd w:id="728"/>
      <w:bookmarkStart w:id="729" w:name="_Toc477190443"/>
      <w:bookmarkEnd w:id="729"/>
      <w:bookmarkStart w:id="730" w:name="_Toc477190576"/>
      <w:bookmarkEnd w:id="730"/>
      <w:bookmarkStart w:id="731" w:name="_Toc477190562"/>
      <w:bookmarkEnd w:id="731"/>
      <w:bookmarkStart w:id="732" w:name="_Toc477190467"/>
      <w:bookmarkEnd w:id="732"/>
      <w:bookmarkStart w:id="733" w:name="_Toc477190594"/>
      <w:bookmarkEnd w:id="733"/>
      <w:bookmarkStart w:id="734" w:name="_Toc477190415"/>
      <w:bookmarkEnd w:id="734"/>
      <w:bookmarkStart w:id="735" w:name="_Toc477190421"/>
      <w:bookmarkEnd w:id="735"/>
      <w:bookmarkStart w:id="736" w:name="_Toc477190463"/>
      <w:bookmarkEnd w:id="736"/>
      <w:bookmarkStart w:id="737" w:name="_Toc477190438"/>
      <w:bookmarkEnd w:id="737"/>
      <w:bookmarkStart w:id="738" w:name="_Toc477190452"/>
      <w:bookmarkEnd w:id="738"/>
      <w:bookmarkStart w:id="739" w:name="_Toc477190579"/>
      <w:bookmarkEnd w:id="739"/>
      <w:bookmarkStart w:id="740" w:name="_Toc477190430"/>
      <w:bookmarkEnd w:id="740"/>
      <w:bookmarkStart w:id="741" w:name="_Toc477190511"/>
      <w:bookmarkEnd w:id="741"/>
      <w:bookmarkStart w:id="742" w:name="_Toc477190432"/>
      <w:bookmarkEnd w:id="742"/>
      <w:bookmarkStart w:id="743" w:name="_Toc477190642"/>
      <w:bookmarkEnd w:id="743"/>
      <w:bookmarkStart w:id="744" w:name="_Toc477190420"/>
      <w:bookmarkEnd w:id="744"/>
      <w:bookmarkStart w:id="745" w:name="_Toc477190466"/>
      <w:bookmarkEnd w:id="745"/>
      <w:bookmarkStart w:id="746" w:name="_Toc477190498"/>
      <w:bookmarkEnd w:id="746"/>
      <w:bookmarkStart w:id="747" w:name="_Toc477190622"/>
      <w:bookmarkEnd w:id="747"/>
      <w:bookmarkStart w:id="748" w:name="_Toc477190451"/>
      <w:bookmarkEnd w:id="748"/>
      <w:bookmarkStart w:id="749" w:name="_Toc477190516"/>
      <w:bookmarkEnd w:id="749"/>
      <w:bookmarkStart w:id="750" w:name="_Toc477190426"/>
      <w:bookmarkEnd w:id="750"/>
      <w:bookmarkStart w:id="751" w:name="_Toc477190419"/>
      <w:bookmarkEnd w:id="751"/>
      <w:bookmarkStart w:id="752" w:name="_Toc477190457"/>
      <w:bookmarkEnd w:id="752"/>
      <w:bookmarkStart w:id="753" w:name="_Toc477190569"/>
      <w:bookmarkEnd w:id="753"/>
      <w:bookmarkStart w:id="754" w:name="_Toc477190591"/>
      <w:bookmarkEnd w:id="754"/>
      <w:bookmarkStart w:id="755" w:name="_Toc38008092"/>
      <w:bookmarkStart w:id="756" w:name="_Toc106784693"/>
      <w:bookmarkStart w:id="757" w:name="_Toc1782"/>
      <w:bookmarkStart w:id="758" w:name="_Toc25469"/>
      <w:bookmarkStart w:id="759" w:name="_Toc475472685"/>
      <w:bookmarkStart w:id="760" w:name="_Toc444791971"/>
      <w:bookmarkStart w:id="761" w:name="_Toc7523064"/>
      <w:bookmarkStart w:id="762" w:name="_Toc326856160"/>
      <w:bookmarkStart w:id="763" w:name="_Toc81306854"/>
      <w:bookmarkStart w:id="764" w:name="_Toc475472688"/>
      <w:r>
        <w:rPr>
          <w:rFonts w:hint="eastAsia" w:asciiTheme="minorEastAsia" w:hAnsiTheme="minorEastAsia" w:eastAsiaTheme="minorEastAsia"/>
          <w:color w:val="auto"/>
          <w:sz w:val="24"/>
          <w:szCs w:val="24"/>
          <w:highlight w:val="none"/>
        </w:rPr>
        <w:t>网络及信息安全承诺书</w:t>
      </w:r>
      <w:bookmarkEnd w:id="755"/>
      <w:bookmarkEnd w:id="756"/>
      <w:bookmarkEnd w:id="757"/>
      <w:bookmarkEnd w:id="758"/>
    </w:p>
    <w:p w14:paraId="4D55F660">
      <w:pPr>
        <w:pStyle w:val="146"/>
        <w:spacing w:line="360" w:lineRule="atLeast"/>
        <w:ind w:firstLine="482"/>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网络及信息安全承诺书</w:t>
      </w:r>
    </w:p>
    <w:p w14:paraId="3C998029">
      <w:pPr>
        <w:pStyle w:val="146"/>
        <w:spacing w:line="360" w:lineRule="atLeast"/>
        <w:ind w:firstLine="482"/>
        <w:jc w:val="cente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[根据规定使用本承诺书的项目，应将本承诺书作为不可偏离文件，并作为合同附件]</w:t>
      </w:r>
    </w:p>
    <w:p w14:paraId="47498EC6">
      <w:pPr>
        <w:pStyle w:val="146"/>
        <w:spacing w:line="360" w:lineRule="atLeast"/>
        <w:ind w:firstLine="482"/>
        <w:jc w:val="center"/>
        <w:rPr>
          <w:rFonts w:asciiTheme="minorEastAsia" w:hAnsiTheme="minorEastAsia" w:eastAsiaTheme="minorEastAsia"/>
          <w:b/>
          <w:bCs/>
          <w:color w:val="auto"/>
          <w:sz w:val="24"/>
          <w:highlight w:val="none"/>
        </w:rPr>
      </w:pPr>
    </w:p>
    <w:p w14:paraId="45B5EA81">
      <w:pPr>
        <w:pStyle w:val="146"/>
        <w:snapToGrid w:val="0"/>
        <w:spacing w:line="440" w:lineRule="exact"/>
        <w:ind w:firstLine="482"/>
        <w:rPr>
          <w:rFonts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致：【</w:t>
      </w:r>
      <w:r>
        <w:rPr>
          <w:rFonts w:hint="eastAsia" w:asciiTheme="minorEastAsia" w:hAnsiTheme="minorEastAsia" w:eastAsiaTheme="minorEastAsia"/>
          <w:b/>
          <w:bCs/>
          <w:color w:val="auto"/>
          <w:szCs w:val="21"/>
          <w:highlight w:val="none"/>
          <w:lang w:eastAsia="zh-CN"/>
        </w:rPr>
        <w:t>湖北信通通信有限公司</w:t>
      </w:r>
      <w:r>
        <w:rPr>
          <w:rFonts w:hint="eastAsia" w:asciiTheme="minorEastAsia" w:hAnsiTheme="minorEastAsia" w:eastAsiaTheme="minorEastAsia"/>
          <w:b/>
          <w:bCs/>
          <w:color w:val="auto"/>
          <w:szCs w:val="21"/>
          <w:highlight w:val="none"/>
        </w:rPr>
        <w:t>】：</w:t>
      </w:r>
    </w:p>
    <w:p w14:paraId="56EA78C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本单位郑重承诺遵守本承诺书，如有违反本承诺书有关条款的行为，本单位承担由此带来的一切责任。</w:t>
      </w:r>
    </w:p>
    <w:p w14:paraId="03A430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一、本单位承诺遵守《中华人民共和国网络安全法》《中华人民共和国数据安全法》《中华人民共和国个人信息保护法》《全国人民代表大会常务委员会关于加强网络信息保护的决定》《中华人民共和国电信条例》《中华人民共和国计算机信息系统安全保护条例》《计算机信息网络国际联网安全保护管理办法》《互联网信息服务管理办法》《非经营性互联网信息服务备案管理办法》《移动互联网应用程序信息服务管理规定》《网络信息内容生态治理规定》《电信和互联网用户个人信息保护规定》《公共互联网网络安全突发事件应急预案》《关键信息基础设施安全保护条例》《网络安全审查办法》及有关法律、法规、规章和政策文件规定（“相关规定”）。</w:t>
      </w:r>
    </w:p>
    <w:p w14:paraId="1BCEE28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本单位承诺向贵公司提供产品或服务符合相关规定、政府主管部门要求以及与贵公司的合同/协议（“合同”）约定，落实网络安全、数据安全和个人信息保护责任。本单位承诺具备履行合同所需的全部合法必要的资质条件。</w:t>
      </w:r>
    </w:p>
    <w:p w14:paraId="1F6166D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三、本单位承诺按照用户真实身份信息制度（“实名制”）的要求提供身份信息、使用业务，并保证所提供信息、资料的真实、完整、准确、有效。</w:t>
      </w:r>
    </w:p>
    <w:p w14:paraId="67A3DA3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四、本单位保证不利用网络（包括但不限于固定网、移动网、互联网，下同）从事危害国家安全、泄露国家秘密等违法犯罪活动，不侵犯他人的合法权益。</w:t>
      </w:r>
    </w:p>
    <w:p w14:paraId="3FF7FF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五、本单位保证在处理个人信息前依法向个人信息主体（“个人”）履行法定告知义务并取得个人的明确同意。法律、行政法规规定处理个人信息应当取得个人单独同意或者书面同意的，本单位保证在处理个人信息前依法取得个人单独同意或书面同意。</w:t>
      </w:r>
    </w:p>
    <w:p w14:paraId="1FF337C0">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六、本单位向贵公司提供个人信息或委托贵公司处理个人信息的，本单位承诺已依法向个人履行了告知义务，并依法取得了个人同意。本单位承诺，向贵公司提供或委托贵公司处理的个人信息等数据来源合法合规，不存在违反相关规定以及合同约定的情况。</w:t>
      </w:r>
    </w:p>
    <w:p w14:paraId="586A3D3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七、本单位受贵公司委托处理个人信息等数据的，或本单位与贵公司共同处理个人信息等数据的，本单位承诺按照与贵公司的合同约定处理，不得超出约定的处理目的、处理方式等处理上述数据，严格遵循数据处理时限。如果合同不生效、无效、被撤销、终止，或其他贵公司认为必要的情况下，本单位承诺按照贵公司的要求对个人信息等数据（包括但不限于原始数据、备份数据、基于所提供的数据产生的衍生数据）予以返还或者删除，且未经贵公司同意不得以任何方式留存履行合同过程中所处理的任何上述数据。上述数据的返还或删除并不免除本单位其他义务。未经贵公司同意,本单位不得转委托他人处理上述数据。本单位承诺按照法律规定及贵公司要求处理个人基于其主体权利提出的请求（包括个人信息查询、更正、删除、撤回授权同意、注销账户、获取个人信息副本等）。</w:t>
      </w:r>
    </w:p>
    <w:p w14:paraId="34706C3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八、对本单位在合同签订及履行过程中接触或知悉的贵公司和/或贵公司客户的数据和用户个人信息，本单位应当严格保密，不得向其他方提供、披露。本单位应当按照相关规定、政府主管部门要求和合同约定采取保密措施，防止未经授权的访问以及个人信息等数据的泄露、篡改、丢失。对于本单位在合同签订及履行过程中接触和获得的个人信息等数据，应当依法在境内存储，且不得向境外提供。</w:t>
      </w:r>
    </w:p>
    <w:p w14:paraId="6227BC4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本单位承诺严格按照相关规定做好本单位网络安全、数据安全和个人信息保护管理工作，健全各项网络安全、数据安全和个人信息保护管理制度和操作规程，落实各项安全保护技术措施，实施个人信息和数据分类分级管理、依法落实个人信息保护影响评估和数据安全风险评估、报告、信息共享、监测预警机制，定期对从业人员进行安全教育和培训，依法设置网络安全、数据安全和个人信息保护责任人和管理机构，按政府主管部门要求设立信息安全责任人和信息安全审查员，当信息安全责任人发生变更时及时通知贵公司。否则，导致的一切后果由本单位承担，贵公司有权立即终止合同。</w:t>
      </w:r>
    </w:p>
    <w:p w14:paraId="25B248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本单位承诺配合贵公司为公安机关、国家安全机关、网信部门等政府部门依法履行职责、维护国家安全和侦查犯罪等活动提供协助，如实提供有关安全保护的信息、资料及数据文件，积极协助查处信息网络违法犯罪行为。</w:t>
      </w:r>
    </w:p>
    <w:p w14:paraId="50184C3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一、本单位承诺利用网络发送的信息以及向贵公司提供的信息真实、准确、合法。该等信息内容应当严格符合相关规定，本单位不得通过通信网络、互联网制作、复制、查阅和传播有害信息，不得散发传播违法、不健康、反动等信息，不得制作、复制、查阅和传播任何违反下列要求（即“九不准”及“六不许”）的信息。</w:t>
      </w:r>
    </w:p>
    <w:p w14:paraId="56867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“九不准”，即不准制作、复制、查阅和传播含有以下内容的信息：</w:t>
      </w:r>
    </w:p>
    <w:p w14:paraId="1938FA6E">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1、反对宪法所确定的基本原则的</w:t>
      </w:r>
      <w:r>
        <w:rPr>
          <w:rFonts w:hint="eastAsia" w:asciiTheme="minorEastAsia" w:hAnsiTheme="minorEastAsia" w:eastAsiaTheme="minorEastAsia"/>
          <w:color w:val="auto"/>
          <w:szCs w:val="21"/>
          <w:highlight w:val="none"/>
        </w:rPr>
        <w:t>；</w:t>
      </w:r>
    </w:p>
    <w:p w14:paraId="759D3B2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2、危害国家安全，泄露国家秘密，颠覆国家政权，破坏国家统一的</w:t>
      </w:r>
      <w:r>
        <w:rPr>
          <w:rFonts w:hint="eastAsia" w:asciiTheme="minorEastAsia" w:hAnsiTheme="minorEastAsia" w:eastAsiaTheme="minorEastAsia"/>
          <w:color w:val="auto"/>
          <w:szCs w:val="21"/>
          <w:highlight w:val="none"/>
        </w:rPr>
        <w:t>；</w:t>
      </w:r>
    </w:p>
    <w:p w14:paraId="7B39F206">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3、损害国家荣誉和利益的</w:t>
      </w:r>
      <w:r>
        <w:rPr>
          <w:rFonts w:hint="eastAsia" w:asciiTheme="minorEastAsia" w:hAnsiTheme="minorEastAsia" w:eastAsiaTheme="minorEastAsia"/>
          <w:color w:val="auto"/>
          <w:szCs w:val="21"/>
          <w:highlight w:val="none"/>
        </w:rPr>
        <w:t>；</w:t>
      </w:r>
    </w:p>
    <w:p w14:paraId="3529F8F1">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4、煽动民族仇恨、民族歧视，破坏民族团结的</w:t>
      </w:r>
      <w:r>
        <w:rPr>
          <w:rFonts w:hint="eastAsia" w:asciiTheme="minorEastAsia" w:hAnsiTheme="minorEastAsia" w:eastAsiaTheme="minorEastAsia"/>
          <w:color w:val="auto"/>
          <w:szCs w:val="21"/>
          <w:highlight w:val="none"/>
        </w:rPr>
        <w:t>；</w:t>
      </w:r>
    </w:p>
    <w:p w14:paraId="13D32CD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5、破坏国家宗教政策，宣扬邪教和封建迷信的</w:t>
      </w:r>
      <w:r>
        <w:rPr>
          <w:rFonts w:hint="eastAsia" w:asciiTheme="minorEastAsia" w:hAnsiTheme="minorEastAsia" w:eastAsiaTheme="minorEastAsia"/>
          <w:color w:val="auto"/>
          <w:szCs w:val="21"/>
          <w:highlight w:val="none"/>
        </w:rPr>
        <w:t>；</w:t>
      </w:r>
    </w:p>
    <w:p w14:paraId="6124DF8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6、散布谣言，扰乱社会秩序，破坏社会稳定的</w:t>
      </w:r>
      <w:r>
        <w:rPr>
          <w:rFonts w:hint="eastAsia" w:asciiTheme="minorEastAsia" w:hAnsiTheme="minorEastAsia" w:eastAsiaTheme="minorEastAsia"/>
          <w:color w:val="auto"/>
          <w:szCs w:val="21"/>
          <w:highlight w:val="none"/>
        </w:rPr>
        <w:t>；</w:t>
      </w:r>
    </w:p>
    <w:p w14:paraId="3DB66290">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7、散布淫秽、色情、赌博、暴力、凶杀、恐怖或者教唆犯罪的</w:t>
      </w:r>
      <w:r>
        <w:rPr>
          <w:rFonts w:hint="eastAsia" w:asciiTheme="minorEastAsia" w:hAnsiTheme="minorEastAsia" w:eastAsiaTheme="minorEastAsia"/>
          <w:color w:val="auto"/>
          <w:szCs w:val="21"/>
          <w:highlight w:val="none"/>
        </w:rPr>
        <w:t>；</w:t>
      </w:r>
    </w:p>
    <w:p w14:paraId="4FCEDE8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8、侮辱或者诽谤他人，侵害他人合法权益的</w:t>
      </w:r>
      <w:r>
        <w:rPr>
          <w:rFonts w:hint="eastAsia" w:asciiTheme="minorEastAsia" w:hAnsiTheme="minorEastAsia" w:eastAsiaTheme="minorEastAsia"/>
          <w:color w:val="auto"/>
          <w:szCs w:val="21"/>
          <w:highlight w:val="none"/>
        </w:rPr>
        <w:t>；</w:t>
      </w:r>
    </w:p>
    <w:p w14:paraId="2C9231F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9、含有法律</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法规禁止的其他内容的。</w:t>
      </w:r>
    </w:p>
    <w:p w14:paraId="15DEE24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“六不许”，即：</w:t>
      </w:r>
    </w:p>
    <w:p w14:paraId="29E8271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1、决不允许在群众中散布违背党的理论和路线方针政策的意见。</w:t>
      </w:r>
    </w:p>
    <w:p w14:paraId="3D9057C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2、决不允许公开发表同中央的决定相违背的言论。</w:t>
      </w:r>
    </w:p>
    <w:p w14:paraId="1838185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3、决不允许对中央的决策部署阳奉阴违。</w:t>
      </w:r>
    </w:p>
    <w:p w14:paraId="51DF3ED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4、决不允许编造、传播政治谣言及丑化党和国家形象的言论。</w:t>
      </w:r>
    </w:p>
    <w:p w14:paraId="6DC416E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5、决不允许以任何形式泄露党和国家的秘密。</w:t>
      </w:r>
    </w:p>
    <w:p w14:paraId="591CD4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6、决不允许参与各种非法组织和非法活动。</w:t>
      </w:r>
    </w:p>
    <w:p w14:paraId="47DA79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二、本单位承诺不利用提供给贵公司的产品或服务或通过网络从事危害中华人民共和国安全、泄露中华人民共和国国家秘密等活动，不从事任何危害网络安全、数据安全的活动，不从事侵犯他人合法权益的活动，包括但不限于：</w:t>
      </w:r>
    </w:p>
    <w:p w14:paraId="1FF3269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1、未经允许进入网络或者使用网络资源；</w:t>
      </w:r>
    </w:p>
    <w:p w14:paraId="49AD63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2、未经允许对网络功能进行删除、修改或者增加；</w:t>
      </w:r>
    </w:p>
    <w:p w14:paraId="69D34A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3、未经允许对网络中存储或者传输的数据和应用程序进行删除、修改或者增加；</w:t>
      </w:r>
    </w:p>
    <w:p w14:paraId="511700A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4、制作、传播、利用网络病毒等恶意程序或破坏性程序；</w:t>
      </w:r>
    </w:p>
    <w:p w14:paraId="438995B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5、非法收集、使用、加工、传输或以其他方式处理个人信息等数据；</w:t>
      </w:r>
    </w:p>
    <w:p w14:paraId="42E2D84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、非法买卖、提供或者公开个人信息等数据；</w:t>
      </w:r>
    </w:p>
    <w:p w14:paraId="26960094">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、从事危害国家安全、公共利益的个人信息和数据处理活动；</w:t>
      </w:r>
    </w:p>
    <w:p w14:paraId="5AB0649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w:t>
      </w:r>
      <w:r>
        <w:rPr>
          <w:rFonts w:hint="eastAsia" w:asciiTheme="minorEastAsia" w:hAnsiTheme="minorEastAsia" w:eastAsiaTheme="minorEastAsia"/>
          <w:color w:val="auto"/>
          <w:szCs w:val="21"/>
          <w:highlight w:val="none"/>
        </w:rPr>
        <w:t>、其他危害网络安全、数据安全、侵犯他人合法权益的活动。</w:t>
      </w:r>
    </w:p>
    <w:p w14:paraId="315D32D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三、本单位承诺在履行合同过程中发生重大安全事故或发生或者可能发生个人信息等数据泄露、篡改、丢失时，立即采取应急措施，保留有关原始记录，在24小时内向有关部门报告并书面通知贵公司。如发生重大安全事故或其他影响网络安全、数据安全和个人信息保护的突发事件，贵公司有权采取包括但不限于停止合同项下业务等紧急措施，以保证网络安全、数据安全和保护个人信息。</w:t>
      </w:r>
    </w:p>
    <w:p w14:paraId="34C9827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十四、本单位承诺不进行法律、法规、政府监管规定等禁止的行为，包括但不限于：</w:t>
      </w:r>
    </w:p>
    <w:p w14:paraId="761289F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1、所提供或接入的设备未取得入网许可，或可能影响网络安全或网络服务质量；</w:t>
      </w:r>
    </w:p>
    <w:p w14:paraId="04DE5FCA">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2、将</w:t>
      </w:r>
      <w:r>
        <w:rPr>
          <w:rFonts w:hint="eastAsia" w:asciiTheme="minorEastAsia" w:hAnsiTheme="minorEastAsia" w:eastAsiaTheme="minorEastAsia"/>
          <w:color w:val="auto"/>
          <w:szCs w:val="21"/>
          <w:highlight w:val="none"/>
        </w:rPr>
        <w:t>合同履行</w:t>
      </w:r>
      <w:r>
        <w:rPr>
          <w:rFonts w:asciiTheme="minorEastAsia" w:hAnsiTheme="minorEastAsia" w:eastAsiaTheme="minorEastAsia"/>
          <w:color w:val="auto"/>
          <w:szCs w:val="21"/>
          <w:highlight w:val="none"/>
        </w:rPr>
        <w:t>中获得的账号、密码私自转让、转租或以非法</w:t>
      </w:r>
      <w:r>
        <w:rPr>
          <w:rFonts w:hint="eastAsia" w:asciiTheme="minorEastAsia" w:hAnsiTheme="minorEastAsia" w:eastAsiaTheme="minorEastAsia"/>
          <w:color w:val="auto"/>
          <w:szCs w:val="21"/>
          <w:highlight w:val="none"/>
        </w:rPr>
        <w:t>方式</w:t>
      </w:r>
      <w:r>
        <w:rPr>
          <w:rFonts w:asciiTheme="minorEastAsia" w:hAnsiTheme="minorEastAsia" w:eastAsiaTheme="minorEastAsia"/>
          <w:color w:val="auto"/>
          <w:szCs w:val="21"/>
          <w:highlight w:val="none"/>
        </w:rPr>
        <w:t>提供给第三方；</w:t>
      </w:r>
    </w:p>
    <w:p w14:paraId="3A490E2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3、在</w:t>
      </w:r>
      <w:r>
        <w:rPr>
          <w:rFonts w:hint="eastAsia" w:asciiTheme="minorEastAsia" w:hAnsiTheme="minorEastAsia" w:eastAsiaTheme="minorEastAsia"/>
          <w:color w:val="auto"/>
          <w:szCs w:val="21"/>
          <w:highlight w:val="none"/>
        </w:rPr>
        <w:t>设备、</w:t>
      </w:r>
      <w:r>
        <w:rPr>
          <w:rFonts w:asciiTheme="minorEastAsia" w:hAnsiTheme="minorEastAsia" w:eastAsiaTheme="minorEastAsia"/>
          <w:color w:val="auto"/>
          <w:szCs w:val="21"/>
          <w:highlight w:val="none"/>
        </w:rPr>
        <w:t>系统、计算机软件</w:t>
      </w:r>
      <w:r>
        <w:rPr>
          <w:rFonts w:hint="eastAsia" w:asciiTheme="minorEastAsia" w:hAnsiTheme="minorEastAsia" w:eastAsiaTheme="minorEastAsia"/>
          <w:color w:val="auto"/>
          <w:szCs w:val="21"/>
          <w:highlight w:val="none"/>
        </w:rPr>
        <w:t>等产品或服务</w:t>
      </w:r>
      <w:r>
        <w:rPr>
          <w:rFonts w:asciiTheme="minorEastAsia" w:hAnsiTheme="minorEastAsia" w:eastAsiaTheme="minorEastAsia"/>
          <w:color w:val="auto"/>
          <w:szCs w:val="21"/>
          <w:highlight w:val="none"/>
        </w:rPr>
        <w:t>中非法植入后门程序</w:t>
      </w:r>
      <w:r>
        <w:rPr>
          <w:rFonts w:hint="eastAsia" w:asciiTheme="minorEastAsia" w:hAnsiTheme="minorEastAsia" w:eastAsiaTheme="minorEastAsia"/>
          <w:color w:val="auto"/>
          <w:szCs w:val="21"/>
          <w:highlight w:val="none"/>
        </w:rPr>
        <w:t>等恶意程序或破坏性程序</w:t>
      </w:r>
      <w:r>
        <w:rPr>
          <w:rFonts w:asciiTheme="minorEastAsia" w:hAnsiTheme="minorEastAsia" w:eastAsiaTheme="minorEastAsia"/>
          <w:color w:val="auto"/>
          <w:szCs w:val="21"/>
          <w:highlight w:val="none"/>
        </w:rPr>
        <w:t>；</w:t>
      </w:r>
    </w:p>
    <w:p w14:paraId="3220EFC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rPr>
        <w:t>利用提供产品或服务的便利条件非法获取用户个人信息等数据及重要运营数据、非法控制和操纵用户设备；</w:t>
      </w:r>
    </w:p>
    <w:p w14:paraId="28CF8CF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rPr>
        <w:t>、未经贵公司同意擅自公开所提供产品或服务的源代码；</w:t>
      </w:r>
    </w:p>
    <w:p w14:paraId="6555C5A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未经贵公司同意探测、发布贵公司的网络、终端、信息系统漏洞，对</w:t>
      </w:r>
      <w:r>
        <w:rPr>
          <w:rFonts w:hint="eastAsia" w:asciiTheme="minorEastAsia" w:hAnsiTheme="minorEastAsia" w:eastAsiaTheme="minorEastAsia"/>
          <w:color w:val="auto"/>
          <w:szCs w:val="21"/>
          <w:highlight w:val="none"/>
          <w:lang w:val="en-US" w:eastAsia="zh-CN"/>
        </w:rPr>
        <w:t>贵公司</w:t>
      </w:r>
      <w:r>
        <w:rPr>
          <w:rFonts w:hint="eastAsia" w:asciiTheme="minorEastAsia" w:hAnsiTheme="minorEastAsia" w:eastAsiaTheme="minorEastAsia"/>
          <w:color w:val="auto"/>
          <w:szCs w:val="21"/>
          <w:highlight w:val="none"/>
        </w:rPr>
        <w:t>运营的网络开展渗透测试；</w:t>
      </w:r>
    </w:p>
    <w:p w14:paraId="7B1E877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rPr>
        <w:t>法律法规规定或</w:t>
      </w:r>
      <w:r>
        <w:rPr>
          <w:rFonts w:hint="eastAsia" w:asciiTheme="minorEastAsia" w:hAnsiTheme="minorEastAsia" w:eastAsiaTheme="minorEastAsia"/>
          <w:color w:val="auto"/>
          <w:szCs w:val="21"/>
          <w:highlight w:val="none"/>
        </w:rPr>
        <w:t>合同约定的其他禁止行为</w:t>
      </w:r>
      <w:r>
        <w:rPr>
          <w:rFonts w:asciiTheme="minorEastAsia" w:hAnsiTheme="minorEastAsia" w:eastAsiaTheme="minorEastAsia"/>
          <w:color w:val="auto"/>
          <w:szCs w:val="21"/>
          <w:highlight w:val="none"/>
        </w:rPr>
        <w:t>。</w:t>
      </w:r>
    </w:p>
    <w:p w14:paraId="72551B8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十五、本单位承诺提供给贵公司的产品或服务已关闭与合同约定无关的端口，不存在与合同约定无关的进程。</w:t>
      </w:r>
    </w:p>
    <w:p w14:paraId="4B54963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十六、本单位承诺未经贵公司同意不得以任何形式对提供给贵公司的产品或服务进行任何操作。本单位承诺严格按最小化原则管理相关产品或服务的操作权限并事先征得贵公司同意。</w:t>
      </w:r>
    </w:p>
    <w:p w14:paraId="425B0F6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十七、本单位承诺对提供给贵公司的产品或服务在交付前完成已知病毒查杀、安全缺陷及漏洞扫描和修复，交付后对发现的安全缺陷、漏洞等风险及时采取补救措施。</w:t>
      </w:r>
    </w:p>
    <w:p w14:paraId="0375951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十八、本单位承诺无正当理由不会中断所提供的产品或服务，亦不会中断提供必要的技术支持服务。</w:t>
      </w:r>
    </w:p>
    <w:p w14:paraId="16BBECC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九、就本单位向贵公司提供的产品和服务，本单位承诺向贵公司提供该等产品或服务所包含或调用的开源软件和第三方软件清单，以及合法获取开源软件、第三方软件使用权的证明，并配合贵公司开展软件安全检测和知识产权风险审核等工作。</w:t>
      </w:r>
    </w:p>
    <w:p w14:paraId="0471BC0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二十、本单位承诺同意并配合贵公司进行网络安全审查，检查的内容包括但不限于网络安全检查项、计算环境安全检查项、开发流程检查项、提供或委托处理数据的数据处理行为检查项等方面。</w:t>
      </w:r>
    </w:p>
    <w:p w14:paraId="4E2CC25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二十一、本单位承诺按要求提供网络安全审查工作需要的材料，严格履行网络安全审查中作出的承诺。</w:t>
      </w:r>
    </w:p>
    <w:p w14:paraId="23035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二、本单位如出现任何违反上述承诺的情况，将依据合同承担责任，接受有关政府主管部门的处理（包括但不限于限期整改、公开曝光），并直接承担相应法律责任，造成财产损失的，由本单位直接赔偿。同时，贵公司有权在不通知本单位的情况下暂停履行合同直至解除合同并不承担任何责任，一切责任后果全部由本单位自行承担。给贵公司造成损失或不良影响的，本单位负责消除不良影响并赔偿贵公司相应损失。</w:t>
      </w:r>
    </w:p>
    <w:p w14:paraId="4CD52FE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三、如出现任何违反上述承诺的情况引发的投诉、举报，由本单位负责解决并承担责任。当接到通信主管部门、“12321网络不良与垃圾信息举报受理中心”等各类渠道投诉、举报时，贵公司有权在不通知本单位的情况下立即终止合同并不承担任何责任，一切责任后果全部由本单位自行承担。给贵公司造成损失或不良影响的，本单位负责消除不良影响并赔偿贵公司相应损失。</w:t>
      </w:r>
    </w:p>
    <w:p w14:paraId="4A0D128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二十四、本单位的信息安全责任人如下：</w:t>
      </w:r>
    </w:p>
    <w:p w14:paraId="0956BB9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、职务：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、联系方式：</w:t>
      </w:r>
      <w:r>
        <w:rPr>
          <w:rFonts w:hint="eastAsia" w:asciiTheme="minorEastAsia" w:hAnsiTheme="minorEastAsia" w:eastAsiaTheme="minorEastAsia"/>
          <w:color w:val="auto"/>
          <w:szCs w:val="21"/>
          <w:highlight w:val="none"/>
          <w:u w:val="single"/>
        </w:rPr>
        <w:t xml:space="preserve">                   </w:t>
      </w:r>
    </w:p>
    <w:p w14:paraId="0C07A80A">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二十五、本单位承诺要求并监督参与向贵公司提供产品或服务的本单位人员（“本单位人员”）履行本《网络及信息安全承诺书》项下的义务和责任，并对本单位人员的行为承担责任。</w:t>
      </w:r>
    </w:p>
    <w:p w14:paraId="2DFDB47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二十六、本承诺书经本单位签署后，与合同同时生效。</w:t>
      </w:r>
    </w:p>
    <w:p w14:paraId="5D9E3F7D">
      <w:pPr>
        <w:pStyle w:val="135"/>
        <w:snapToGrid w:val="0"/>
        <w:spacing w:line="440" w:lineRule="exact"/>
        <w:ind w:firstLine="0" w:firstLineChars="0"/>
        <w:rPr>
          <w:rFonts w:asciiTheme="minorEastAsia" w:hAnsiTheme="minorEastAsia" w:eastAsiaTheme="minorEastAsia"/>
          <w:color w:val="auto"/>
          <w:kern w:val="0"/>
          <w:szCs w:val="21"/>
          <w:highlight w:val="none"/>
        </w:rPr>
      </w:pPr>
    </w:p>
    <w:p w14:paraId="33C9317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E9D48EC">
      <w:pPr>
        <w:spacing w:line="440" w:lineRule="exact"/>
        <w:ind w:firstLine="1058" w:firstLineChars="504"/>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1629E68">
      <w:pPr>
        <w:snapToGrid w:val="0"/>
        <w:spacing w:line="440" w:lineRule="exact"/>
        <w:ind w:firstLine="420" w:firstLineChars="200"/>
        <w:rPr>
          <w:rFonts w:asciiTheme="minorEastAsia" w:hAnsiTheme="minorEastAsia" w:eastAsiaTheme="minorEastAsia" w:cstheme="minorEastAsia"/>
          <w:color w:val="auto"/>
          <w:highlight w:val="none"/>
        </w:rPr>
      </w:pPr>
    </w:p>
    <w:p w14:paraId="58B031B7">
      <w:pPr>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编制要求：</w:t>
      </w:r>
    </w:p>
    <w:p w14:paraId="6C01A353">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7A66E7B">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3510BD61">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3.除本文件允许供应商进行填写的内容以外，供应商不得对本文件进行修改。</w:t>
      </w:r>
    </w:p>
    <w:p w14:paraId="77778974">
      <w:pPr>
        <w:snapToGrid w:val="0"/>
        <w:spacing w:line="440" w:lineRule="exact"/>
        <w:rPr>
          <w:rFonts w:asciiTheme="minorEastAsia" w:hAnsiTheme="minorEastAsia" w:eastAsiaTheme="minorEastAsia"/>
          <w:color w:val="auto"/>
          <w:szCs w:val="21"/>
          <w:highlight w:val="none"/>
        </w:rPr>
      </w:pPr>
    </w:p>
    <w:p w14:paraId="710D40E6">
      <w:pPr>
        <w:widowControl/>
        <w:jc w:val="left"/>
        <w:rPr>
          <w:rFonts w:asciiTheme="minorEastAsia" w:hAnsiTheme="minorEastAsia" w:eastAsiaTheme="minorEastAsia"/>
          <w:b/>
          <w:bCs/>
          <w:color w:val="auto"/>
          <w:sz w:val="24"/>
          <w:highlight w:val="none"/>
        </w:rPr>
      </w:pPr>
      <w:bookmarkStart w:id="765" w:name="_Toc106784694"/>
      <w:r>
        <w:rPr>
          <w:rFonts w:asciiTheme="minorEastAsia" w:hAnsiTheme="minorEastAsia" w:eastAsiaTheme="minorEastAsia"/>
          <w:color w:val="auto"/>
          <w:sz w:val="24"/>
          <w:highlight w:val="none"/>
        </w:rPr>
        <w:br w:type="page"/>
      </w:r>
    </w:p>
    <w:bookmarkEnd w:id="759"/>
    <w:bookmarkEnd w:id="760"/>
    <w:bookmarkEnd w:id="761"/>
    <w:bookmarkEnd w:id="762"/>
    <w:bookmarkEnd w:id="763"/>
    <w:bookmarkEnd w:id="765"/>
    <w:p w14:paraId="479FDB30">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66" w:name="_Toc8615"/>
      <w:bookmarkStart w:id="767" w:name="_Toc475472687"/>
      <w:bookmarkStart w:id="768" w:name="_Toc139026984"/>
      <w:bookmarkStart w:id="769" w:name="_Toc38008095"/>
      <w:bookmarkStart w:id="770" w:name="_Toc31898"/>
      <w:bookmarkStart w:id="771" w:name="_Toc28828"/>
      <w:bookmarkStart w:id="772" w:name="_Toc447265331"/>
      <w:bookmarkStart w:id="773" w:name="_Toc447265617"/>
      <w:bookmarkStart w:id="774" w:name="_Toc19398"/>
      <w:r>
        <w:rPr>
          <w:rFonts w:hint="eastAsia" w:asciiTheme="minorEastAsia" w:hAnsiTheme="minorEastAsia" w:eastAsiaTheme="minorEastAsia"/>
          <w:color w:val="auto"/>
          <w:sz w:val="24"/>
          <w:szCs w:val="24"/>
          <w:highlight w:val="none"/>
        </w:rPr>
        <w:t>知识产权不侵权承诺函</w:t>
      </w:r>
      <w:bookmarkEnd w:id="766"/>
    </w:p>
    <w:p w14:paraId="5A8D60D4">
      <w:pPr>
        <w:ind w:firstLine="562"/>
        <w:jc w:val="center"/>
        <w:rPr>
          <w:rFonts w:asciiTheme="minorEastAsia" w:hAnsiTheme="minorEastAsia" w:eastAsiaTheme="minorEastAsia"/>
          <w:b/>
          <w:color w:val="auto"/>
          <w:sz w:val="24"/>
          <w:szCs w:val="30"/>
          <w:highlight w:val="none"/>
        </w:rPr>
      </w:pPr>
      <w:r>
        <w:rPr>
          <w:rFonts w:hint="eastAsia" w:asciiTheme="minorEastAsia" w:hAnsiTheme="minorEastAsia" w:eastAsiaTheme="minorEastAsia"/>
          <w:b/>
          <w:color w:val="auto"/>
          <w:sz w:val="24"/>
          <w:szCs w:val="30"/>
          <w:highlight w:val="none"/>
        </w:rPr>
        <w:t>知识产权不侵权承诺函</w:t>
      </w:r>
    </w:p>
    <w:p w14:paraId="773F2EB0">
      <w:pPr>
        <w:widowControl/>
        <w:spacing w:line="44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lang w:eastAsia="zh-CN"/>
        </w:rPr>
        <w:t>湖北信通通信有限公司</w:t>
      </w:r>
      <w:r>
        <w:rPr>
          <w:rFonts w:hint="eastAsia" w:asciiTheme="minorEastAsia" w:hAnsiTheme="minorEastAsia" w:eastAsiaTheme="minorEastAsia"/>
          <w:color w:val="auto"/>
          <w:szCs w:val="21"/>
          <w:highlight w:val="none"/>
        </w:rPr>
        <w:t>】：</w:t>
      </w:r>
    </w:p>
    <w:p w14:paraId="2D20E339">
      <w:pPr>
        <w:pStyle w:val="30"/>
        <w:spacing w:after="0" w:line="440" w:lineRule="exact"/>
        <w:ind w:left="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本单位郑重承诺遵守本知识产权不侵权承诺书，如违反，本单位承担由此带来的一切责任。</w:t>
      </w:r>
    </w:p>
    <w:p w14:paraId="2213943C">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就【（采购项目名称）】（“本项目”），本单位承诺按照询比文件及合同</w:t>
      </w:r>
      <w:r>
        <w:rPr>
          <w:rFonts w:asciiTheme="minorEastAsia" w:hAnsiTheme="minorEastAsia" w:eastAsiaTheme="minorEastAsia"/>
          <w:color w:val="auto"/>
          <w:kern w:val="0"/>
          <w:szCs w:val="21"/>
          <w:highlight w:val="none"/>
        </w:rPr>
        <w:t>/协议</w:t>
      </w:r>
      <w:r>
        <w:rPr>
          <w:rFonts w:hint="eastAsia" w:asciiTheme="minorEastAsia" w:hAnsiTheme="minorEastAsia" w:eastAsiaTheme="minorEastAsia"/>
          <w:color w:val="auto"/>
          <w:kern w:val="0"/>
          <w:szCs w:val="21"/>
          <w:highlight w:val="none"/>
        </w:rPr>
        <w:t>履行知识产权</w:t>
      </w:r>
      <w:r>
        <w:rPr>
          <w:rFonts w:hint="eastAsia" w:asciiTheme="minorEastAsia" w:hAnsiTheme="minorEastAsia" w:eastAsiaTheme="minorEastAsia"/>
          <w:color w:val="auto"/>
          <w:szCs w:val="21"/>
          <w:highlight w:val="none"/>
        </w:rPr>
        <w:t>相关义务和责任</w:t>
      </w:r>
      <w:r>
        <w:rPr>
          <w:rFonts w:hint="eastAsia" w:asciiTheme="minorEastAsia" w:hAnsiTheme="minorEastAsia" w:eastAsiaTheme="minorEastAsia"/>
          <w:color w:val="auto"/>
          <w:kern w:val="0"/>
          <w:szCs w:val="21"/>
          <w:highlight w:val="none"/>
        </w:rPr>
        <w:t>。</w:t>
      </w:r>
    </w:p>
    <w:p w14:paraId="5AB0B63C">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并保证，本项目参与询比的产品以及本单位向贵公司交付的所有项目产品相关成果（合称“项目标的”），本单位均享有合法的知识产权和所有权，或者已从相关权利人获得合法充分的授权。本单位按照本项目询比文件及合同/协议约定将项目标的交付给贵公司以及贵公司采购、占有、使用、收益和处分项目标的不侵犯任何第三方的权利和合法权益，包括但不限于商标、专利、著作权等知识产权、专利申请权和所有权。本单位承诺向贵公司提供真实、有效、合法的权利证明文件。</w:t>
      </w:r>
    </w:p>
    <w:p w14:paraId="45D2D79D">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本项目报价已包含了项目标的知识产权及所有权利的一切授权费用。本单位承诺按询比文件及</w:t>
      </w:r>
      <w:r>
        <w:rPr>
          <w:rFonts w:hint="eastAsia" w:asciiTheme="minorEastAsia" w:hAnsiTheme="minorEastAsia" w:eastAsiaTheme="minorEastAsia"/>
          <w:color w:val="auto"/>
          <w:szCs w:val="21"/>
          <w:highlight w:val="none"/>
        </w:rPr>
        <w:t>合同/协议</w:t>
      </w:r>
      <w:r>
        <w:rPr>
          <w:rFonts w:hint="eastAsia" w:asciiTheme="minorEastAsia" w:hAnsiTheme="minorEastAsia" w:eastAsiaTheme="minorEastAsia"/>
          <w:color w:val="auto"/>
          <w:kern w:val="0"/>
          <w:szCs w:val="21"/>
          <w:highlight w:val="none"/>
        </w:rPr>
        <w:t>约定向贵公司提供技术文档并提供技术支持。</w:t>
      </w:r>
    </w:p>
    <w:p w14:paraId="10712488">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如果有人提出法律或行政程序(合称“侵权指控”)，声称</w:t>
      </w:r>
      <w:r>
        <w:rPr>
          <w:rFonts w:hint="eastAsia" w:asciiTheme="minorEastAsia" w:hAnsiTheme="minorEastAsia" w:eastAsiaTheme="minorEastAsia"/>
          <w:color w:val="auto"/>
          <w:szCs w:val="21"/>
          <w:highlight w:val="none"/>
        </w:rPr>
        <w:t>贵公司或贵公司客户（含最终客户，下同）采购、占有、使用、收益或处分项目标的</w:t>
      </w:r>
      <w:r>
        <w:rPr>
          <w:rFonts w:hint="eastAsia" w:asciiTheme="minorEastAsia" w:hAnsiTheme="minorEastAsia" w:eastAsiaTheme="minorEastAsia"/>
          <w:color w:val="auto"/>
          <w:kern w:val="0"/>
          <w:szCs w:val="21"/>
          <w:highlight w:val="none"/>
        </w:rPr>
        <w:t>侵犯了其知识产权等合法权益的，由本单位负责解决，并赔偿</w:t>
      </w:r>
      <w:r>
        <w:rPr>
          <w:rFonts w:hint="eastAsia" w:asciiTheme="minorEastAsia" w:hAnsiTheme="minorEastAsia" w:eastAsiaTheme="minorEastAsia"/>
          <w:color w:val="auto"/>
          <w:szCs w:val="21"/>
          <w:highlight w:val="none"/>
        </w:rPr>
        <w:t>贵公司或贵公司客户</w:t>
      </w:r>
      <w:r>
        <w:rPr>
          <w:rFonts w:hint="eastAsia" w:asciiTheme="minorEastAsia" w:hAnsiTheme="minorEastAsia" w:eastAsiaTheme="minorEastAsia"/>
          <w:color w:val="auto"/>
          <w:kern w:val="0"/>
          <w:szCs w:val="21"/>
          <w:highlight w:val="none"/>
        </w:rPr>
        <w:t>就此所承担的一切损失和费用，包括但不限于上述侵权指控中所产生的诉讼费用、合理的律师费用、调查费用、和解金额或生效法律文书中规定的赔偿金额。</w:t>
      </w:r>
    </w:p>
    <w:p w14:paraId="6F936E97">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如果在侵权指控的审理过程中有关机关禁止贵公司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继续使用项目标的的部分或全部的，本单位承诺采取以下措施：</w:t>
      </w:r>
    </w:p>
    <w:p w14:paraId="1136891A">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免费获得使用项目标的的权利，或</w:t>
      </w:r>
    </w:p>
    <w:p w14:paraId="3C139644">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（2）免费更换或改造项目标的，使贵公司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不受上述禁令限制继续使用项目标的，或</w:t>
      </w:r>
    </w:p>
    <w:p w14:paraId="533828FC">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（3）其他使贵公司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对项目标的拥有合法使用权，或其他弥补贵公司或贵公司客户受损利益、实现合同目的的合理方式。</w:t>
      </w:r>
    </w:p>
    <w:p w14:paraId="50069DD3">
      <w:pPr>
        <w:pStyle w:val="146"/>
        <w:snapToGrid w:val="0"/>
        <w:spacing w:line="440" w:lineRule="exact"/>
        <w:ind w:firstLine="411" w:firstLineChars="196"/>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本单位采取上述措施不能免除本单位就贵公司和/或贵公司客户因此遭受的损失进行赔偿的义务。</w:t>
      </w:r>
    </w:p>
    <w:p w14:paraId="5D61224D">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本单位及本单位所代表的制造商（如有）、相关权利人（如有，相关权利人包括但不限于软件著作权权利人、商标权权利人、专利权权利人、专利申请权权利人，下同）接受最新的《供应商不良行为管理规则》的约束，贵公司有权按照《供应商不良行为管理规则》，对本单位和/或上述制造商、权利人进行不良行为管理和处理。</w:t>
      </w:r>
    </w:p>
    <w:p w14:paraId="7EE1FD54">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本单位承诺与本单位所代表的制造商（如有）、相关权利人（如有）参照签订此类《知识产权不侵权承诺函》，并督促上述制造商、权利人履行相应责任。否则，本单位承担连带责任。</w:t>
      </w:r>
    </w:p>
    <w:p w14:paraId="4BFD025E">
      <w:pPr>
        <w:widowControl/>
        <w:spacing w:line="440" w:lineRule="exact"/>
        <w:ind w:firstLine="420" w:firstLineChars="200"/>
        <w:jc w:val="left"/>
        <w:rPr>
          <w:rFonts w:asciiTheme="minorEastAsia" w:hAnsiTheme="minorEastAsia" w:eastAsiaTheme="minorEastAsia"/>
          <w:color w:val="auto"/>
          <w:kern w:val="0"/>
          <w:szCs w:val="21"/>
          <w:highlight w:val="none"/>
        </w:rPr>
      </w:pPr>
    </w:p>
    <w:p w14:paraId="271B9639">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72AF4BC">
      <w:pPr>
        <w:spacing w:line="440" w:lineRule="exact"/>
        <w:ind w:firstLine="424" w:firstLineChars="202"/>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15F8DA22">
      <w:pPr>
        <w:spacing w:line="440" w:lineRule="exact"/>
        <w:ind w:firstLine="424" w:firstLineChars="202"/>
        <w:jc w:val="left"/>
        <w:rPr>
          <w:rFonts w:cs="宋体" w:asciiTheme="minorEastAsia" w:hAnsiTheme="minorEastAsia" w:eastAsiaTheme="minorEastAsia"/>
          <w:color w:val="auto"/>
          <w:highlight w:val="none"/>
        </w:rPr>
      </w:pPr>
    </w:p>
    <w:p w14:paraId="5C0FC6D3">
      <w:pPr>
        <w:widowControl/>
        <w:jc w:val="left"/>
        <w:rPr>
          <w:rFonts w:asciiTheme="minorEastAsia" w:hAnsiTheme="minorEastAsia" w:eastAsiaTheme="minorEastAsia"/>
          <w:color w:val="auto"/>
          <w:sz w:val="24"/>
          <w:highlight w:val="none"/>
        </w:rPr>
      </w:pPr>
    </w:p>
    <w:p w14:paraId="4E792F8E">
      <w:pPr>
        <w:widowControl/>
        <w:jc w:val="left"/>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31BF6AB5">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1C7966C">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28AAE81C">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F8E5C99">
      <w:pPr>
        <w:widowControl/>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br w:type="page"/>
      </w:r>
    </w:p>
    <w:p w14:paraId="1808482E">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75" w:name="_Toc28920"/>
      <w:r>
        <w:rPr>
          <w:rFonts w:hint="eastAsia" w:asciiTheme="minorEastAsia" w:hAnsiTheme="minorEastAsia" w:eastAsiaTheme="minorEastAsia"/>
          <w:color w:val="auto"/>
          <w:sz w:val="24"/>
          <w:szCs w:val="24"/>
          <w:highlight w:val="none"/>
        </w:rPr>
        <w:t>业绩情况表</w:t>
      </w:r>
      <w:bookmarkEnd w:id="767"/>
      <w:bookmarkEnd w:id="768"/>
      <w:bookmarkEnd w:id="769"/>
      <w:bookmarkEnd w:id="770"/>
      <w:bookmarkEnd w:id="771"/>
      <w:bookmarkEnd w:id="775"/>
    </w:p>
    <w:p w14:paraId="51DE2418">
      <w:pPr>
        <w:pStyle w:val="102"/>
        <w:ind w:firstLine="0" w:firstLineChars="0"/>
        <w:jc w:val="center"/>
        <w:rPr>
          <w:rFonts w:asciiTheme="minorEastAsia" w:hAnsiTheme="minorEastAsia" w:eastAsiaTheme="minorEastAsia"/>
          <w:b/>
          <w:color w:val="auto"/>
          <w:sz w:val="24"/>
          <w:highlight w:val="none"/>
        </w:rPr>
      </w:pPr>
    </w:p>
    <w:bookmarkEnd w:id="772"/>
    <w:bookmarkEnd w:id="773"/>
    <w:p w14:paraId="15DECEBF">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近年（202</w:t>
      </w:r>
      <w:r>
        <w:rPr>
          <w:rFonts w:hint="eastAsia" w:asciiTheme="minorEastAsia" w:hAnsiTheme="minorEastAsia" w:eastAsiaTheme="minorEastAsia"/>
          <w:b/>
          <w:color w:val="auto"/>
          <w:sz w:val="24"/>
          <w:highlight w:val="none"/>
          <w:lang w:val="en-US" w:eastAsia="zh-CN"/>
        </w:rPr>
        <w:t>3</w:t>
      </w:r>
      <w:r>
        <w:rPr>
          <w:rFonts w:hint="eastAsia" w:asciiTheme="minorEastAsia" w:hAnsiTheme="minorEastAsia" w:eastAsiaTheme="minorEastAsia"/>
          <w:b/>
          <w:color w:val="auto"/>
          <w:sz w:val="24"/>
          <w:highlight w:val="none"/>
        </w:rPr>
        <w:t>年1月1日至响应截止时间）类似项目业绩情况表</w:t>
      </w:r>
    </w:p>
    <w:tbl>
      <w:tblPr>
        <w:tblStyle w:val="78"/>
        <w:tblW w:w="9415" w:type="dxa"/>
        <w:jc w:val="center"/>
        <w:tblLayout w:type="fixed"/>
        <w:tblCellMar>
          <w:top w:w="0" w:type="dxa"/>
          <w:left w:w="108" w:type="dxa"/>
          <w:bottom w:w="0" w:type="dxa"/>
          <w:right w:w="108" w:type="dxa"/>
        </w:tblCellMar>
      </w:tblPr>
      <w:tblGrid>
        <w:gridCol w:w="596"/>
        <w:gridCol w:w="965"/>
        <w:gridCol w:w="1143"/>
        <w:gridCol w:w="791"/>
        <w:gridCol w:w="1405"/>
        <w:gridCol w:w="1396"/>
        <w:gridCol w:w="1698"/>
        <w:gridCol w:w="1421"/>
      </w:tblGrid>
      <w:tr w14:paraId="362B0AE9">
        <w:tblPrEx>
          <w:tblCellMar>
            <w:top w:w="0" w:type="dxa"/>
            <w:left w:w="108" w:type="dxa"/>
            <w:bottom w:w="0" w:type="dxa"/>
            <w:right w:w="108" w:type="dxa"/>
          </w:tblCellMar>
        </w:tblPrEx>
        <w:trPr>
          <w:cantSplit/>
          <w:trHeight w:val="77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22B8B5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965" w:type="dxa"/>
            <w:tcBorders>
              <w:top w:val="single" w:color="auto" w:sz="6" w:space="0"/>
              <w:left w:val="single" w:color="auto" w:sz="6" w:space="0"/>
              <w:bottom w:val="single" w:color="auto" w:sz="6" w:space="0"/>
              <w:right w:val="single" w:color="auto" w:sz="6" w:space="0"/>
            </w:tcBorders>
            <w:vAlign w:val="center"/>
          </w:tcPr>
          <w:p w14:paraId="7362E3A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甲方名称</w:t>
            </w:r>
          </w:p>
        </w:tc>
        <w:tc>
          <w:tcPr>
            <w:tcW w:w="1143" w:type="dxa"/>
            <w:tcBorders>
              <w:top w:val="single" w:color="auto" w:sz="6" w:space="0"/>
              <w:left w:val="single" w:color="auto" w:sz="6" w:space="0"/>
              <w:bottom w:val="single" w:color="auto" w:sz="6" w:space="0"/>
              <w:right w:val="single" w:color="auto" w:sz="6" w:space="0"/>
            </w:tcBorders>
            <w:vAlign w:val="center"/>
          </w:tcPr>
          <w:p w14:paraId="2B404E8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791" w:type="dxa"/>
            <w:tcBorders>
              <w:top w:val="single" w:color="auto" w:sz="6" w:space="0"/>
              <w:left w:val="single" w:color="auto" w:sz="6" w:space="0"/>
              <w:bottom w:val="single" w:color="auto" w:sz="6" w:space="0"/>
              <w:right w:val="single" w:color="auto" w:sz="6" w:space="0"/>
            </w:tcBorders>
            <w:vAlign w:val="center"/>
          </w:tcPr>
          <w:p w14:paraId="1EE1DA3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类别</w:t>
            </w:r>
          </w:p>
        </w:tc>
        <w:tc>
          <w:tcPr>
            <w:tcW w:w="1405" w:type="dxa"/>
            <w:tcBorders>
              <w:top w:val="single" w:color="auto" w:sz="6" w:space="0"/>
              <w:left w:val="single" w:color="auto" w:sz="6" w:space="0"/>
              <w:bottom w:val="single" w:color="auto" w:sz="6" w:space="0"/>
              <w:right w:val="single" w:color="auto" w:sz="6" w:space="0"/>
            </w:tcBorders>
            <w:vAlign w:val="center"/>
          </w:tcPr>
          <w:p w14:paraId="593934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合同总额</w:t>
            </w:r>
          </w:p>
          <w:p w14:paraId="112B06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（万元）</w:t>
            </w:r>
          </w:p>
        </w:tc>
        <w:tc>
          <w:tcPr>
            <w:tcW w:w="1396" w:type="dxa"/>
            <w:tcBorders>
              <w:top w:val="single" w:color="auto" w:sz="6" w:space="0"/>
              <w:left w:val="single" w:color="auto" w:sz="6" w:space="0"/>
              <w:bottom w:val="single" w:color="auto" w:sz="6" w:space="0"/>
              <w:right w:val="single" w:color="auto" w:sz="6" w:space="0"/>
            </w:tcBorders>
            <w:vAlign w:val="center"/>
          </w:tcPr>
          <w:p w14:paraId="1A0D986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甲方联系人</w:t>
            </w:r>
          </w:p>
        </w:tc>
        <w:tc>
          <w:tcPr>
            <w:tcW w:w="1698" w:type="dxa"/>
            <w:tcBorders>
              <w:top w:val="single" w:color="auto" w:sz="6" w:space="0"/>
              <w:left w:val="single" w:color="auto" w:sz="6" w:space="0"/>
              <w:bottom w:val="single" w:color="auto" w:sz="6" w:space="0"/>
              <w:right w:val="single" w:color="auto" w:sz="6" w:space="0"/>
            </w:tcBorders>
            <w:vAlign w:val="center"/>
          </w:tcPr>
          <w:p w14:paraId="58F93CF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联系电话</w:t>
            </w:r>
          </w:p>
        </w:tc>
        <w:tc>
          <w:tcPr>
            <w:tcW w:w="1421" w:type="dxa"/>
            <w:tcBorders>
              <w:top w:val="single" w:color="auto" w:sz="6" w:space="0"/>
              <w:left w:val="single" w:color="auto" w:sz="6" w:space="0"/>
              <w:right w:val="single" w:color="auto" w:sz="6" w:space="0"/>
            </w:tcBorders>
            <w:vAlign w:val="center"/>
          </w:tcPr>
          <w:p w14:paraId="3134798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证明材料对应页码</w:t>
            </w:r>
          </w:p>
        </w:tc>
      </w:tr>
      <w:tr w14:paraId="1AE654DF">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6BB9D55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68B63A8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0B085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3FD134A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0334CB7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5D107D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6FA2354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6A0DC49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0091FD6">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3AC9EF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2587968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ADC06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0A19E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57C2968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42F93831">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1115A9A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5A984C3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68D970E4">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1A731CD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0AD6E35B">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732196F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E1B7D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11077E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6A232F1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226835F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76AC8D2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129AEC5">
        <w:tblPrEx>
          <w:tblCellMar>
            <w:top w:w="0" w:type="dxa"/>
            <w:left w:w="108" w:type="dxa"/>
            <w:bottom w:w="0" w:type="dxa"/>
            <w:right w:w="108" w:type="dxa"/>
          </w:tblCellMar>
        </w:tblPrEx>
        <w:trPr>
          <w:trHeight w:val="44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47D03C3E">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58D10A4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合计</w:t>
            </w:r>
          </w:p>
        </w:tc>
        <w:tc>
          <w:tcPr>
            <w:tcW w:w="1143" w:type="dxa"/>
            <w:tcBorders>
              <w:top w:val="single" w:color="auto" w:sz="6" w:space="0"/>
              <w:left w:val="single" w:color="auto" w:sz="6" w:space="0"/>
              <w:bottom w:val="single" w:color="auto" w:sz="6" w:space="0"/>
              <w:right w:val="single" w:color="auto" w:sz="6" w:space="0"/>
            </w:tcBorders>
            <w:vAlign w:val="center"/>
          </w:tcPr>
          <w:p w14:paraId="4A53445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59C1C7CD">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7E6084C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3811607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31245D48">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1D66692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bl>
    <w:p w14:paraId="4FB1028B">
      <w:pPr>
        <w:pStyle w:val="102"/>
        <w:ind w:firstLine="0" w:firstLineChars="0"/>
        <w:jc w:val="center"/>
        <w:rPr>
          <w:rFonts w:asciiTheme="minorEastAsia" w:hAnsiTheme="minorEastAsia" w:eastAsiaTheme="minorEastAsia"/>
          <w:b/>
          <w:color w:val="auto"/>
          <w:sz w:val="24"/>
          <w:highlight w:val="none"/>
        </w:rPr>
      </w:pPr>
    </w:p>
    <w:p w14:paraId="7959D9B8">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964B0E0">
      <w:pPr>
        <w:spacing w:line="440" w:lineRule="exact"/>
        <w:ind w:firstLine="1274" w:firstLineChars="607"/>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90A09B4">
      <w:pPr>
        <w:numPr>
          <w:ilvl w:val="0"/>
          <w:numId w:val="0"/>
        </w:numPr>
        <w:topLinePunct/>
        <w:spacing w:line="440" w:lineRule="exact"/>
        <w:ind w:leftChars="0"/>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cs="Times New Roman" w:asciiTheme="minorEastAsia" w:hAnsiTheme="minorEastAsia" w:eastAsiaTheme="minorEastAsia"/>
          <w:color w:val="auto"/>
          <w:szCs w:val="21"/>
          <w:highlight w:val="none"/>
          <w:lang w:val="en-US" w:eastAsia="zh-CN"/>
        </w:rPr>
        <w:t>业绩</w:t>
      </w:r>
      <w:r>
        <w:rPr>
          <w:rFonts w:hint="eastAsia" w:cs="Times New Roman" w:asciiTheme="minorEastAsia" w:hAnsiTheme="minorEastAsia" w:eastAsiaTheme="minorEastAsia"/>
          <w:color w:val="auto"/>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bookmarkEnd w:id="774"/>
    <w:p w14:paraId="4D3C94D5">
      <w:pPr>
        <w:pStyle w:val="74"/>
        <w:numPr>
          <w:ilvl w:val="0"/>
          <w:numId w:val="41"/>
        </w:numPr>
        <w:tabs>
          <w:tab w:val="left" w:pos="588"/>
        </w:tabs>
        <w:snapToGrid w:val="0"/>
        <w:spacing w:before="120" w:after="120" w:line="440" w:lineRule="exact"/>
        <w:ind w:left="635" w:leftChars="0" w:firstLineChars="0"/>
        <w:jc w:val="left"/>
        <w:outlineLvl w:val="1"/>
        <w:rPr>
          <w:rFonts w:hint="eastAsia" w:asciiTheme="minorEastAsia" w:hAnsiTheme="minorEastAsia" w:eastAsiaTheme="minorEastAsia"/>
          <w:color w:val="auto"/>
          <w:sz w:val="24"/>
          <w:szCs w:val="24"/>
          <w:highlight w:val="none"/>
        </w:rPr>
      </w:pPr>
      <w:bookmarkStart w:id="776" w:name="_Toc181908374"/>
      <w:bookmarkStart w:id="777" w:name="_Toc174649891"/>
      <w:bookmarkStart w:id="778" w:name="_Toc4318"/>
      <w:bookmarkStart w:id="779" w:name="_Toc183078667"/>
      <w:bookmarkStart w:id="780" w:name="_Toc183005141"/>
      <w:bookmarkStart w:id="781" w:name="_Toc183621546"/>
      <w:bookmarkStart w:id="782" w:name="_Toc28202"/>
      <w:bookmarkStart w:id="783" w:name="_Toc11934"/>
      <w:r>
        <w:rPr>
          <w:rFonts w:hint="eastAsia" w:asciiTheme="minorEastAsia" w:hAnsiTheme="minorEastAsia" w:eastAsiaTheme="minorEastAsia"/>
          <w:color w:val="auto"/>
          <w:sz w:val="24"/>
          <w:szCs w:val="24"/>
          <w:highlight w:val="none"/>
          <w:lang w:val="en-US" w:eastAsia="zh-CN"/>
        </w:rPr>
        <w:t>要求供应商</w:t>
      </w:r>
      <w:r>
        <w:rPr>
          <w:rFonts w:hint="eastAsia" w:asciiTheme="minorEastAsia" w:hAnsiTheme="minorEastAsia" w:eastAsiaTheme="minorEastAsia"/>
          <w:color w:val="auto"/>
          <w:sz w:val="24"/>
          <w:szCs w:val="24"/>
          <w:highlight w:val="none"/>
        </w:rPr>
        <w:t>提供的其他商务文件</w:t>
      </w:r>
      <w:bookmarkEnd w:id="776"/>
      <w:bookmarkEnd w:id="777"/>
      <w:bookmarkEnd w:id="778"/>
      <w:bookmarkEnd w:id="779"/>
      <w:bookmarkEnd w:id="780"/>
      <w:bookmarkEnd w:id="781"/>
    </w:p>
    <w:p w14:paraId="64CAF478">
      <w:pPr>
        <w:rPr>
          <w:rFonts w:ascii="宋体" w:hAnsi="宋体"/>
          <w:color w:val="auto"/>
          <w:highlight w:val="none"/>
        </w:rPr>
      </w:pPr>
    </w:p>
    <w:p w14:paraId="1DFBE46E">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一</w:t>
      </w:r>
      <w:r>
        <w:rPr>
          <w:rFonts w:hint="eastAsia" w:ascii="宋体" w:hAnsi="宋体" w:cs="楷体_GB2312"/>
          <w:color w:val="auto"/>
          <w:szCs w:val="21"/>
          <w:highlight w:val="none"/>
        </w:rPr>
        <w:t>）行贿犯罪和合同诈骗档案查询</w:t>
      </w:r>
    </w:p>
    <w:p w14:paraId="0CD88808">
      <w:pPr>
        <w:spacing w:line="360" w:lineRule="auto"/>
        <w:rPr>
          <w:rFonts w:ascii="宋体" w:hAnsi="宋体" w:cs="楷体_GB2312"/>
          <w:color w:val="auto"/>
          <w:szCs w:val="21"/>
          <w:highlight w:val="none"/>
        </w:rPr>
      </w:pP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自行到中国裁判文书网（http://wenshu.court.gov.cn/）查询本单位近5年内（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）被判处单位行贿罪，且行贿行为与采购活动相关的记录；以及本单位近5年内（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）被判处合同诈骗罪的并将查询记录。将截图复印件附在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63208893">
      <w:pPr>
        <w:spacing w:line="360" w:lineRule="auto"/>
        <w:rPr>
          <w:rFonts w:ascii="宋体" w:hAnsi="宋体" w:cs="楷体_GB2312"/>
          <w:color w:val="auto"/>
          <w:szCs w:val="21"/>
          <w:highlight w:val="none"/>
        </w:rPr>
      </w:pPr>
    </w:p>
    <w:p w14:paraId="046E5A26">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二</w:t>
      </w:r>
      <w:r>
        <w:rPr>
          <w:rFonts w:hint="eastAsia" w:ascii="宋体" w:hAnsi="宋体" w:cs="楷体_GB2312"/>
          <w:color w:val="auto"/>
          <w:szCs w:val="21"/>
          <w:highlight w:val="none"/>
        </w:rPr>
        <w:t>）失信被执行人及严重违法失信企业查询结果</w:t>
      </w:r>
    </w:p>
    <w:p w14:paraId="3D8F555B">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1、</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自行通过“信用中国”网站（www.creditchina.gov.cn）查询申请人是否为失信被执行人，并将查询结果截图附在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40055571">
      <w:pPr>
        <w:spacing w:line="360" w:lineRule="auto"/>
        <w:rPr>
          <w:rFonts w:hint="eastAsia" w:ascii="宋体" w:hAnsi="宋体" w:cs="楷体_GB2312"/>
          <w:color w:val="auto"/>
          <w:szCs w:val="21"/>
          <w:highlight w:val="none"/>
        </w:rPr>
      </w:pPr>
      <w:r>
        <w:rPr>
          <w:rFonts w:hint="eastAsia" w:ascii="宋体" w:hAnsi="宋体" w:cs="楷体_GB2312"/>
          <w:color w:val="auto"/>
          <w:szCs w:val="21"/>
          <w:highlight w:val="none"/>
        </w:rPr>
        <w:t>2、</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自行通过“国家企业信用信息公示系统”查询投标人是否列入严重违法失信企业名单，并将查询结果截图附在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710B9473">
      <w:pPr>
        <w:pStyle w:val="49"/>
        <w:rPr>
          <w:color w:val="auto"/>
          <w:highlight w:val="none"/>
        </w:rPr>
      </w:pPr>
    </w:p>
    <w:p w14:paraId="739C2E64">
      <w:pPr>
        <w:pStyle w:val="5"/>
        <w:rPr>
          <w:rFonts w:asciiTheme="minorEastAsia" w:hAnsiTheme="minorEastAsia" w:eastAsiaTheme="minorEastAsia"/>
          <w:color w:val="auto"/>
          <w:sz w:val="21"/>
          <w:szCs w:val="21"/>
          <w:highlight w:val="none"/>
        </w:rPr>
      </w:pPr>
    </w:p>
    <w:p w14:paraId="60615A84">
      <w:pPr>
        <w:pStyle w:val="5"/>
        <w:rPr>
          <w:rFonts w:asciiTheme="minorEastAsia" w:hAnsiTheme="minorEastAsia" w:eastAsiaTheme="minorEastAsia"/>
          <w:color w:val="auto"/>
          <w:sz w:val="21"/>
          <w:szCs w:val="21"/>
          <w:highlight w:val="none"/>
        </w:rPr>
      </w:pPr>
    </w:p>
    <w:p w14:paraId="3B058ABE">
      <w:pPr>
        <w:pStyle w:val="5"/>
        <w:rPr>
          <w:rFonts w:asciiTheme="minorEastAsia" w:hAnsiTheme="minorEastAsia" w:eastAsiaTheme="minorEastAsia"/>
          <w:color w:val="auto"/>
          <w:sz w:val="21"/>
          <w:szCs w:val="21"/>
          <w:highlight w:val="none"/>
        </w:rPr>
      </w:pPr>
    </w:p>
    <w:p w14:paraId="1FB5444D">
      <w:pPr>
        <w:pStyle w:val="5"/>
        <w:rPr>
          <w:rFonts w:asciiTheme="minorEastAsia" w:hAnsiTheme="minorEastAsia" w:eastAsiaTheme="minorEastAsia"/>
          <w:color w:val="auto"/>
          <w:sz w:val="21"/>
          <w:szCs w:val="21"/>
          <w:highlight w:val="none"/>
        </w:rPr>
      </w:pPr>
    </w:p>
    <w:bookmarkEnd w:id="782"/>
    <w:bookmarkEnd w:id="783"/>
    <w:p w14:paraId="1BB5E410">
      <w:pPr>
        <w:rPr>
          <w:rFonts w:hint="eastAsia" w:asciiTheme="minorEastAsia" w:hAnsiTheme="minorEastAsia" w:eastAsiaTheme="minorEastAsia"/>
          <w:color w:val="auto"/>
          <w:sz w:val="24"/>
          <w:szCs w:val="24"/>
          <w:highlight w:val="none"/>
        </w:rPr>
      </w:pPr>
      <w:bookmarkStart w:id="784" w:name="_Toc139026986"/>
      <w:bookmarkStart w:id="785" w:name="_Toc11303"/>
      <w:bookmarkStart w:id="786" w:name="_Toc38008097"/>
      <w:bookmarkStart w:id="787" w:name="_Toc3363"/>
      <w:bookmarkStart w:id="788" w:name="_Toc14288"/>
      <w:bookmarkStart w:id="789" w:name="_Toc5673"/>
      <w:r>
        <w:rPr>
          <w:rFonts w:hint="eastAsia" w:asciiTheme="minorEastAsia" w:hAnsiTheme="minorEastAsia" w:eastAsiaTheme="minorEastAsia"/>
          <w:color w:val="auto"/>
          <w:sz w:val="24"/>
          <w:szCs w:val="24"/>
          <w:highlight w:val="none"/>
        </w:rPr>
        <w:br w:type="page"/>
      </w:r>
    </w:p>
    <w:p w14:paraId="1D5081BC">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第二分册 技术响应文件</w:t>
      </w:r>
      <w:bookmarkEnd w:id="784"/>
      <w:bookmarkEnd w:id="785"/>
      <w:bookmarkEnd w:id="786"/>
      <w:bookmarkEnd w:id="787"/>
      <w:bookmarkEnd w:id="788"/>
    </w:p>
    <w:p w14:paraId="504435A9">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0" w:name="_Toc18293"/>
      <w:r>
        <w:rPr>
          <w:rFonts w:hint="eastAsia" w:asciiTheme="minorEastAsia" w:hAnsiTheme="minorEastAsia" w:eastAsiaTheme="minorEastAsia"/>
          <w:color w:val="auto"/>
          <w:sz w:val="24"/>
          <w:szCs w:val="24"/>
          <w:highlight w:val="none"/>
        </w:rPr>
        <w:t>技术响应文件封面</w:t>
      </w:r>
      <w:bookmarkEnd w:id="764"/>
      <w:bookmarkEnd w:id="789"/>
      <w:bookmarkEnd w:id="790"/>
    </w:p>
    <w:p w14:paraId="4BE987B9">
      <w:pPr>
        <w:spacing w:after="120" w:line="360" w:lineRule="atLeast"/>
        <w:jc w:val="center"/>
        <w:rPr>
          <w:rFonts w:cs="宋体" w:asciiTheme="minorEastAsia" w:hAnsiTheme="minorEastAsia" w:eastAsiaTheme="minorEastAsia"/>
          <w:color w:val="auto"/>
          <w:sz w:val="32"/>
          <w:szCs w:val="32"/>
          <w:highlight w:val="none"/>
          <w:u w:val="single"/>
        </w:rPr>
      </w:pPr>
    </w:p>
    <w:p w14:paraId="1689BD1E">
      <w:pPr>
        <w:spacing w:after="120" w:line="360" w:lineRule="atLeast"/>
        <w:jc w:val="center"/>
        <w:rPr>
          <w:rFonts w:cs="宋体" w:asciiTheme="minorEastAsia" w:hAnsiTheme="minorEastAsia" w:eastAsiaTheme="minorEastAsia"/>
          <w:color w:val="auto"/>
          <w:sz w:val="32"/>
          <w:szCs w:val="32"/>
          <w:highlight w:val="none"/>
          <w:u w:val="single"/>
        </w:rPr>
      </w:pPr>
    </w:p>
    <w:p w14:paraId="3273569C">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3B3E4D80">
      <w:pPr>
        <w:jc w:val="center"/>
        <w:rPr>
          <w:rFonts w:cs="宋体" w:asciiTheme="minorEastAsia" w:hAnsiTheme="minorEastAsia" w:eastAsiaTheme="minorEastAsia"/>
          <w:color w:val="auto"/>
          <w:sz w:val="28"/>
          <w:szCs w:val="28"/>
          <w:highlight w:val="none"/>
        </w:rPr>
      </w:pPr>
    </w:p>
    <w:p w14:paraId="0E654253">
      <w:pPr>
        <w:jc w:val="center"/>
        <w:rPr>
          <w:rFonts w:cs="宋体" w:asciiTheme="minorEastAsia" w:hAnsiTheme="minorEastAsia" w:eastAsiaTheme="minorEastAsia"/>
          <w:color w:val="auto"/>
          <w:szCs w:val="21"/>
          <w:highlight w:val="none"/>
        </w:rPr>
      </w:pPr>
    </w:p>
    <w:p w14:paraId="05E0BCEF">
      <w:pPr>
        <w:jc w:val="center"/>
        <w:rPr>
          <w:rFonts w:cs="宋体" w:asciiTheme="minorEastAsia" w:hAnsiTheme="minorEastAsia" w:eastAsiaTheme="minorEastAsia"/>
          <w:color w:val="auto"/>
          <w:szCs w:val="21"/>
          <w:highlight w:val="none"/>
        </w:rPr>
      </w:pPr>
    </w:p>
    <w:p w14:paraId="1C14EA0D">
      <w:pPr>
        <w:jc w:val="center"/>
        <w:rPr>
          <w:rFonts w:cs="宋体" w:asciiTheme="minorEastAsia" w:hAnsiTheme="minorEastAsia" w:eastAsiaTheme="minorEastAsia"/>
          <w:color w:val="auto"/>
          <w:szCs w:val="21"/>
          <w:highlight w:val="none"/>
        </w:rPr>
      </w:pPr>
    </w:p>
    <w:p w14:paraId="4C26701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响应文件【技术响应文件】部分</w:t>
      </w:r>
    </w:p>
    <w:p w14:paraId="2F8D156A">
      <w:pPr>
        <w:spacing w:after="120"/>
        <w:jc w:val="center"/>
        <w:rPr>
          <w:rFonts w:cs="宋体" w:asciiTheme="minorEastAsia" w:hAnsiTheme="minorEastAsia" w:eastAsiaTheme="minorEastAsia"/>
          <w:b/>
          <w:color w:val="auto"/>
          <w:sz w:val="32"/>
          <w:szCs w:val="32"/>
          <w:highlight w:val="none"/>
        </w:rPr>
      </w:pPr>
    </w:p>
    <w:p w14:paraId="2E923261">
      <w:pPr>
        <w:spacing w:after="120"/>
        <w:jc w:val="center"/>
        <w:rPr>
          <w:rFonts w:cs="宋体" w:asciiTheme="minorEastAsia" w:hAnsiTheme="minorEastAsia" w:eastAsiaTheme="minorEastAsia"/>
          <w:b/>
          <w:color w:val="auto"/>
          <w:sz w:val="32"/>
          <w:szCs w:val="32"/>
          <w:highlight w:val="none"/>
        </w:rPr>
      </w:pPr>
    </w:p>
    <w:p w14:paraId="576CC7F0">
      <w:pPr>
        <w:spacing w:after="120"/>
        <w:jc w:val="center"/>
        <w:rPr>
          <w:rFonts w:cs="宋体" w:asciiTheme="minorEastAsia" w:hAnsiTheme="minorEastAsia" w:eastAsiaTheme="minorEastAsia"/>
          <w:b/>
          <w:color w:val="auto"/>
          <w:sz w:val="32"/>
          <w:szCs w:val="32"/>
          <w:highlight w:val="none"/>
        </w:rPr>
      </w:pPr>
    </w:p>
    <w:p w14:paraId="0F9356FD">
      <w:pPr>
        <w:spacing w:after="120"/>
        <w:jc w:val="center"/>
        <w:rPr>
          <w:rFonts w:cs="宋体" w:asciiTheme="minorEastAsia" w:hAnsiTheme="minorEastAsia" w:eastAsiaTheme="minorEastAsia"/>
          <w:b/>
          <w:color w:val="auto"/>
          <w:sz w:val="32"/>
          <w:szCs w:val="32"/>
          <w:highlight w:val="none"/>
        </w:rPr>
      </w:pPr>
    </w:p>
    <w:p w14:paraId="0D848B89">
      <w:pPr>
        <w:spacing w:after="120"/>
        <w:jc w:val="center"/>
        <w:rPr>
          <w:rFonts w:cs="宋体" w:asciiTheme="minorEastAsia" w:hAnsiTheme="minorEastAsia" w:eastAsiaTheme="minorEastAsia"/>
          <w:b/>
          <w:color w:val="auto"/>
          <w:sz w:val="32"/>
          <w:szCs w:val="32"/>
          <w:highlight w:val="none"/>
        </w:rPr>
      </w:pPr>
    </w:p>
    <w:p w14:paraId="193F4613">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5BBF112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D196C27">
      <w:pPr>
        <w:adjustRightInd w:val="0"/>
        <w:snapToGrid w:val="0"/>
        <w:spacing w:line="440" w:lineRule="exact"/>
        <w:jc w:val="center"/>
        <w:rPr>
          <w:rFonts w:cs="宋体" w:asciiTheme="minorEastAsia" w:hAnsiTheme="minorEastAsia" w:eastAsiaTheme="minorEastAsia"/>
          <w:color w:val="auto"/>
          <w:sz w:val="24"/>
          <w:highlight w:val="none"/>
        </w:rPr>
      </w:pPr>
    </w:p>
    <w:p w14:paraId="02CFB76C">
      <w:pPr>
        <w:rPr>
          <w:color w:val="auto"/>
          <w:highlight w:val="none"/>
        </w:rPr>
      </w:pPr>
    </w:p>
    <w:p w14:paraId="6E571F53">
      <w:pPr>
        <w:rPr>
          <w:color w:val="auto"/>
          <w:highlight w:val="none"/>
        </w:rPr>
      </w:pPr>
    </w:p>
    <w:p w14:paraId="2E1A0ECB">
      <w:pPr>
        <w:rPr>
          <w:color w:val="auto"/>
          <w:highlight w:val="none"/>
        </w:rPr>
      </w:pPr>
    </w:p>
    <w:p w14:paraId="792F7393">
      <w:pPr>
        <w:adjustRightInd w:val="0"/>
        <w:snapToGrid w:val="0"/>
        <w:spacing w:line="440" w:lineRule="exact"/>
        <w:jc w:val="left"/>
        <w:rPr>
          <w:rFonts w:cs="宋体" w:asciiTheme="minorEastAsia" w:hAnsiTheme="minorEastAsia" w:eastAsiaTheme="minorEastAsia"/>
          <w:b/>
          <w:bCs/>
          <w:color w:val="auto"/>
          <w:kern w:val="0"/>
          <w:sz w:val="28"/>
          <w:szCs w:val="28"/>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68CF8B0">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1" w:name="_Toc30983"/>
      <w:bookmarkStart w:id="792" w:name="_Toc17047"/>
      <w:r>
        <w:rPr>
          <w:rFonts w:hint="eastAsia" w:asciiTheme="minorEastAsia" w:hAnsiTheme="minorEastAsia" w:eastAsiaTheme="minorEastAsia"/>
          <w:color w:val="auto"/>
          <w:sz w:val="24"/>
          <w:szCs w:val="24"/>
          <w:highlight w:val="none"/>
        </w:rPr>
        <w:t>技术服务评审索引表</w:t>
      </w:r>
      <w:bookmarkEnd w:id="791"/>
      <w:bookmarkEnd w:id="792"/>
    </w:p>
    <w:p w14:paraId="4CE2BB0F">
      <w:pPr>
        <w:rPr>
          <w:rFonts w:asciiTheme="minorEastAsia" w:hAnsiTheme="minorEastAsia" w:eastAsiaTheme="minorEastAsia"/>
          <w:color w:val="auto"/>
          <w:highlight w:val="none"/>
        </w:rPr>
      </w:pPr>
    </w:p>
    <w:p w14:paraId="7121F35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技术服务评审索引表</w:t>
      </w:r>
    </w:p>
    <w:p w14:paraId="6E5748B4">
      <w:pPr>
        <w:jc w:val="center"/>
        <w:rPr>
          <w:rFonts w:asciiTheme="minorEastAsia" w:hAnsiTheme="minorEastAsia" w:eastAsiaTheme="minorEastAsia"/>
          <w:b/>
          <w:color w:val="auto"/>
          <w:highlight w:val="none"/>
        </w:rPr>
      </w:pPr>
    </w:p>
    <w:p w14:paraId="5C66B656">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91"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771"/>
        <w:gridCol w:w="1581"/>
        <w:gridCol w:w="1554"/>
        <w:gridCol w:w="1559"/>
      </w:tblGrid>
      <w:tr w14:paraId="7774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B6F62F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771" w:type="dxa"/>
            <w:vAlign w:val="center"/>
          </w:tcPr>
          <w:p w14:paraId="61EF22D1">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581" w:type="dxa"/>
            <w:vAlign w:val="center"/>
          </w:tcPr>
          <w:p w14:paraId="6F8ECE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4" w:type="dxa"/>
            <w:vAlign w:val="center"/>
          </w:tcPr>
          <w:p w14:paraId="5C187979">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559" w:type="dxa"/>
            <w:vAlign w:val="center"/>
          </w:tcPr>
          <w:p w14:paraId="54409920">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AF9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A2BB3E3">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2771" w:type="dxa"/>
            <w:vAlign w:val="center"/>
          </w:tcPr>
          <w:p w14:paraId="1D9588C8">
            <w:pPr>
              <w:tabs>
                <w:tab w:val="left" w:pos="720"/>
              </w:tabs>
              <w:spacing w:line="360" w:lineRule="auto"/>
              <w:jc w:val="center"/>
              <w:rPr>
                <w:rFonts w:hint="default"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w:t>
            </w:r>
          </w:p>
        </w:tc>
        <w:tc>
          <w:tcPr>
            <w:tcW w:w="1581" w:type="dxa"/>
          </w:tcPr>
          <w:p w14:paraId="003D4516">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4E4B3D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C509E85">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03C8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D032CE">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2771" w:type="dxa"/>
            <w:vAlign w:val="center"/>
          </w:tcPr>
          <w:p w14:paraId="7D279C4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25CBF30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713676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1F777706">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C09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2F9E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2771" w:type="dxa"/>
            <w:vAlign w:val="center"/>
          </w:tcPr>
          <w:p w14:paraId="3BEAF60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DB0CCD8">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16BD521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47065A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135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27508631">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2771" w:type="dxa"/>
            <w:vAlign w:val="center"/>
          </w:tcPr>
          <w:p w14:paraId="39E57F7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E53A4E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A9728B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716177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6A6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1026" w:type="dxa"/>
            <w:vAlign w:val="center"/>
          </w:tcPr>
          <w:p w14:paraId="531C631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2771" w:type="dxa"/>
            <w:shd w:val="clear" w:color="auto" w:fill="auto"/>
            <w:vAlign w:val="center"/>
          </w:tcPr>
          <w:p w14:paraId="124F2B2B">
            <w:pPr>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6C2DA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AF95B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01629B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12D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F778980">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2771" w:type="dxa"/>
            <w:shd w:val="clear" w:color="auto" w:fill="auto"/>
            <w:vAlign w:val="center"/>
          </w:tcPr>
          <w:p w14:paraId="724633B6">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550DF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B5A975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DA07221">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8B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A201DF">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2771" w:type="dxa"/>
            <w:shd w:val="clear" w:color="auto" w:fill="auto"/>
            <w:vAlign w:val="center"/>
          </w:tcPr>
          <w:p w14:paraId="4FA77460">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87620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39757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7B9BC53">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670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6D028DF">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w:t>
            </w:r>
          </w:p>
        </w:tc>
        <w:tc>
          <w:tcPr>
            <w:tcW w:w="2771" w:type="dxa"/>
            <w:shd w:val="clear" w:color="auto" w:fill="auto"/>
            <w:vAlign w:val="center"/>
          </w:tcPr>
          <w:p w14:paraId="2E654F2C">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79ED6C3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B3D268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F1178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F18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038A54D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w:t>
            </w:r>
          </w:p>
        </w:tc>
        <w:tc>
          <w:tcPr>
            <w:tcW w:w="2771" w:type="dxa"/>
            <w:shd w:val="clear" w:color="auto" w:fill="auto"/>
            <w:vAlign w:val="center"/>
          </w:tcPr>
          <w:p w14:paraId="574AE57F">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09E77F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1B4A11A9">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5A44175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105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trPr>
        <w:tc>
          <w:tcPr>
            <w:tcW w:w="1026" w:type="dxa"/>
            <w:vAlign w:val="center"/>
          </w:tcPr>
          <w:p w14:paraId="1D38D41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3E4E9E63">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3CFFE18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2D169641">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09B910C6">
            <w:pPr>
              <w:spacing w:line="360" w:lineRule="auto"/>
              <w:jc w:val="center"/>
              <w:rPr>
                <w:rFonts w:asciiTheme="minorEastAsia" w:hAnsiTheme="minorEastAsia" w:eastAsiaTheme="minorEastAsia"/>
                <w:color w:val="auto"/>
                <w:szCs w:val="21"/>
                <w:highlight w:val="none"/>
              </w:rPr>
            </w:pPr>
          </w:p>
        </w:tc>
      </w:tr>
      <w:tr w14:paraId="17F0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4DFBB9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2AA51276">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578BE0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44E8F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F3A919A">
            <w:pPr>
              <w:spacing w:line="360" w:lineRule="auto"/>
              <w:jc w:val="center"/>
              <w:rPr>
                <w:rFonts w:asciiTheme="minorEastAsia" w:hAnsiTheme="minorEastAsia" w:eastAsiaTheme="minorEastAsia"/>
                <w:color w:val="auto"/>
                <w:szCs w:val="21"/>
                <w:highlight w:val="none"/>
              </w:rPr>
            </w:pPr>
          </w:p>
        </w:tc>
      </w:tr>
      <w:tr w14:paraId="47B7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trPr>
        <w:tc>
          <w:tcPr>
            <w:tcW w:w="1026" w:type="dxa"/>
            <w:vAlign w:val="center"/>
          </w:tcPr>
          <w:p w14:paraId="4F02C3AA">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7E9B63D2">
            <w:pPr>
              <w:keepNext w:val="0"/>
              <w:keepLines w:val="0"/>
              <w:widowControl/>
              <w:suppressLineNumbers w:val="0"/>
              <w:jc w:val="center"/>
              <w:textAlignment w:val="center"/>
              <w:rPr>
                <w:rFonts w:ascii="宋体" w:hAnsi="宋体" w:cs="宋体"/>
                <w:color w:val="auto"/>
                <w:kern w:val="0"/>
                <w:szCs w:val="21"/>
                <w:highlight w:val="none"/>
                <w:lang w:bidi="ar"/>
              </w:rPr>
            </w:pPr>
          </w:p>
        </w:tc>
        <w:tc>
          <w:tcPr>
            <w:tcW w:w="1581" w:type="dxa"/>
          </w:tcPr>
          <w:p w14:paraId="485671F4">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FF5F46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AA232C6">
            <w:pPr>
              <w:spacing w:line="360" w:lineRule="auto"/>
              <w:jc w:val="center"/>
              <w:rPr>
                <w:rFonts w:asciiTheme="minorEastAsia" w:hAnsiTheme="minorEastAsia" w:eastAsiaTheme="minorEastAsia"/>
                <w:color w:val="auto"/>
                <w:szCs w:val="21"/>
                <w:highlight w:val="none"/>
              </w:rPr>
            </w:pPr>
          </w:p>
        </w:tc>
      </w:tr>
      <w:tr w14:paraId="667D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trPr>
        <w:tc>
          <w:tcPr>
            <w:tcW w:w="1026" w:type="dxa"/>
            <w:vAlign w:val="center"/>
          </w:tcPr>
          <w:p w14:paraId="2936CB8E">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06EE7CD4">
            <w:pPr>
              <w:jc w:val="center"/>
              <w:rPr>
                <w:rFonts w:ascii="宋体" w:hAnsi="宋体" w:cs="宋体"/>
                <w:bCs/>
                <w:color w:val="auto"/>
                <w:szCs w:val="21"/>
                <w:highlight w:val="none"/>
              </w:rPr>
            </w:pPr>
          </w:p>
        </w:tc>
        <w:tc>
          <w:tcPr>
            <w:tcW w:w="1581" w:type="dxa"/>
          </w:tcPr>
          <w:p w14:paraId="668BBE00">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83209B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C004F1A">
            <w:pPr>
              <w:spacing w:line="360" w:lineRule="auto"/>
              <w:jc w:val="center"/>
              <w:rPr>
                <w:rFonts w:asciiTheme="minorEastAsia" w:hAnsiTheme="minorEastAsia" w:eastAsiaTheme="minorEastAsia"/>
                <w:color w:val="auto"/>
                <w:szCs w:val="21"/>
                <w:highlight w:val="none"/>
              </w:rPr>
            </w:pPr>
          </w:p>
        </w:tc>
      </w:tr>
      <w:tr w14:paraId="4811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026" w:type="dxa"/>
            <w:vAlign w:val="center"/>
          </w:tcPr>
          <w:p w14:paraId="34F0FC85">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5CCBAE05">
            <w:pPr>
              <w:jc w:val="center"/>
              <w:rPr>
                <w:rFonts w:ascii="宋体" w:hAnsi="宋体" w:cs="宋体"/>
                <w:bCs/>
                <w:color w:val="auto"/>
                <w:szCs w:val="21"/>
                <w:highlight w:val="none"/>
              </w:rPr>
            </w:pPr>
          </w:p>
        </w:tc>
        <w:tc>
          <w:tcPr>
            <w:tcW w:w="1581" w:type="dxa"/>
          </w:tcPr>
          <w:p w14:paraId="7EE3E4B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71C01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E103AA9">
            <w:pPr>
              <w:spacing w:line="360" w:lineRule="auto"/>
              <w:jc w:val="center"/>
              <w:rPr>
                <w:rFonts w:asciiTheme="minorEastAsia" w:hAnsiTheme="minorEastAsia" w:eastAsiaTheme="minorEastAsia"/>
                <w:color w:val="auto"/>
                <w:szCs w:val="21"/>
                <w:highlight w:val="none"/>
              </w:rPr>
            </w:pPr>
          </w:p>
        </w:tc>
      </w:tr>
    </w:tbl>
    <w:p w14:paraId="34B9E309">
      <w:pPr>
        <w:topLinePunct/>
        <w:spacing w:line="440" w:lineRule="exact"/>
        <w:ind w:left="360"/>
        <w:jc w:val="left"/>
        <w:rPr>
          <w:rFonts w:asciiTheme="minorEastAsia" w:hAnsiTheme="minorEastAsia" w:eastAsiaTheme="minorEastAsia"/>
          <w:b/>
          <w:color w:val="auto"/>
          <w:highlight w:val="none"/>
        </w:rPr>
      </w:pPr>
    </w:p>
    <w:p w14:paraId="066DF91F">
      <w:pPr>
        <w:topLinePunct/>
        <w:spacing w:line="440" w:lineRule="exact"/>
        <w:ind w:left="360"/>
        <w:jc w:val="left"/>
        <w:rPr>
          <w:rFonts w:asciiTheme="minorEastAsia" w:hAnsiTheme="minorEastAsia" w:eastAsiaTheme="minorEastAsia"/>
          <w:b/>
          <w:color w:val="auto"/>
          <w:highlight w:val="none"/>
        </w:rPr>
      </w:pPr>
    </w:p>
    <w:p w14:paraId="678C8FA1">
      <w:pPr>
        <w:topLinePunct/>
        <w:spacing w:line="440" w:lineRule="exact"/>
        <w:jc w:val="left"/>
        <w:rPr>
          <w:rFonts w:asciiTheme="minorEastAsia" w:hAnsiTheme="minorEastAsia" w:eastAsiaTheme="minorEastAsia"/>
          <w:b/>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7F3998F4">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3" w:name="_Toc14571"/>
      <w:bookmarkStart w:id="794" w:name="_Toc6712"/>
      <w:bookmarkStart w:id="795" w:name="_Toc475472690"/>
      <w:r>
        <w:rPr>
          <w:rFonts w:hint="eastAsia" w:asciiTheme="minorEastAsia" w:hAnsiTheme="minorEastAsia" w:eastAsiaTheme="minorEastAsia"/>
          <w:color w:val="auto"/>
          <w:sz w:val="24"/>
          <w:szCs w:val="24"/>
          <w:highlight w:val="none"/>
        </w:rPr>
        <w:t>技术规范书点对点响应或偏离表</w:t>
      </w:r>
      <w:bookmarkEnd w:id="793"/>
      <w:bookmarkEnd w:id="794"/>
      <w:bookmarkEnd w:id="795"/>
    </w:p>
    <w:p w14:paraId="5CDC4EB2">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技术规范书偏离表</w:t>
      </w:r>
    </w:p>
    <w:p w14:paraId="62E61A85">
      <w:pPr>
        <w:jc w:val="center"/>
        <w:rPr>
          <w:rFonts w:cs="宋体" w:asciiTheme="minorEastAsia" w:hAnsiTheme="minorEastAsia" w:eastAsiaTheme="minorEastAsia"/>
          <w:color w:val="auto"/>
          <w:sz w:val="24"/>
          <w:highlight w:val="none"/>
        </w:rPr>
      </w:pPr>
    </w:p>
    <w:p w14:paraId="58F59A74">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633"/>
        <w:gridCol w:w="2010"/>
        <w:gridCol w:w="1364"/>
      </w:tblGrid>
      <w:tr w14:paraId="36E39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58290437">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519F468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633" w:type="dxa"/>
            <w:vAlign w:val="center"/>
          </w:tcPr>
          <w:p w14:paraId="0674615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技术规范书</w:t>
            </w:r>
            <w:r>
              <w:rPr>
                <w:rFonts w:cs="宋体" w:asciiTheme="minorEastAsia" w:hAnsiTheme="minorEastAsia" w:eastAsiaTheme="minorEastAsia"/>
                <w:color w:val="auto"/>
                <w:szCs w:val="21"/>
                <w:highlight w:val="none"/>
              </w:rPr>
              <w:t>条款</w:t>
            </w:r>
          </w:p>
        </w:tc>
        <w:tc>
          <w:tcPr>
            <w:tcW w:w="2010" w:type="dxa"/>
            <w:vAlign w:val="center"/>
          </w:tcPr>
          <w:p w14:paraId="698F7D79">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32656B2F">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2BB70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07DB39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536A073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47AC86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1F18554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7B4B78D">
            <w:pPr>
              <w:adjustRightInd w:val="0"/>
              <w:snapToGrid w:val="0"/>
              <w:spacing w:line="440" w:lineRule="exact"/>
              <w:rPr>
                <w:rFonts w:cs="宋体" w:asciiTheme="minorEastAsia" w:hAnsiTheme="minorEastAsia" w:eastAsiaTheme="minorEastAsia"/>
                <w:color w:val="auto"/>
                <w:szCs w:val="21"/>
                <w:highlight w:val="none"/>
              </w:rPr>
            </w:pPr>
          </w:p>
        </w:tc>
      </w:tr>
      <w:tr w14:paraId="06D34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4EEE44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5D90B71">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20A2F6A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CC8485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61FD8BBF">
            <w:pPr>
              <w:adjustRightInd w:val="0"/>
              <w:snapToGrid w:val="0"/>
              <w:spacing w:line="440" w:lineRule="exact"/>
              <w:rPr>
                <w:rFonts w:cs="宋体" w:asciiTheme="minorEastAsia" w:hAnsiTheme="minorEastAsia" w:eastAsiaTheme="minorEastAsia"/>
                <w:color w:val="auto"/>
                <w:szCs w:val="21"/>
                <w:highlight w:val="none"/>
              </w:rPr>
            </w:pPr>
          </w:p>
        </w:tc>
      </w:tr>
      <w:tr w14:paraId="369C0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E65A36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81C29BC">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DBBA78D">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22177296">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ECB6A96">
            <w:pPr>
              <w:adjustRightInd w:val="0"/>
              <w:snapToGrid w:val="0"/>
              <w:spacing w:line="440" w:lineRule="exact"/>
              <w:rPr>
                <w:rFonts w:cs="宋体" w:asciiTheme="minorEastAsia" w:hAnsiTheme="minorEastAsia" w:eastAsiaTheme="minorEastAsia"/>
                <w:color w:val="auto"/>
                <w:szCs w:val="21"/>
                <w:highlight w:val="none"/>
              </w:rPr>
            </w:pPr>
          </w:p>
        </w:tc>
      </w:tr>
      <w:tr w14:paraId="057D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1F50BC5">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6727BAD">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6F9964C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D95C01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ADC1AA">
            <w:pPr>
              <w:adjustRightInd w:val="0"/>
              <w:snapToGrid w:val="0"/>
              <w:spacing w:line="440" w:lineRule="exact"/>
              <w:rPr>
                <w:rFonts w:cs="宋体" w:asciiTheme="minorEastAsia" w:hAnsiTheme="minorEastAsia" w:eastAsiaTheme="minorEastAsia"/>
                <w:color w:val="auto"/>
                <w:szCs w:val="21"/>
                <w:highlight w:val="none"/>
              </w:rPr>
            </w:pPr>
          </w:p>
        </w:tc>
      </w:tr>
      <w:tr w14:paraId="340B2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E14AEE6">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A8DFA5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4B06D19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62F671B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9FBCA08">
            <w:pPr>
              <w:adjustRightInd w:val="0"/>
              <w:snapToGrid w:val="0"/>
              <w:spacing w:line="440" w:lineRule="exact"/>
              <w:rPr>
                <w:rFonts w:cs="宋体" w:asciiTheme="minorEastAsia" w:hAnsiTheme="minorEastAsia" w:eastAsiaTheme="minorEastAsia"/>
                <w:color w:val="auto"/>
                <w:szCs w:val="21"/>
                <w:highlight w:val="none"/>
              </w:rPr>
            </w:pPr>
          </w:p>
        </w:tc>
      </w:tr>
      <w:tr w14:paraId="5A16A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E5F6C32">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0CE443C8">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70EC50C3">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5BE2F3F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6C97984">
            <w:pPr>
              <w:adjustRightInd w:val="0"/>
              <w:snapToGrid w:val="0"/>
              <w:spacing w:line="440" w:lineRule="exact"/>
              <w:rPr>
                <w:rFonts w:cs="宋体" w:asciiTheme="minorEastAsia" w:hAnsiTheme="minorEastAsia" w:eastAsiaTheme="minorEastAsia"/>
                <w:color w:val="auto"/>
                <w:szCs w:val="21"/>
                <w:highlight w:val="none"/>
              </w:rPr>
            </w:pPr>
          </w:p>
        </w:tc>
      </w:tr>
    </w:tbl>
    <w:p w14:paraId="6EFCA179">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3E13707C">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02A04E7E">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D85DC3C">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注：</w:t>
      </w:r>
    </w:p>
    <w:p w14:paraId="674BF803">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1、</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应当逐条对照</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”，就</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”中存在的偏差与例外逐条做出说明；</w:t>
      </w:r>
    </w:p>
    <w:p w14:paraId="255EB036">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2、如</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”中的条款无任何偏差，</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仅需在本偏离表中填写“无偏离”即可；如未填写任何内容，视作“全部无偏离”。</w:t>
      </w:r>
    </w:p>
    <w:p w14:paraId="580FE2FE">
      <w:pPr>
        <w:rPr>
          <w:rFonts w:asciiTheme="minorEastAsia" w:hAnsiTheme="minorEastAsia" w:eastAsiaTheme="minorEastAsia"/>
          <w:color w:val="auto"/>
          <w:highlight w:val="none"/>
        </w:rPr>
      </w:pPr>
    </w:p>
    <w:p w14:paraId="6396A0D0">
      <w:pPr>
        <w:rPr>
          <w:rFonts w:asciiTheme="minorEastAsia" w:hAnsiTheme="minorEastAsia" w:eastAsiaTheme="minorEastAsia"/>
          <w:color w:val="auto"/>
          <w:highlight w:val="none"/>
        </w:rPr>
      </w:pPr>
    </w:p>
    <w:p w14:paraId="13F3C2A6">
      <w:pPr>
        <w:rPr>
          <w:rFonts w:asciiTheme="minorEastAsia" w:hAnsiTheme="minorEastAsia" w:eastAsiaTheme="minorEastAsia"/>
          <w:color w:val="auto"/>
          <w:highlight w:val="none"/>
        </w:rPr>
      </w:pPr>
    </w:p>
    <w:p w14:paraId="5C4FA847">
      <w:pPr>
        <w:rPr>
          <w:rFonts w:asciiTheme="minorEastAsia" w:hAnsiTheme="minorEastAsia" w:eastAsiaTheme="minorEastAsia"/>
          <w:color w:val="auto"/>
          <w:highlight w:val="none"/>
        </w:rPr>
      </w:pPr>
    </w:p>
    <w:p w14:paraId="28375BFA">
      <w:pPr>
        <w:rPr>
          <w:rFonts w:asciiTheme="minorEastAsia" w:hAnsiTheme="minorEastAsia" w:eastAsiaTheme="minorEastAsia"/>
          <w:color w:val="auto"/>
          <w:highlight w:val="none"/>
        </w:rPr>
      </w:pPr>
    </w:p>
    <w:p w14:paraId="75DFF9D0">
      <w:pPr>
        <w:topLinePunct/>
        <w:spacing w:line="440" w:lineRule="exact"/>
        <w:ind w:left="422"/>
        <w:jc w:val="left"/>
        <w:rPr>
          <w:rFonts w:asciiTheme="minorEastAsia" w:hAnsiTheme="minorEastAsia" w:eastAsiaTheme="minorEastAsia"/>
          <w:color w:val="auto"/>
          <w:highlight w:val="none"/>
        </w:rPr>
      </w:pPr>
    </w:p>
    <w:p w14:paraId="61A79F7E">
      <w:pPr>
        <w:topLinePunct/>
        <w:spacing w:line="440" w:lineRule="exact"/>
        <w:ind w:left="422"/>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640402D">
      <w:pPr>
        <w:pStyle w:val="74"/>
        <w:numPr>
          <w:ilvl w:val="0"/>
          <w:numId w:val="41"/>
        </w:numPr>
        <w:tabs>
          <w:tab w:val="left" w:pos="588"/>
        </w:tabs>
        <w:snapToGrid w:val="0"/>
        <w:spacing w:before="120" w:after="120" w:line="440" w:lineRule="exact"/>
        <w:ind w:left="635" w:leftChars="0" w:firstLineChars="0"/>
        <w:jc w:val="left"/>
        <w:outlineLvl w:val="1"/>
        <w:rPr>
          <w:rFonts w:hint="eastAsia"/>
          <w:color w:val="auto"/>
          <w:highlight w:val="none"/>
        </w:rPr>
      </w:pPr>
      <w:bookmarkStart w:id="796" w:name="_Toc22758"/>
      <w:r>
        <w:rPr>
          <w:rFonts w:hint="eastAsia" w:asciiTheme="minorEastAsia" w:hAnsiTheme="minorEastAsia" w:eastAsiaTheme="minorEastAsia"/>
          <w:color w:val="auto"/>
          <w:sz w:val="24"/>
          <w:szCs w:val="24"/>
          <w:highlight w:val="none"/>
        </w:rPr>
        <w:t>技术评分应答</w:t>
      </w:r>
      <w:bookmarkEnd w:id="796"/>
    </w:p>
    <w:p w14:paraId="74F1A3C5">
      <w:pPr>
        <w:topLinePunct/>
        <w:spacing w:line="440" w:lineRule="exact"/>
        <w:jc w:val="left"/>
        <w:rPr>
          <w:rFonts w:hint="eastAsia"/>
          <w:color w:val="auto"/>
          <w:highlight w:val="none"/>
        </w:rPr>
      </w:pPr>
      <w:r>
        <w:rPr>
          <w:rFonts w:hint="eastAsia"/>
          <w:color w:val="auto"/>
          <w:highlight w:val="none"/>
        </w:rPr>
        <w:t>现场作业方案</w:t>
      </w:r>
    </w:p>
    <w:p w14:paraId="5B82AED2">
      <w:pPr>
        <w:topLinePunct/>
        <w:spacing w:line="440" w:lineRule="exact"/>
        <w:jc w:val="left"/>
        <w:rPr>
          <w:rFonts w:hint="eastAsia"/>
          <w:color w:val="auto"/>
          <w:highlight w:val="none"/>
        </w:rPr>
      </w:pPr>
      <w:r>
        <w:rPr>
          <w:rFonts w:hint="eastAsia"/>
          <w:color w:val="auto"/>
          <w:highlight w:val="none"/>
        </w:rPr>
        <w:t>安全生产方案</w:t>
      </w:r>
    </w:p>
    <w:p w14:paraId="7EE7246D">
      <w:pPr>
        <w:topLinePunct/>
        <w:spacing w:line="440" w:lineRule="exact"/>
        <w:jc w:val="left"/>
        <w:rPr>
          <w:rFonts w:hint="eastAsia"/>
          <w:color w:val="auto"/>
          <w:highlight w:val="none"/>
        </w:rPr>
      </w:pPr>
      <w:r>
        <w:rPr>
          <w:rFonts w:hint="eastAsia"/>
          <w:color w:val="auto"/>
          <w:highlight w:val="none"/>
        </w:rPr>
        <w:t>本地化服务承诺</w:t>
      </w:r>
    </w:p>
    <w:p w14:paraId="21F200B8">
      <w:pPr>
        <w:topLinePunct/>
        <w:spacing w:line="440" w:lineRule="exact"/>
        <w:jc w:val="left"/>
        <w:rPr>
          <w:rFonts w:hint="eastAsia"/>
          <w:color w:val="auto"/>
          <w:highlight w:val="none"/>
        </w:rPr>
      </w:pPr>
      <w:r>
        <w:rPr>
          <w:rFonts w:hint="eastAsia"/>
          <w:color w:val="auto"/>
          <w:highlight w:val="none"/>
        </w:rPr>
        <w:t>人员保险</w:t>
      </w:r>
    </w:p>
    <w:p w14:paraId="0B361916">
      <w:pPr>
        <w:topLinePunct/>
        <w:spacing w:line="440" w:lineRule="exact"/>
        <w:jc w:val="left"/>
        <w:rPr>
          <w:rFonts w:hint="eastAsia"/>
          <w:color w:val="auto"/>
          <w:highlight w:val="none"/>
        </w:rPr>
      </w:pPr>
      <w:r>
        <w:rPr>
          <w:rFonts w:hint="eastAsia"/>
          <w:color w:val="auto"/>
          <w:highlight w:val="none"/>
        </w:rPr>
        <w:t>设备配备能力</w:t>
      </w:r>
    </w:p>
    <w:p w14:paraId="101938C0">
      <w:pPr>
        <w:topLinePunct/>
        <w:spacing w:line="440" w:lineRule="exact"/>
        <w:jc w:val="left"/>
        <w:rPr>
          <w:rFonts w:hint="eastAsia"/>
          <w:color w:val="auto"/>
          <w:highlight w:val="none"/>
        </w:rPr>
      </w:pPr>
      <w:r>
        <w:rPr>
          <w:rFonts w:hint="eastAsia"/>
          <w:color w:val="auto"/>
          <w:highlight w:val="none"/>
        </w:rPr>
        <w:t>应急服务响应时间</w:t>
      </w:r>
    </w:p>
    <w:p w14:paraId="30B64AD4">
      <w:pPr>
        <w:topLinePunct/>
        <w:spacing w:line="440" w:lineRule="exact"/>
        <w:jc w:val="left"/>
        <w:rPr>
          <w:rFonts w:hint="eastAsia"/>
          <w:color w:val="auto"/>
          <w:highlight w:val="none"/>
        </w:rPr>
      </w:pPr>
      <w:r>
        <w:rPr>
          <w:rFonts w:hint="eastAsia"/>
          <w:color w:val="auto"/>
          <w:highlight w:val="none"/>
        </w:rPr>
        <w:t>人员配置</w:t>
      </w:r>
    </w:p>
    <w:p w14:paraId="000E8649">
      <w:pPr>
        <w:topLinePunct/>
        <w:spacing w:line="440" w:lineRule="exact"/>
        <w:jc w:val="left"/>
        <w:rPr>
          <w:color w:val="auto"/>
          <w:highlight w:val="none"/>
        </w:rPr>
      </w:pPr>
      <w:r>
        <w:rPr>
          <w:rFonts w:hint="eastAsia"/>
          <w:color w:val="auto"/>
          <w:highlight w:val="none"/>
        </w:rPr>
        <w:t>按照</w:t>
      </w:r>
      <w:r>
        <w:rPr>
          <w:rFonts w:hint="eastAsia"/>
          <w:b/>
          <w:color w:val="auto"/>
          <w:highlight w:val="none"/>
        </w:rPr>
        <w:t>第三章 评审办法 详细评审技术评分</w:t>
      </w:r>
      <w:r>
        <w:rPr>
          <w:rFonts w:hint="eastAsia"/>
          <w:color w:val="auto"/>
          <w:highlight w:val="none"/>
        </w:rPr>
        <w:t>要求提供。</w:t>
      </w:r>
    </w:p>
    <w:p w14:paraId="311C432A">
      <w:pPr>
        <w:pStyle w:val="5"/>
        <w:rPr>
          <w:color w:val="auto"/>
          <w:highlight w:val="none"/>
        </w:rPr>
      </w:pPr>
    </w:p>
    <w:p w14:paraId="5F76AD1E">
      <w:pPr>
        <w:topLinePunct/>
        <w:spacing w:line="440" w:lineRule="exact"/>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要求提供原件的，需提供文件原件；其他证明文件可为扫描件。</w:t>
      </w:r>
    </w:p>
    <w:p w14:paraId="5366580B">
      <w:pPr>
        <w:topLinePunct/>
        <w:spacing w:line="440" w:lineRule="exact"/>
        <w:ind w:left="424"/>
        <w:jc w:val="left"/>
        <w:rPr>
          <w:rFonts w:asciiTheme="minorEastAsia" w:hAnsiTheme="minorEastAsia" w:eastAsiaTheme="minorEastAsia"/>
          <w:color w:val="auto"/>
          <w:highlight w:val="none"/>
        </w:rPr>
      </w:pPr>
    </w:p>
    <w:p w14:paraId="53CD6107">
      <w:pPr>
        <w:numPr>
          <w:ilvl w:val="0"/>
          <w:numId w:val="50"/>
        </w:numPr>
        <w:topLinePunct/>
        <w:spacing w:line="440" w:lineRule="exact"/>
        <w:ind w:left="849" w:leftChars="202" w:hanging="425"/>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5E95C38">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7" w:name="_Toc433"/>
      <w:bookmarkStart w:id="798" w:name="_Toc20013"/>
      <w:bookmarkStart w:id="799" w:name="_Toc475472692"/>
      <w:r>
        <w:rPr>
          <w:rFonts w:hint="eastAsia" w:asciiTheme="minorEastAsia" w:hAnsiTheme="minorEastAsia" w:eastAsiaTheme="minorEastAsia"/>
          <w:color w:val="auto"/>
          <w:sz w:val="24"/>
          <w:szCs w:val="24"/>
          <w:highlight w:val="none"/>
        </w:rPr>
        <w:t>要求供应商提供的其他</w:t>
      </w:r>
      <w:r>
        <w:rPr>
          <w:rFonts w:hint="eastAsia" w:asciiTheme="minorEastAsia" w:hAnsiTheme="minorEastAsia" w:eastAsiaTheme="minorEastAsia"/>
          <w:color w:val="auto"/>
          <w:sz w:val="24"/>
          <w:szCs w:val="24"/>
          <w:highlight w:val="none"/>
          <w:lang w:val="en-US" w:eastAsia="zh-CN"/>
        </w:rPr>
        <w:t>技术</w:t>
      </w:r>
      <w:r>
        <w:rPr>
          <w:rFonts w:hint="eastAsia" w:asciiTheme="minorEastAsia" w:hAnsiTheme="minorEastAsia" w:eastAsiaTheme="minorEastAsia"/>
          <w:color w:val="auto"/>
          <w:sz w:val="24"/>
          <w:szCs w:val="24"/>
          <w:highlight w:val="none"/>
        </w:rPr>
        <w:t>文件</w:t>
      </w:r>
      <w:bookmarkEnd w:id="797"/>
      <w:bookmarkEnd w:id="798"/>
      <w:bookmarkEnd w:id="799"/>
    </w:p>
    <w:p w14:paraId="7001AD88">
      <w:pPr>
        <w:rPr>
          <w:rFonts w:asciiTheme="minorEastAsia" w:hAnsiTheme="minorEastAsia" w:eastAsiaTheme="minorEastAsia"/>
          <w:color w:val="auto"/>
          <w:highlight w:val="none"/>
        </w:rPr>
      </w:pPr>
    </w:p>
    <w:p w14:paraId="50764906">
      <w:pPr>
        <w:rPr>
          <w:rFonts w:asciiTheme="minorEastAsia" w:hAnsiTheme="minorEastAsia" w:eastAsiaTheme="minorEastAsia"/>
          <w:color w:val="auto"/>
          <w:highlight w:val="none"/>
        </w:rPr>
      </w:pPr>
    </w:p>
    <w:p w14:paraId="3ED81CF8">
      <w:pPr>
        <w:rPr>
          <w:rFonts w:asciiTheme="minorEastAsia" w:hAnsiTheme="minorEastAsia" w:eastAsiaTheme="minorEastAsia"/>
          <w:color w:val="auto"/>
          <w:highlight w:val="none"/>
        </w:rPr>
      </w:pPr>
    </w:p>
    <w:p w14:paraId="20333580">
      <w:pP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474E087F">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应按照技术规范书规定的先后顺序提供。</w:t>
      </w:r>
    </w:p>
    <w:p w14:paraId="028F4E1C">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要求提供原件的，需提供文件原件；</w:t>
      </w:r>
      <w:r>
        <w:rPr>
          <w:rFonts w:hint="eastAsia" w:asciiTheme="minorEastAsia" w:hAnsiTheme="minorEastAsia" w:eastAsiaTheme="minorEastAsia"/>
          <w:color w:val="auto"/>
          <w:highlight w:val="none"/>
        </w:rPr>
        <w:t>其他证明文件可为扫描件</w:t>
      </w:r>
      <w:r>
        <w:rPr>
          <w:rFonts w:hint="eastAsia" w:asciiTheme="minorEastAsia" w:hAnsiTheme="minorEastAsia" w:eastAsiaTheme="minorEastAsia"/>
          <w:color w:val="auto"/>
          <w:szCs w:val="21"/>
          <w:highlight w:val="none"/>
        </w:rPr>
        <w:t>。</w:t>
      </w:r>
    </w:p>
    <w:p w14:paraId="5BF91AA7">
      <w:pPr>
        <w:ind w:left="424" w:hanging="424" w:hangingChars="202"/>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6938C831">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800" w:name="_Toc139026992"/>
      <w:bookmarkStart w:id="801" w:name="_Toc13833"/>
      <w:bookmarkStart w:id="802" w:name="_Toc31360"/>
      <w:bookmarkStart w:id="803" w:name="_Toc38008103"/>
      <w:bookmarkStart w:id="804" w:name="_Toc4177"/>
      <w:bookmarkStart w:id="805" w:name="_Toc475472693"/>
      <w:bookmarkStart w:id="806" w:name="_Toc14316"/>
      <w:r>
        <w:rPr>
          <w:rFonts w:hint="eastAsia" w:asciiTheme="minorEastAsia" w:hAnsiTheme="minorEastAsia" w:eastAsiaTheme="minorEastAsia"/>
          <w:color w:val="auto"/>
          <w:sz w:val="24"/>
          <w:szCs w:val="24"/>
          <w:highlight w:val="none"/>
        </w:rPr>
        <w:t>第三分册 报价文件</w:t>
      </w:r>
      <w:bookmarkEnd w:id="800"/>
      <w:bookmarkEnd w:id="801"/>
      <w:bookmarkEnd w:id="802"/>
      <w:bookmarkEnd w:id="803"/>
      <w:bookmarkEnd w:id="804"/>
    </w:p>
    <w:p w14:paraId="171F8E42">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7" w:name="_Toc29193"/>
      <w:r>
        <w:rPr>
          <w:rFonts w:hint="eastAsia" w:asciiTheme="minorEastAsia" w:hAnsiTheme="minorEastAsia" w:eastAsiaTheme="minorEastAsia"/>
          <w:color w:val="auto"/>
          <w:sz w:val="24"/>
          <w:szCs w:val="24"/>
          <w:highlight w:val="none"/>
        </w:rPr>
        <w:t>报价文件封面</w:t>
      </w:r>
      <w:bookmarkEnd w:id="805"/>
      <w:bookmarkEnd w:id="806"/>
      <w:bookmarkEnd w:id="807"/>
    </w:p>
    <w:p w14:paraId="1C411617">
      <w:pPr>
        <w:spacing w:after="120" w:line="360" w:lineRule="atLeast"/>
        <w:jc w:val="center"/>
        <w:rPr>
          <w:rFonts w:cs="宋体" w:asciiTheme="minorEastAsia" w:hAnsiTheme="minorEastAsia" w:eastAsiaTheme="minorEastAsia"/>
          <w:color w:val="auto"/>
          <w:sz w:val="32"/>
          <w:szCs w:val="32"/>
          <w:highlight w:val="none"/>
          <w:u w:val="single"/>
        </w:rPr>
      </w:pPr>
    </w:p>
    <w:p w14:paraId="2C3C1239">
      <w:pPr>
        <w:spacing w:after="120" w:line="360" w:lineRule="atLeast"/>
        <w:jc w:val="center"/>
        <w:rPr>
          <w:rFonts w:cs="宋体" w:asciiTheme="minorEastAsia" w:hAnsiTheme="minorEastAsia" w:eastAsiaTheme="minorEastAsia"/>
          <w:color w:val="auto"/>
          <w:sz w:val="32"/>
          <w:szCs w:val="32"/>
          <w:highlight w:val="none"/>
          <w:u w:val="single"/>
        </w:rPr>
      </w:pPr>
    </w:p>
    <w:p w14:paraId="28CF3AC9">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224008EA">
      <w:pPr>
        <w:jc w:val="center"/>
        <w:rPr>
          <w:rFonts w:cs="宋体" w:asciiTheme="minorEastAsia" w:hAnsiTheme="minorEastAsia" w:eastAsiaTheme="minorEastAsia"/>
          <w:color w:val="auto"/>
          <w:sz w:val="28"/>
          <w:szCs w:val="28"/>
          <w:highlight w:val="none"/>
        </w:rPr>
      </w:pPr>
    </w:p>
    <w:p w14:paraId="599805DE">
      <w:pPr>
        <w:jc w:val="center"/>
        <w:rPr>
          <w:rFonts w:cs="宋体" w:asciiTheme="minorEastAsia" w:hAnsiTheme="minorEastAsia" w:eastAsiaTheme="minorEastAsia"/>
          <w:color w:val="auto"/>
          <w:szCs w:val="21"/>
          <w:highlight w:val="none"/>
        </w:rPr>
      </w:pPr>
    </w:p>
    <w:p w14:paraId="36CC394F">
      <w:pPr>
        <w:jc w:val="center"/>
        <w:rPr>
          <w:rFonts w:cs="宋体" w:asciiTheme="minorEastAsia" w:hAnsiTheme="minorEastAsia" w:eastAsiaTheme="minorEastAsia"/>
          <w:color w:val="auto"/>
          <w:szCs w:val="21"/>
          <w:highlight w:val="none"/>
        </w:rPr>
      </w:pPr>
    </w:p>
    <w:p w14:paraId="3F7ACB05">
      <w:pPr>
        <w:jc w:val="center"/>
        <w:rPr>
          <w:rFonts w:cs="宋体" w:asciiTheme="minorEastAsia" w:hAnsiTheme="minorEastAsia" w:eastAsiaTheme="minorEastAsia"/>
          <w:color w:val="auto"/>
          <w:szCs w:val="21"/>
          <w:highlight w:val="none"/>
        </w:rPr>
      </w:pPr>
    </w:p>
    <w:p w14:paraId="7A4AC8E1">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响应文件【报价文件】部分</w:t>
      </w:r>
    </w:p>
    <w:p w14:paraId="731D23F5">
      <w:pPr>
        <w:spacing w:after="120"/>
        <w:jc w:val="center"/>
        <w:rPr>
          <w:rFonts w:cs="宋体" w:asciiTheme="minorEastAsia" w:hAnsiTheme="minorEastAsia" w:eastAsiaTheme="minorEastAsia"/>
          <w:b/>
          <w:color w:val="auto"/>
          <w:sz w:val="32"/>
          <w:szCs w:val="32"/>
          <w:highlight w:val="none"/>
        </w:rPr>
      </w:pPr>
    </w:p>
    <w:p w14:paraId="3394B4F1">
      <w:pPr>
        <w:spacing w:after="120"/>
        <w:jc w:val="center"/>
        <w:rPr>
          <w:rFonts w:cs="宋体" w:asciiTheme="minorEastAsia" w:hAnsiTheme="minorEastAsia" w:eastAsiaTheme="minorEastAsia"/>
          <w:b/>
          <w:color w:val="auto"/>
          <w:sz w:val="32"/>
          <w:szCs w:val="32"/>
          <w:highlight w:val="none"/>
        </w:rPr>
      </w:pPr>
    </w:p>
    <w:p w14:paraId="02FF6089">
      <w:pPr>
        <w:spacing w:after="120"/>
        <w:jc w:val="center"/>
        <w:rPr>
          <w:rFonts w:cs="宋体" w:asciiTheme="minorEastAsia" w:hAnsiTheme="minorEastAsia" w:eastAsiaTheme="minorEastAsia"/>
          <w:b/>
          <w:color w:val="auto"/>
          <w:sz w:val="32"/>
          <w:szCs w:val="32"/>
          <w:highlight w:val="none"/>
        </w:rPr>
      </w:pPr>
    </w:p>
    <w:p w14:paraId="46B64398">
      <w:pPr>
        <w:spacing w:after="120"/>
        <w:jc w:val="center"/>
        <w:rPr>
          <w:rFonts w:cs="宋体" w:asciiTheme="minorEastAsia" w:hAnsiTheme="minorEastAsia" w:eastAsiaTheme="minorEastAsia"/>
          <w:b/>
          <w:color w:val="auto"/>
          <w:sz w:val="32"/>
          <w:szCs w:val="32"/>
          <w:highlight w:val="none"/>
        </w:rPr>
      </w:pPr>
    </w:p>
    <w:p w14:paraId="386AFAC9">
      <w:pPr>
        <w:spacing w:after="120"/>
        <w:jc w:val="center"/>
        <w:rPr>
          <w:rFonts w:cs="宋体" w:asciiTheme="minorEastAsia" w:hAnsiTheme="minorEastAsia" w:eastAsiaTheme="minorEastAsia"/>
          <w:b/>
          <w:color w:val="auto"/>
          <w:sz w:val="32"/>
          <w:szCs w:val="32"/>
          <w:highlight w:val="none"/>
        </w:rPr>
      </w:pPr>
    </w:p>
    <w:p w14:paraId="699F2CB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6536E7F6">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2AF664D">
      <w:pPr>
        <w:adjustRightInd w:val="0"/>
        <w:snapToGrid w:val="0"/>
        <w:spacing w:line="440" w:lineRule="exact"/>
        <w:jc w:val="center"/>
        <w:rPr>
          <w:rFonts w:cs="宋体" w:asciiTheme="minorEastAsia" w:hAnsiTheme="minorEastAsia" w:eastAsiaTheme="minorEastAsia"/>
          <w:color w:val="auto"/>
          <w:sz w:val="24"/>
          <w:highlight w:val="none"/>
        </w:rPr>
      </w:pPr>
    </w:p>
    <w:p w14:paraId="619049A4">
      <w:pPr>
        <w:rPr>
          <w:color w:val="auto"/>
          <w:highlight w:val="none"/>
        </w:rPr>
      </w:pPr>
    </w:p>
    <w:p w14:paraId="6C5D2793">
      <w:pPr>
        <w:rPr>
          <w:color w:val="auto"/>
          <w:highlight w:val="none"/>
        </w:rPr>
      </w:pPr>
    </w:p>
    <w:p w14:paraId="5795DFE9">
      <w:pPr>
        <w:rPr>
          <w:color w:val="auto"/>
          <w:highlight w:val="none"/>
        </w:rPr>
      </w:pPr>
    </w:p>
    <w:p w14:paraId="10F70DC2">
      <w:pPr>
        <w:topLinePunct/>
        <w:spacing w:line="440" w:lineRule="exact"/>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18756D69">
      <w:pPr>
        <w:rPr>
          <w:rFonts w:asciiTheme="minorEastAsia" w:hAnsiTheme="minorEastAsia" w:eastAsiaTheme="minorEastAsia"/>
          <w:color w:val="auto"/>
          <w:highlight w:val="none"/>
        </w:rPr>
      </w:pPr>
    </w:p>
    <w:p w14:paraId="19302451">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8" w:name="_Toc447265349"/>
      <w:bookmarkStart w:id="809" w:name="_Toc447265635"/>
      <w:bookmarkStart w:id="810" w:name="_Toc17246"/>
      <w:bookmarkStart w:id="811" w:name="_Toc17754"/>
      <w:bookmarkStart w:id="812" w:name="_Toc475472694"/>
      <w:bookmarkStart w:id="813" w:name="_Toc48314621"/>
      <w:bookmarkStart w:id="814" w:name="_Toc22394"/>
      <w:bookmarkStart w:id="815" w:name="_Toc29556649"/>
      <w:bookmarkStart w:id="816" w:name="_Toc7004"/>
      <w:r>
        <w:rPr>
          <w:rFonts w:hint="eastAsia" w:asciiTheme="minorEastAsia" w:hAnsiTheme="minorEastAsia" w:eastAsiaTheme="minorEastAsia"/>
          <w:color w:val="auto"/>
          <w:sz w:val="24"/>
          <w:szCs w:val="24"/>
          <w:highlight w:val="none"/>
        </w:rPr>
        <w:t>报价一览表</w:t>
      </w:r>
      <w:bookmarkEnd w:id="808"/>
      <w:bookmarkEnd w:id="809"/>
      <w:bookmarkEnd w:id="810"/>
      <w:bookmarkEnd w:id="811"/>
      <w:bookmarkEnd w:id="812"/>
    </w:p>
    <w:p w14:paraId="3D1E09EF">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报价一览表</w:t>
      </w:r>
    </w:p>
    <w:p w14:paraId="1BA2719E">
      <w:pPr>
        <w:widowControl/>
        <w:rPr>
          <w:rFonts w:cs="宋体" w:asciiTheme="minorEastAsia" w:hAnsiTheme="minorEastAsia" w:eastAsiaTheme="minorEastAsia"/>
          <w:color w:val="auto"/>
          <w:szCs w:val="21"/>
          <w:highlight w:val="none"/>
        </w:rPr>
      </w:pPr>
    </w:p>
    <w:p w14:paraId="15DA8E27">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0CA81F8C">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编号：</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56ED99B5">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货币单位：元人民币</w:t>
      </w:r>
    </w:p>
    <w:tbl>
      <w:tblPr>
        <w:tblStyle w:val="78"/>
        <w:tblW w:w="6928" w:type="dxa"/>
        <w:tblInd w:w="93" w:type="dxa"/>
        <w:tblLayout w:type="fixed"/>
        <w:tblCellMar>
          <w:top w:w="0" w:type="dxa"/>
          <w:left w:w="108" w:type="dxa"/>
          <w:bottom w:w="0" w:type="dxa"/>
          <w:right w:w="108" w:type="dxa"/>
        </w:tblCellMar>
      </w:tblPr>
      <w:tblGrid>
        <w:gridCol w:w="1921"/>
        <w:gridCol w:w="1741"/>
        <w:gridCol w:w="1800"/>
        <w:gridCol w:w="1466"/>
      </w:tblGrid>
      <w:tr w14:paraId="4EF53937">
        <w:tblPrEx>
          <w:tblCellMar>
            <w:top w:w="0" w:type="dxa"/>
            <w:left w:w="108" w:type="dxa"/>
            <w:bottom w:w="0" w:type="dxa"/>
            <w:right w:w="108" w:type="dxa"/>
          </w:tblCellMar>
        </w:tblPrEx>
        <w:trPr>
          <w:trHeight w:val="70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EFC2">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94E8">
            <w:pPr>
              <w:widowControl/>
              <w:jc w:val="center"/>
              <w:textAlignment w:val="center"/>
              <w:rPr>
                <w:rFonts w:ascii="宋体" w:hAnsi="宋体" w:cs="宋体"/>
                <w:b/>
                <w:bCs/>
                <w:color w:val="auto"/>
                <w:kern w:val="0"/>
                <w:szCs w:val="21"/>
                <w:highlight w:val="none"/>
              </w:rPr>
            </w:pPr>
            <w:r>
              <w:rPr>
                <w:rFonts w:hint="eastAsia" w:ascii="宋体" w:hAnsi="宋体" w:cs="宋体"/>
                <w:b/>
                <w:szCs w:val="21"/>
                <w:lang w:val="en-US" w:eastAsia="zh-CN"/>
              </w:rPr>
              <w:t>响应报价</w:t>
            </w:r>
            <w:r>
              <w:rPr>
                <w:rFonts w:ascii="宋体" w:hAnsi="宋体" w:cs="宋体"/>
                <w:b/>
                <w:szCs w:val="21"/>
              </w:rPr>
              <w:t>折扣（</w:t>
            </w:r>
            <w:r>
              <w:rPr>
                <w:rFonts w:hint="eastAsia" w:ascii="宋体" w:hAnsi="宋体" w:cs="宋体"/>
                <w:b/>
                <w:szCs w:val="21"/>
              </w:rPr>
              <w:t>%</w:t>
            </w:r>
            <w:r>
              <w:rPr>
                <w:rFonts w:ascii="宋体" w:hAnsi="宋体" w:cs="宋体"/>
                <w:b/>
                <w:szCs w:val="21"/>
              </w:rPr>
              <w:t>）</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2099">
            <w:pPr>
              <w:widowControl/>
              <w:jc w:val="center"/>
              <w:textAlignment w:val="center"/>
              <w:rPr>
                <w:rFonts w:ascii="宋体" w:hAnsi="宋体" w:cs="宋体"/>
                <w:b/>
                <w:bCs/>
                <w:color w:val="auto"/>
                <w:kern w:val="0"/>
                <w:szCs w:val="21"/>
                <w:highlight w:val="none"/>
              </w:rPr>
            </w:pPr>
            <w:r>
              <w:rPr>
                <w:rFonts w:hint="eastAsia" w:ascii="宋体" w:hAnsi="宋体" w:cs="宋体"/>
                <w:b/>
                <w:kern w:val="0"/>
                <w:szCs w:val="21"/>
                <w:lang w:bidi="ar"/>
              </w:rPr>
              <w:t>增值税税率（%）</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5E32">
            <w:pPr>
              <w:widowControl/>
              <w:jc w:val="center"/>
              <w:rPr>
                <w:rFonts w:ascii="宋体" w:hAnsi="宋体" w:cs="宋体"/>
                <w:b/>
                <w:bCs/>
                <w:color w:val="auto"/>
                <w:kern w:val="0"/>
                <w:szCs w:val="21"/>
                <w:highlight w:val="none"/>
              </w:rPr>
            </w:pPr>
            <w:r>
              <w:rPr>
                <w:rFonts w:hint="eastAsia" w:ascii="宋体" w:hAnsi="宋体" w:cs="宋体"/>
                <w:b/>
                <w:szCs w:val="21"/>
              </w:rPr>
              <w:t>备注</w:t>
            </w:r>
          </w:p>
        </w:tc>
      </w:tr>
      <w:tr w14:paraId="33963E1C">
        <w:tblPrEx>
          <w:tblCellMar>
            <w:top w:w="0" w:type="dxa"/>
            <w:left w:w="108" w:type="dxa"/>
            <w:bottom w:w="0" w:type="dxa"/>
            <w:right w:w="108" w:type="dxa"/>
          </w:tblCellMar>
        </w:tblPrEx>
        <w:trPr>
          <w:trHeight w:val="193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1FC9">
            <w:pPr>
              <w:widowControl/>
              <w:jc w:val="center"/>
              <w:rPr>
                <w:rFonts w:hint="eastAsia" w:ascii="宋体" w:hAnsi="宋体" w:eastAsia="宋体" w:cs="宋体"/>
                <w:color w:val="auto"/>
                <w:kern w:val="0"/>
                <w:sz w:val="22"/>
                <w:szCs w:val="22"/>
                <w:highlight w:val="none"/>
                <w:lang w:eastAsia="zh-CN"/>
              </w:rPr>
            </w:pPr>
            <w:r>
              <w:rPr>
                <w:rFonts w:hint="eastAsia" w:asciiTheme="minorEastAsia" w:hAnsiTheme="minorEastAsia" w:eastAsiaTheme="minorEastAsia"/>
                <w:color w:val="auto"/>
                <w:highlight w:val="none"/>
                <w:u w:val="single"/>
                <w:lang w:eastAsia="zh-CN"/>
              </w:rPr>
              <w:t>湖北信通通信有限公司2026年度大冶物资装卸及搬运服务项目</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F31A">
            <w:pPr>
              <w:jc w:val="center"/>
              <w:rPr>
                <w:rFonts w:ascii="宋体" w:hAnsi="宋体" w:cs="宋体"/>
                <w:color w:val="auto"/>
                <w:kern w:val="0"/>
                <w:szCs w:val="21"/>
                <w:highlight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8861">
            <w:pPr>
              <w:jc w:val="center"/>
              <w:rPr>
                <w:rFonts w:ascii="宋体" w:hAnsi="宋体" w:cs="宋体"/>
                <w:color w:val="auto"/>
                <w:kern w:val="0"/>
                <w:sz w:val="22"/>
                <w:szCs w:val="22"/>
                <w:highlight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FEB9">
            <w:pPr>
              <w:widowControl/>
              <w:jc w:val="center"/>
              <w:rPr>
                <w:rFonts w:ascii="宋体" w:hAnsi="宋体" w:cs="宋体"/>
                <w:color w:val="auto"/>
                <w:kern w:val="0"/>
                <w:sz w:val="22"/>
                <w:szCs w:val="22"/>
                <w:highlight w:val="none"/>
              </w:rPr>
            </w:pPr>
            <w:r>
              <w:rPr>
                <w:rFonts w:hint="eastAsia" w:ascii="宋体" w:hAnsi="宋体" w:eastAsia="宋体" w:cs="宋体"/>
                <w:kern w:val="2"/>
                <w:sz w:val="21"/>
                <w:szCs w:val="21"/>
                <w:lang w:val="en-US" w:eastAsia="zh-CN" w:bidi="ar-SA"/>
              </w:rPr>
              <w:t>响应折扣依据技术规范书中人工搬运价格表及机械装卸价格表</w:t>
            </w:r>
          </w:p>
        </w:tc>
      </w:tr>
    </w:tbl>
    <w:p w14:paraId="4CE8F0A1">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14:paraId="7762B64A">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1、本项目报价须包含完成采购人要求的与本项目工作相关所产生的所有费用，后期不得增加；</w:t>
      </w:r>
    </w:p>
    <w:p w14:paraId="2B8A623F">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、报价最</w:t>
      </w:r>
      <w:r>
        <w:rPr>
          <w:rFonts w:hint="eastAsia" w:cs="Times New Roman" w:asciiTheme="minorEastAsia" w:hAnsiTheme="minorEastAsia" w:eastAsiaTheme="minorEastAsia"/>
          <w:color w:val="auto"/>
          <w:szCs w:val="21"/>
          <w:highlight w:val="none"/>
        </w:rPr>
        <w:t>多保留两位小数（四舍五入）。</w:t>
      </w:r>
      <w:r>
        <w:rPr>
          <w:rFonts w:hint="eastAsia" w:ascii="宋体" w:hAnsi="宋体"/>
          <w:szCs w:val="21"/>
          <w:highlight w:val="none"/>
        </w:rPr>
        <w:t>供应商</w:t>
      </w:r>
      <w:r>
        <w:rPr>
          <w:rFonts w:hint="eastAsia" w:ascii="宋体" w:hAnsi="宋体"/>
          <w:szCs w:val="21"/>
          <w:highlight w:val="none"/>
          <w:lang w:val="en-US" w:eastAsia="zh-CN"/>
        </w:rPr>
        <w:t>响应</w:t>
      </w:r>
      <w:r>
        <w:rPr>
          <w:rFonts w:hint="eastAsia" w:asciiTheme="minorEastAsia" w:hAnsiTheme="minorEastAsia" w:eastAsiaTheme="minorEastAsia"/>
          <w:highlight w:val="none"/>
        </w:rPr>
        <w:t>报价</w:t>
      </w:r>
      <w:r>
        <w:rPr>
          <w:rFonts w:hint="eastAsia" w:asciiTheme="minorEastAsia" w:hAnsiTheme="minorEastAsia" w:eastAsiaTheme="minorEastAsia"/>
          <w:highlight w:val="none"/>
          <w:lang w:val="en-US" w:eastAsia="zh-CN"/>
        </w:rPr>
        <w:t>折扣</w:t>
      </w:r>
      <w:r>
        <w:rPr>
          <w:rFonts w:hint="eastAsia" w:asciiTheme="minorEastAsia" w:hAnsiTheme="minorEastAsia" w:eastAsiaTheme="minorEastAsia"/>
          <w:highlight w:val="none"/>
        </w:rPr>
        <w:t>按百分比形式填报</w:t>
      </w:r>
      <w:r>
        <w:rPr>
          <w:rFonts w:hint="eastAsia" w:cs="Times New Roman" w:asciiTheme="minorEastAsia" w:hAnsiTheme="minorEastAsia" w:eastAsiaTheme="minorEastAsia"/>
          <w:color w:val="auto"/>
          <w:szCs w:val="21"/>
          <w:highlight w:val="none"/>
        </w:rPr>
        <w:t>。</w:t>
      </w:r>
    </w:p>
    <w:p w14:paraId="48E8A23D">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、根据国家营改增工作要求，</w:t>
      </w:r>
      <w:r>
        <w:rPr>
          <w:rFonts w:hint="eastAsia" w:asciiTheme="minorEastAsia" w:hAnsiTheme="minorEastAsia" w:eastAsiaTheme="minorEastAsia"/>
          <w:b/>
          <w:bCs/>
          <w:color w:val="auto"/>
          <w:szCs w:val="21"/>
          <w:highlight w:val="none"/>
        </w:rPr>
        <w:t>本次采购一般纳税人的增值税税率应为“</w:t>
      </w:r>
      <w:r>
        <w:rPr>
          <w:rFonts w:hint="eastAsia" w:asciiTheme="minorEastAsia" w:hAnsiTheme="minorEastAsia" w:eastAsiaTheme="minorEastAsia"/>
          <w:b/>
          <w:bCs/>
          <w:color w:val="auto"/>
          <w:szCs w:val="21"/>
          <w:highlight w:val="none"/>
          <w:lang w:val="en-US" w:eastAsia="zh-CN"/>
        </w:rPr>
        <w:t>6%</w:t>
      </w:r>
      <w:r>
        <w:rPr>
          <w:rFonts w:hint="eastAsia" w:asciiTheme="minorEastAsia" w:hAnsiTheme="minorEastAsia" w:eastAsiaTheme="minorEastAsia"/>
          <w:b/>
          <w:bCs/>
          <w:color w:val="auto"/>
          <w:szCs w:val="21"/>
          <w:highlight w:val="none"/>
        </w:rPr>
        <w:t>”；如供应商为小规模纳税人，则应填报的税率为“3%”</w:t>
      </w:r>
      <w:r>
        <w:rPr>
          <w:rFonts w:hint="eastAsia" w:asciiTheme="minorEastAsia" w:hAnsiTheme="minorEastAsia" w:eastAsiaTheme="minorEastAsia"/>
          <w:color w:val="auto"/>
          <w:szCs w:val="21"/>
          <w:highlight w:val="none"/>
        </w:rPr>
        <w:t>，如供应商符合《税务总局关于明确增值税小规模纳税人减免增值税等政策的公告》（财政部 税务总局公告2023年第1号）文中减免增值税要求，则从其税率；若供应商所报税率不符合上述要求，按无效响应处理。</w:t>
      </w:r>
    </w:p>
    <w:p w14:paraId="24D41FF0">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4</w:t>
      </w:r>
      <w:r>
        <w:rPr>
          <w:rFonts w:hint="eastAsia" w:asciiTheme="minorEastAsia" w:hAnsiTheme="minorEastAsia" w:eastAsiaTheme="minorEastAsia"/>
          <w:color w:val="auto"/>
          <w:szCs w:val="21"/>
          <w:highlight w:val="none"/>
        </w:rPr>
        <w:t>、供应商必须按报价要求和规定格式填写此表，不得自行修改或删减报价一览表或分项报价表（如有）中的内容及格式。若进行了实质性修改或未进行实质性响应，则按无效响应处理。</w:t>
      </w:r>
    </w:p>
    <w:p w14:paraId="1E9F6F67">
      <w:pPr>
        <w:spacing w:line="44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5</w:t>
      </w:r>
      <w:r>
        <w:rPr>
          <w:rFonts w:hint="eastAsia" w:asciiTheme="minorEastAsia" w:hAnsiTheme="minorEastAsia" w:eastAsiaTheme="minorEastAsia"/>
          <w:color w:val="auto"/>
          <w:szCs w:val="21"/>
          <w:highlight w:val="none"/>
        </w:rPr>
        <w:t>、本项目设置最高响应限价，供应商报价高于最高响应限价的，其响应将被否决。</w:t>
      </w:r>
    </w:p>
    <w:p w14:paraId="79820BA8">
      <w:pPr>
        <w:spacing w:line="440" w:lineRule="exact"/>
        <w:rPr>
          <w:rFonts w:asciiTheme="minorEastAsia" w:hAnsiTheme="minorEastAsia" w:eastAsiaTheme="minorEastAsia"/>
          <w:color w:val="auto"/>
          <w:szCs w:val="21"/>
          <w:highlight w:val="none"/>
        </w:rPr>
      </w:pPr>
    </w:p>
    <w:p w14:paraId="419528C1">
      <w:pPr>
        <w:spacing w:line="440" w:lineRule="exact"/>
        <w:ind w:firstLine="1274" w:firstLineChars="607"/>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供应商名称：</w:t>
      </w:r>
      <w:r>
        <w:rPr>
          <w:rFonts w:hint="eastAsia" w:asciiTheme="minorEastAsia" w:hAnsiTheme="minorEastAsia" w:eastAsiaTheme="minorEastAsia"/>
          <w:color w:val="auto"/>
          <w:sz w:val="21"/>
          <w:szCs w:val="21"/>
          <w:highlight w:val="none"/>
          <w:u w:val="single"/>
        </w:rPr>
        <w:t xml:space="preserve">　　　　　　　　           </w:t>
      </w:r>
    </w:p>
    <w:p w14:paraId="226C093E">
      <w:pPr>
        <w:spacing w:line="440" w:lineRule="exact"/>
        <w:ind w:firstLine="1274" w:firstLineChars="607"/>
        <w:jc w:val="left"/>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bookmarkEnd w:id="813"/>
    <w:bookmarkEnd w:id="814"/>
    <w:bookmarkEnd w:id="815"/>
    <w:bookmarkEnd w:id="816"/>
    <w:p w14:paraId="4618C9F0">
      <w:pPr>
        <w:rPr>
          <w:color w:val="auto"/>
          <w:highlight w:val="none"/>
        </w:rPr>
      </w:pPr>
    </w:p>
    <w:sectPr>
      <w:pgSz w:w="11906" w:h="16838"/>
      <w:pgMar w:top="1417"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02EA12E-F3C0-42EE-82BF-7FBA60B6DA3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embedRegular r:id="rId2" w:fontKey="{211330FE-AA35-44BD-8CF4-0E327188C8A6}"/>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2B45E5C6-7DC6-4D9B-9975-9728641A407E}"/>
  </w:font>
  <w:font w:name="仿宋">
    <w:panose1 w:val="02010609060101010101"/>
    <w:charset w:val="86"/>
    <w:family w:val="modern"/>
    <w:pitch w:val="default"/>
    <w:sig w:usb0="800002BF" w:usb1="38CF7CFA" w:usb2="00000016" w:usb3="00000000" w:csb0="00040001" w:csb1="00000000"/>
    <w:embedRegular r:id="rId4" w:fontKey="{79791075-D68D-4BCD-A9BD-D6AA7058742C}"/>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华文细黑">
    <w:panose1 w:val="02010600040101010101"/>
    <w:charset w:val="86"/>
    <w:family w:val="auto"/>
    <w:pitch w:val="default"/>
    <w:sig w:usb0="00000287" w:usb1="080F0000" w:usb2="00000000" w:usb3="00000000" w:csb0="0004009F" w:csb1="DFD70000"/>
  </w:font>
  <w:font w:name="长城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imesNewRomanPSMT">
    <w:altName w:val="宋体"/>
    <w:panose1 w:val="00000000000000000000"/>
    <w:charset w:val="00"/>
    <w:family w:val="roman"/>
    <w:pitch w:val="default"/>
    <w:sig w:usb0="00000000" w:usb1="00000000" w:usb2="00000010" w:usb3="00000000" w:csb0="00040001" w:csb1="00000000"/>
  </w:font>
  <w:font w:name="方正黑体简体">
    <w:altName w:val="黑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script"/>
    <w:pitch w:val="default"/>
    <w:sig w:usb0="00000000" w:usb1="00000000" w:usb2="00000010" w:usb3="00000000" w:csb0="00040000" w:csb1="00000000"/>
  </w:font>
  <w:font w:name="Microsoft Yahei Font">
    <w:altName w:val="Segoe Print"/>
    <w:panose1 w:val="00000000000000000000"/>
    <w:charset w:val="00"/>
    <w:family w:val="auto"/>
    <w:pitch w:val="default"/>
    <w:sig w:usb0="00000000" w:usb1="00000000" w:usb2="00000000" w:usb3="00000000" w:csb0="00000000" w:csb1="00000000"/>
    <w:embedRegular r:id="rId5" w:fontKey="{898A01BB-BA12-4BB5-BA99-68950BE49B2D}"/>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embedRegular r:id="rId6" w:fontKey="{904AC53F-C715-4AB9-9741-4BA103CE8331}"/>
  </w:font>
  <w:font w:name="方正仿宋_GB2312">
    <w:panose1 w:val="02000000000000000000"/>
    <w:charset w:val="86"/>
    <w:family w:val="auto"/>
    <w:pitch w:val="default"/>
    <w:sig w:usb0="A00002BF" w:usb1="184F6CFA" w:usb2="00000012" w:usb3="00000000" w:csb0="00040001" w:csb1="00000000"/>
    <w:embedRegular r:id="rId7" w:fontKey="{8259C31E-A68A-45A1-B3D8-543F575A2D46}"/>
  </w:font>
  <w:font w:name="方正楷体_GBK">
    <w:altName w:val="微软雅黑"/>
    <w:panose1 w:val="02000000000000000000"/>
    <w:charset w:val="86"/>
    <w:family w:val="script"/>
    <w:pitch w:val="default"/>
    <w:sig w:usb0="00000000" w:usb1="00000000" w:usb2="00082016" w:usb3="00000000" w:csb0="00040001" w:csb1="00000000"/>
    <w:embedRegular r:id="rId8" w:fontKey="{4043865F-B883-40A4-A6DA-25565023D349}"/>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157792"/>
    </w:sdtPr>
    <w:sdtContent>
      <w:p w14:paraId="6718F065">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1002"/>
    </w:sdtPr>
    <w:sdtContent>
      <w:p w14:paraId="1400D64D">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31</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02"/>
    </w:sdtPr>
    <w:sdtContent>
      <w:p w14:paraId="6E62F62B">
        <w:pPr>
          <w:pStyle w:val="50"/>
          <w:jc w:val="center"/>
        </w:pPr>
        <w:r>
          <w:fldChar w:fldCharType="begin"/>
        </w:r>
        <w:r>
          <w:instrText xml:space="preserve">PAGE   \* MERGEFORMAT</w:instrText>
        </w:r>
        <w:r>
          <w:fldChar w:fldCharType="separate"/>
        </w:r>
        <w:r>
          <w:rPr>
            <w:lang w:val="zh-CN"/>
          </w:rPr>
          <w:t>7</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1444734"/>
    </w:sdtPr>
    <w:sdtContent>
      <w:p w14:paraId="5487E24B">
        <w:pPr>
          <w:pStyle w:val="50"/>
          <w:jc w:val="center"/>
        </w:pPr>
        <w:r>
          <w:fldChar w:fldCharType="begin"/>
        </w:r>
        <w:r>
          <w:instrText xml:space="preserve">PAGE   \* MERGEFORMAT</w:instrText>
        </w:r>
        <w:r>
          <w:fldChar w:fldCharType="separate"/>
        </w:r>
        <w:r>
          <w:rPr>
            <w:lang w:val="zh-CN"/>
          </w:rPr>
          <w:t>58</w:t>
        </w:r>
        <w:r>
          <w:fldChar w:fldCharType="end"/>
        </w:r>
      </w:p>
    </w:sdtContent>
  </w:sdt>
  <w:p w14:paraId="53F63C4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E121D">
    <w:pPr>
      <w:pStyle w:val="51"/>
      <w:jc w:val="left"/>
    </w:pPr>
    <w:r>
      <w:rPr>
        <w:sz w:val="18"/>
      </w:rPr>
      <w:pict>
        <v:shape id="PowerPlusWaterMarkObject358237" o:spid="_x0000_s2068" o:spt="136" type="#_x0000_t136" style="position:absolute;left:0pt;height:61.45pt;width:539.8pt;mso-position-horizontal:center;mso-position-horizontal-relative:margin;mso-position-vertical:center;mso-position-vertical-relative:margin;rotation:-2949120f;z-index:-251652096;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CF067">
    <w:pPr>
      <w:pStyle w:val="51"/>
    </w:pPr>
    <w:r>
      <w:pict>
        <v:shape id="PowerPlusWaterMarkObject259948725" o:spid="_x0000_s2049" o:spt="136" type="#_x0000_t136" style="position:absolute;left:0pt;height:53.2pt;width:532.2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763CC">
    <w:pPr>
      <w:pStyle w:val="51"/>
    </w:pPr>
    <w:r>
      <w:pict>
        <v:shape id="PowerPlusWaterMarkObject259948724" o:spid="_x0000_s2051" o:spt="136" type="#_x0000_t136" style="position:absolute;left:0pt;height:53.2pt;width:532.2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6C840">
    <w:pPr>
      <w:pStyle w:val="51"/>
      <w:jc w:val="left"/>
    </w:pPr>
  </w:p>
  <w:p w14:paraId="5C62F917">
    <w:r>
      <w:rPr>
        <w:sz w:val="21"/>
      </w:rPr>
      <w:pict>
        <v:shape id="PowerPlusWaterMarkObject368893" o:spid="_x0000_s2069" o:spt="136" type="#_x0000_t136" style="position:absolute;left:0pt;height:61.45pt;width:539.8pt;mso-position-horizontal:center;mso-position-horizontal-relative:margin;mso-position-vertical:center;mso-position-vertical-relative:margin;rotation:-2949120f;z-index:-251651072;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64CB6E"/>
    <w:multiLevelType w:val="singleLevel"/>
    <w:tmpl w:val="B064CB6E"/>
    <w:lvl w:ilvl="0" w:tentative="0">
      <w:start w:val="1"/>
      <w:numFmt w:val="decimal"/>
      <w:suff w:val="nothing"/>
      <w:lvlText w:val="%1、"/>
      <w:lvlJc w:val="left"/>
    </w:lvl>
  </w:abstractNum>
  <w:abstractNum w:abstractNumId="1">
    <w:nsid w:val="B6CB9648"/>
    <w:multiLevelType w:val="singleLevel"/>
    <w:tmpl w:val="B6CB9648"/>
    <w:lvl w:ilvl="0" w:tentative="0">
      <w:start w:val="1"/>
      <w:numFmt w:val="decimal"/>
      <w:lvlText w:val="%1."/>
      <w:lvlJc w:val="left"/>
      <w:pPr>
        <w:tabs>
          <w:tab w:val="left" w:pos="312"/>
        </w:tabs>
      </w:pPr>
    </w:lvl>
  </w:abstractNum>
  <w:abstractNum w:abstractNumId="2">
    <w:nsid w:val="FFFFFF83"/>
    <w:multiLevelType w:val="singleLevel"/>
    <w:tmpl w:val="FFFFFF83"/>
    <w:lvl w:ilvl="0" w:tentative="0">
      <w:start w:val="1"/>
      <w:numFmt w:val="bullet"/>
      <w:pStyle w:val="36"/>
      <w:lvlText w:val=""/>
      <w:lvlJc w:val="left"/>
      <w:pPr>
        <w:tabs>
          <w:tab w:val="left" w:pos="780"/>
        </w:tabs>
        <w:ind w:left="780" w:leftChars="200" w:hanging="360" w:hangingChars="200"/>
      </w:pPr>
      <w:rPr>
        <w:rFonts w:hint="default" w:ascii="Wingdings" w:hAnsi="Wingdings"/>
      </w:rPr>
    </w:lvl>
  </w:abstractNum>
  <w:abstractNum w:abstractNumId="3">
    <w:nsid w:val="00000002"/>
    <w:multiLevelType w:val="multilevel"/>
    <w:tmpl w:val="00000002"/>
    <w:lvl w:ilvl="0" w:tentative="0">
      <w:start w:val="1"/>
      <w:numFmt w:val="chineseCountingThousand"/>
      <w:suff w:val="nothing"/>
      <w:lvlText w:val="第%1部分  "/>
      <w:lvlJc w:val="left"/>
      <w:pPr>
        <w:ind w:left="9050" w:hanging="954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chineseCountingThousand"/>
      <w:suff w:val="nothing"/>
      <w:lvlText w:val="%2、"/>
      <w:lvlJc w:val="left"/>
      <w:pPr>
        <w:ind w:left="230" w:firstLine="0"/>
      </w:pPr>
      <w:rPr>
        <w:rFonts w:hint="eastAsia"/>
      </w:rPr>
    </w:lvl>
    <w:lvl w:ilvl="2" w:tentative="0">
      <w:start w:val="1"/>
      <w:numFmt w:val="decimal"/>
      <w:suff w:val="nothing"/>
      <w:lvlText w:val="%3、  "/>
      <w:lvlJc w:val="left"/>
      <w:pPr>
        <w:ind w:left="230" w:firstLine="0"/>
      </w:pPr>
      <w:rPr>
        <w:rFonts w:hint="eastAsia"/>
      </w:rPr>
    </w:lvl>
    <w:lvl w:ilvl="3" w:tentative="0">
      <w:start w:val="1"/>
      <w:numFmt w:val="decimal"/>
      <w:pStyle w:val="672"/>
      <w:lvlText w:val="%3.%4、"/>
      <w:lvlJc w:val="left"/>
      <w:pPr>
        <w:tabs>
          <w:tab w:val="left" w:pos="290"/>
        </w:tabs>
        <w:ind w:left="290" w:hanging="420"/>
      </w:pPr>
      <w:rPr>
        <w:rFonts w:hint="eastAsia"/>
      </w:rPr>
    </w:lvl>
    <w:lvl w:ilvl="4" w:tentative="0">
      <w:start w:val="1"/>
      <w:numFmt w:val="chineseCountingThousand"/>
      <w:lvlText w:val="(%5)"/>
      <w:lvlJc w:val="left"/>
      <w:pPr>
        <w:tabs>
          <w:tab w:val="left" w:pos="-70"/>
        </w:tabs>
        <w:ind w:left="-70" w:hanging="42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suff w:val="nothing"/>
      <w:lvlText w:val="%6%5"/>
      <w:lvlJc w:val="left"/>
      <w:pPr>
        <w:ind w:left="-490" w:firstLine="0"/>
      </w:pPr>
      <w:rPr>
        <w:rFonts w:hint="eastAsia"/>
      </w:rPr>
    </w:lvl>
    <w:lvl w:ilvl="6" w:tentative="0">
      <w:start w:val="1"/>
      <w:numFmt w:val="none"/>
      <w:suff w:val="nothing"/>
      <w:lvlText w:val=""/>
      <w:lvlJc w:val="left"/>
      <w:pPr>
        <w:ind w:left="-490" w:firstLine="0"/>
      </w:pPr>
      <w:rPr>
        <w:rFonts w:hint="eastAsia"/>
      </w:rPr>
    </w:lvl>
    <w:lvl w:ilvl="7" w:tentative="0">
      <w:start w:val="1"/>
      <w:numFmt w:val="none"/>
      <w:suff w:val="nothing"/>
      <w:lvlText w:val=""/>
      <w:lvlJc w:val="left"/>
      <w:pPr>
        <w:ind w:left="-490" w:firstLine="0"/>
      </w:pPr>
      <w:rPr>
        <w:rFonts w:hint="eastAsia"/>
      </w:rPr>
    </w:lvl>
    <w:lvl w:ilvl="8" w:tentative="0">
      <w:start w:val="1"/>
      <w:numFmt w:val="none"/>
      <w:suff w:val="nothing"/>
      <w:lvlText w:val=""/>
      <w:lvlJc w:val="left"/>
      <w:pPr>
        <w:ind w:left="-490" w:firstLine="0"/>
      </w:pPr>
      <w:rPr>
        <w:rFonts w:hint="eastAsia"/>
      </w:rPr>
    </w:lvl>
  </w:abstractNum>
  <w:abstractNum w:abstractNumId="4">
    <w:nsid w:val="00000046"/>
    <w:multiLevelType w:val="singleLevel"/>
    <w:tmpl w:val="00000046"/>
    <w:lvl w:ilvl="0" w:tentative="0">
      <w:start w:val="1"/>
      <w:numFmt w:val="bullet"/>
      <w:pStyle w:val="671"/>
      <w:lvlText w:val=""/>
      <w:lvlJc w:val="left"/>
      <w:pPr>
        <w:tabs>
          <w:tab w:val="left" w:pos="360"/>
        </w:tabs>
        <w:ind w:left="360" w:hanging="360"/>
      </w:pPr>
      <w:rPr>
        <w:rFonts w:hint="default" w:ascii="Wingdings" w:hAnsi="Wingdings"/>
      </w:rPr>
    </w:lvl>
  </w:abstractNum>
  <w:abstractNum w:abstractNumId="5">
    <w:nsid w:val="04D50113"/>
    <w:multiLevelType w:val="multilevel"/>
    <w:tmpl w:val="04D50113"/>
    <w:lvl w:ilvl="0" w:tentative="0">
      <w:start w:val="1"/>
      <w:numFmt w:val="decimal"/>
      <w:pStyle w:val="569"/>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56D5293"/>
    <w:multiLevelType w:val="multilevel"/>
    <w:tmpl w:val="056D5293"/>
    <w:lvl w:ilvl="0" w:tentative="0">
      <w:start w:val="1"/>
      <w:numFmt w:val="bullet"/>
      <w:lvlText w:val=""/>
      <w:lvlJc w:val="left"/>
      <w:pPr>
        <w:ind w:left="840" w:hanging="420"/>
      </w:pPr>
      <w:rPr>
        <w:rFonts w:hint="default" w:ascii="Wingdings" w:hAnsi="Wingdings"/>
      </w:rPr>
    </w:lvl>
    <w:lvl w:ilvl="1" w:tentative="0">
      <w:start w:val="1"/>
      <w:numFmt w:val="bullet"/>
      <w:pStyle w:val="392"/>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8">
    <w:nsid w:val="061F7D56"/>
    <w:multiLevelType w:val="multilevel"/>
    <w:tmpl w:val="061F7D56"/>
    <w:lvl w:ilvl="0" w:tentative="0">
      <w:start w:val="1"/>
      <w:numFmt w:val="decimal"/>
      <w:lvlText w:val="%1)"/>
      <w:lvlJc w:val="left"/>
      <w:pPr>
        <w:ind w:left="900" w:hanging="420"/>
      </w:pPr>
      <w:rPr>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pStyle w:val="619"/>
      <w:lvlText w:val="%5)"/>
      <w:lvlJc w:val="left"/>
      <w:pPr>
        <w:ind w:left="2580" w:hanging="420"/>
      </w:pPr>
    </w:lvl>
    <w:lvl w:ilvl="5" w:tentative="0">
      <w:start w:val="1"/>
      <w:numFmt w:val="lowerRoman"/>
      <w:pStyle w:val="636"/>
      <w:lvlText w:val="%6."/>
      <w:lvlJc w:val="right"/>
      <w:pPr>
        <w:ind w:left="3000" w:hanging="420"/>
      </w:pPr>
    </w:lvl>
    <w:lvl w:ilvl="6" w:tentative="0">
      <w:start w:val="1"/>
      <w:numFmt w:val="decimal"/>
      <w:pStyle w:val="639"/>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0F3EE576"/>
    <w:multiLevelType w:val="singleLevel"/>
    <w:tmpl w:val="0F3EE576"/>
    <w:lvl w:ilvl="0" w:tentative="0">
      <w:start w:val="1"/>
      <w:numFmt w:val="chineseCounting"/>
      <w:suff w:val="nothing"/>
      <w:lvlText w:val="%1、"/>
      <w:lvlJc w:val="left"/>
      <w:rPr>
        <w:rFonts w:hint="eastAsia"/>
      </w:rPr>
    </w:lvl>
  </w:abstractNum>
  <w:abstractNum w:abstractNumId="10">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12F16C64"/>
    <w:multiLevelType w:val="multilevel"/>
    <w:tmpl w:val="12F16C64"/>
    <w:lvl w:ilvl="0" w:tentative="0">
      <w:start w:val="1"/>
      <w:numFmt w:val="bullet"/>
      <w:pStyle w:val="372"/>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154A6C66"/>
    <w:multiLevelType w:val="multilevel"/>
    <w:tmpl w:val="154A6C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82D19A0"/>
    <w:multiLevelType w:val="multilevel"/>
    <w:tmpl w:val="182D19A0"/>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68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4">
    <w:nsid w:val="1FED7CF5"/>
    <w:multiLevelType w:val="multilevel"/>
    <w:tmpl w:val="1FED7CF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24CA0FA1"/>
    <w:multiLevelType w:val="multilevel"/>
    <w:tmpl w:val="24CA0FA1"/>
    <w:lvl w:ilvl="0" w:tentative="0">
      <w:start w:val="1"/>
      <w:numFmt w:val="decimal"/>
      <w:pStyle w:val="42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pStyle w:val="623"/>
      <w:lvlText w:val="%7."/>
      <w:lvlJc w:val="left"/>
      <w:pPr>
        <w:ind w:left="3420" w:hanging="420"/>
      </w:pPr>
    </w:lvl>
    <w:lvl w:ilvl="7" w:tentative="0">
      <w:start w:val="1"/>
      <w:numFmt w:val="lowerLetter"/>
      <w:pStyle w:val="611"/>
      <w:lvlText w:val="%8)"/>
      <w:lvlJc w:val="left"/>
      <w:pPr>
        <w:ind w:left="3840" w:hanging="420"/>
      </w:pPr>
    </w:lvl>
    <w:lvl w:ilvl="8" w:tentative="0">
      <w:start w:val="1"/>
      <w:numFmt w:val="lowerRoman"/>
      <w:pStyle w:val="662"/>
      <w:lvlText w:val="%9."/>
      <w:lvlJc w:val="right"/>
      <w:pPr>
        <w:ind w:left="4260" w:hanging="420"/>
      </w:pPr>
    </w:lvl>
  </w:abstractNum>
  <w:abstractNum w:abstractNumId="16">
    <w:nsid w:val="24D774CB"/>
    <w:multiLevelType w:val="multilevel"/>
    <w:tmpl w:val="24D774CB"/>
    <w:lvl w:ilvl="0" w:tentative="0">
      <w:start w:val="1"/>
      <w:numFmt w:val="decimal"/>
      <w:lvlText w:val="第%1节."/>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677"/>
      <w:lvlText w:val="%1.%2.%3.%4.%5."/>
      <w:lvlJc w:val="left"/>
      <w:pPr>
        <w:tabs>
          <w:tab w:val="left" w:pos="992"/>
        </w:tabs>
        <w:ind w:left="992" w:hanging="992"/>
      </w:pPr>
      <w:rPr>
        <w:rFonts w:hint="eastAsia"/>
      </w:rPr>
    </w:lvl>
    <w:lvl w:ilvl="5" w:tentative="0">
      <w:start w:val="1"/>
      <w:numFmt w:val="decimal"/>
      <w:pStyle w:val="678"/>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7">
    <w:nsid w:val="26694C0E"/>
    <w:multiLevelType w:val="multilevel"/>
    <w:tmpl w:val="26694C0E"/>
    <w:lvl w:ilvl="0" w:tentative="0">
      <w:start w:val="1"/>
      <w:numFmt w:val="bullet"/>
      <w:pStyle w:val="371"/>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267D30CE"/>
    <w:multiLevelType w:val="multilevel"/>
    <w:tmpl w:val="267D30CE"/>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A172C1B"/>
    <w:multiLevelType w:val="singleLevel"/>
    <w:tmpl w:val="2A172C1B"/>
    <w:lvl w:ilvl="0" w:tentative="0">
      <w:start w:val="4"/>
      <w:numFmt w:val="chineseCounting"/>
      <w:suff w:val="space"/>
      <w:lvlText w:val="第%1章"/>
      <w:lvlJc w:val="left"/>
      <w:rPr>
        <w:rFonts w:hint="eastAsia"/>
      </w:rPr>
    </w:lvl>
  </w:abstractNum>
  <w:abstractNum w:abstractNumId="20">
    <w:nsid w:val="2AA957BB"/>
    <w:multiLevelType w:val="multilevel"/>
    <w:tmpl w:val="2AA957BB"/>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292"/>
      </w:pPr>
      <w:rPr>
        <w:rFonts w:hint="eastAsia"/>
      </w:rPr>
    </w:lvl>
    <w:lvl w:ilvl="2" w:tentative="0">
      <w:start w:val="1"/>
      <w:numFmt w:val="decimal"/>
      <w:lvlText w:val="%1.%2.%3"/>
      <w:lvlJc w:val="left"/>
      <w:pPr>
        <w:tabs>
          <w:tab w:val="left" w:pos="720"/>
        </w:tabs>
        <w:ind w:left="720" w:hanging="153"/>
      </w:pPr>
      <w:rPr>
        <w:rFonts w:hint="eastAsia"/>
      </w:rPr>
    </w:lvl>
    <w:lvl w:ilvl="3" w:tentative="0">
      <w:start w:val="1"/>
      <w:numFmt w:val="bullet"/>
      <w:pStyle w:val="357"/>
      <w:lvlText w:val=""/>
      <w:lvlJc w:val="left"/>
      <w:pPr>
        <w:tabs>
          <w:tab w:val="left" w:pos="1271"/>
        </w:tabs>
        <w:ind w:left="1271" w:hanging="420"/>
      </w:pPr>
      <w:rPr>
        <w:rFonts w:hint="default" w:ascii="Wingdings" w:hAnsi="Wingdings"/>
      </w:rPr>
    </w:lvl>
    <w:lvl w:ilvl="4" w:tentative="0">
      <w:start w:val="1"/>
      <w:numFmt w:val="decimal"/>
      <w:lvlText w:val="%1.%2.%3.%4.%5"/>
      <w:lvlJc w:val="left"/>
      <w:pPr>
        <w:tabs>
          <w:tab w:val="left" w:pos="1008"/>
        </w:tabs>
        <w:ind w:left="1008" w:firstLine="126"/>
      </w:pPr>
      <w:rPr>
        <w:rFonts w:hint="eastAsia"/>
        <w:b/>
      </w:rPr>
    </w:lvl>
    <w:lvl w:ilvl="5" w:tentative="0">
      <w:start w:val="1"/>
      <w:numFmt w:val="decimal"/>
      <w:lvlText w:val="%1.%2.%3.%4.%5.%6"/>
      <w:lvlJc w:val="left"/>
      <w:pPr>
        <w:tabs>
          <w:tab w:val="left" w:pos="1152"/>
        </w:tabs>
        <w:ind w:left="1152" w:firstLine="266"/>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1">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2EEA77EA"/>
    <w:multiLevelType w:val="multilevel"/>
    <w:tmpl w:val="2EEA77EA"/>
    <w:lvl w:ilvl="0" w:tentative="0">
      <w:start w:val="1"/>
      <w:numFmt w:val="decimal"/>
      <w:pStyle w:val="21"/>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31442E6F"/>
    <w:multiLevelType w:val="multilevel"/>
    <w:tmpl w:val="31442E6F"/>
    <w:lvl w:ilvl="0" w:tentative="0">
      <w:start w:val="1"/>
      <w:numFmt w:val="lowerLetter"/>
      <w:pStyle w:val="46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35040E8B"/>
    <w:multiLevelType w:val="multilevel"/>
    <w:tmpl w:val="35040E8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3C1A7CF4"/>
    <w:multiLevelType w:val="multilevel"/>
    <w:tmpl w:val="3C1A7CF4"/>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3D9D72B6"/>
    <w:multiLevelType w:val="multilevel"/>
    <w:tmpl w:val="3D9D72B6"/>
    <w:lvl w:ilvl="0" w:tentative="0">
      <w:start w:val="1"/>
      <w:numFmt w:val="decimal"/>
      <w:lvlText w:val="%1、"/>
      <w:lvlJc w:val="left"/>
      <w:pPr>
        <w:tabs>
          <w:tab w:val="left" w:pos="495"/>
        </w:tabs>
        <w:ind w:left="495" w:hanging="495"/>
      </w:pPr>
      <w:rPr>
        <w:rFonts w:ascii="Calibri" w:hAnsi="Calibri" w:eastAsia="宋体" w:cs="Times New Roman"/>
      </w:rPr>
    </w:lvl>
    <w:lvl w:ilvl="1" w:tentative="0">
      <w:start w:val="4"/>
      <w:numFmt w:val="decimal"/>
      <w:lvlText w:val="%1.%2"/>
      <w:lvlJc w:val="left"/>
      <w:pPr>
        <w:tabs>
          <w:tab w:val="left" w:pos="495"/>
        </w:tabs>
        <w:ind w:left="495" w:hanging="49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396"/>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27">
    <w:nsid w:val="3E9B7F1A"/>
    <w:multiLevelType w:val="multilevel"/>
    <w:tmpl w:val="3E9B7F1A"/>
    <w:lvl w:ilvl="0" w:tentative="0">
      <w:start w:val="1"/>
      <w:numFmt w:val="bullet"/>
      <w:pStyle w:val="374"/>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8">
    <w:nsid w:val="3FC7786C"/>
    <w:multiLevelType w:val="multilevel"/>
    <w:tmpl w:val="3FC7786C"/>
    <w:lvl w:ilvl="0" w:tentative="0">
      <w:start w:val="1"/>
      <w:numFmt w:val="lowerLetter"/>
      <w:lvlText w:val="%1)"/>
      <w:lvlJc w:val="left"/>
      <w:pPr>
        <w:ind w:left="900" w:hanging="420"/>
      </w:pPr>
    </w:lvl>
    <w:lvl w:ilvl="1" w:tentative="0">
      <w:start w:val="1"/>
      <w:numFmt w:val="lowerLetter"/>
      <w:pStyle w:val="624"/>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403447D4"/>
    <w:multiLevelType w:val="multilevel"/>
    <w:tmpl w:val="403447D4"/>
    <w:lvl w:ilvl="0" w:tentative="0">
      <w:start w:val="1"/>
      <w:numFmt w:val="lowerLetter"/>
      <w:pStyle w:val="630"/>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472A5C44"/>
    <w:multiLevelType w:val="multilevel"/>
    <w:tmpl w:val="472A5C4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pStyle w:val="616"/>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3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133"/>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3">
    <w:nsid w:val="53F359B1"/>
    <w:multiLevelType w:val="multilevel"/>
    <w:tmpl w:val="53F359B1"/>
    <w:lvl w:ilvl="0" w:tentative="0">
      <w:start w:val="1"/>
      <w:numFmt w:val="bullet"/>
      <w:pStyle w:val="19"/>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4">
    <w:nsid w:val="553F243A"/>
    <w:multiLevelType w:val="multilevel"/>
    <w:tmpl w:val="553F243A"/>
    <w:lvl w:ilvl="0" w:tentative="0">
      <w:start w:val="1"/>
      <w:numFmt w:val="decimal"/>
      <w:pStyle w:val="185"/>
      <w:suff w:val="nothing"/>
      <w:lvlText w:val="%1    "/>
      <w:lvlJc w:val="left"/>
      <w:pPr>
        <w:ind w:left="432" w:hanging="432"/>
      </w:pPr>
      <w:rPr>
        <w:rFonts w:hint="default" w:ascii="Times New Roman" w:hAnsi="Times New Roman" w:eastAsia="宋体"/>
        <w:b/>
        <w:i w:val="0"/>
      </w:rPr>
    </w:lvl>
    <w:lvl w:ilvl="1" w:tentative="0">
      <w:start w:val="1"/>
      <w:numFmt w:val="decimal"/>
      <w:pStyle w:val="186"/>
      <w:suff w:val="nothing"/>
      <w:lvlText w:val="%1.%2    "/>
      <w:lvlJc w:val="left"/>
      <w:pPr>
        <w:ind w:left="576" w:hanging="576"/>
      </w:pPr>
      <w:rPr>
        <w:rFonts w:hint="default" w:ascii="Times New Roman" w:hAnsi="Times New Roman" w:eastAsia="宋体"/>
        <w:b/>
        <w:i w:val="0"/>
      </w:rPr>
    </w:lvl>
    <w:lvl w:ilvl="2" w:tentative="0">
      <w:start w:val="1"/>
      <w:numFmt w:val="decimal"/>
      <w:suff w:val="nothing"/>
      <w:lvlText w:val="%1.%2.%3    "/>
      <w:lvlJc w:val="left"/>
      <w:pPr>
        <w:ind w:left="2340" w:hanging="720"/>
      </w:pPr>
      <w:rPr>
        <w:rFonts w:hint="default" w:ascii="Times New Roman" w:hAnsi="Times New Roman" w:eastAsia="宋体"/>
      </w:rPr>
    </w:lvl>
    <w:lvl w:ilvl="3" w:tentative="0">
      <w:start w:val="1"/>
      <w:numFmt w:val="decimal"/>
      <w:suff w:val="nothing"/>
      <w:lvlText w:val="%1.%2.%3.%4    "/>
      <w:lvlJc w:val="left"/>
      <w:pPr>
        <w:ind w:left="864" w:hanging="864"/>
      </w:pPr>
      <w:rPr>
        <w:rFonts w:hint="default" w:ascii="Times New Roman" w:hAnsi="Times New Roman" w:eastAsia="宋体"/>
        <w:b w:val="0"/>
        <w:i w:val="0"/>
        <w:sz w:val="24"/>
        <w:szCs w:val="24"/>
      </w:rPr>
    </w:lvl>
    <w:lvl w:ilvl="4" w:tentative="0">
      <w:start w:val="1"/>
      <w:numFmt w:val="decimal"/>
      <w:suff w:val="nothing"/>
      <w:lvlText w:val="%1.%2.%3.%4.%5  "/>
      <w:lvlJc w:val="left"/>
      <w:pPr>
        <w:ind w:left="1008" w:hanging="1008"/>
      </w:pPr>
      <w:rPr>
        <w:rFonts w:hint="eastAsia"/>
      </w:rPr>
    </w:lvl>
    <w:lvl w:ilvl="5" w:tentative="0">
      <w:start w:val="1"/>
      <w:numFmt w:val="decimal"/>
      <w:lvlRestart w:val="2"/>
      <w:suff w:val="nothing"/>
      <w:lvlText w:val="图%1.%2-%6    "/>
      <w:lvlJc w:val="left"/>
      <w:pPr>
        <w:ind w:left="1152" w:hanging="1152"/>
      </w:pPr>
      <w:rPr>
        <w:rFonts w:hint="default" w:ascii="Times New Roman" w:hAnsi="Times New Roman" w:eastAsia="宋体"/>
      </w:rPr>
    </w:lvl>
    <w:lvl w:ilvl="6" w:tentative="0">
      <w:start w:val="1"/>
      <w:numFmt w:val="decimal"/>
      <w:lvlRestart w:val="2"/>
      <w:suff w:val="nothing"/>
      <w:lvlText w:val="表%1.%2-%7    "/>
      <w:lvlJc w:val="left"/>
      <w:pPr>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5">
    <w:nsid w:val="58E8074C"/>
    <w:multiLevelType w:val="multilevel"/>
    <w:tmpl w:val="58E8074C"/>
    <w:lvl w:ilvl="0" w:tentative="0">
      <w:start w:val="1"/>
      <w:numFmt w:val="decimal"/>
      <w:pStyle w:val="687"/>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6">
    <w:nsid w:val="63335EB9"/>
    <w:multiLevelType w:val="multilevel"/>
    <w:tmpl w:val="63335EB9"/>
    <w:lvl w:ilvl="0" w:tentative="0">
      <w:start w:val="1"/>
      <w:numFmt w:val="bullet"/>
      <w:pStyle w:val="3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7">
    <w:nsid w:val="63DE7ADE"/>
    <w:multiLevelType w:val="multilevel"/>
    <w:tmpl w:val="63DE7ADE"/>
    <w:lvl w:ilvl="0" w:tentative="0">
      <w:start w:val="1"/>
      <w:numFmt w:val="decimal"/>
      <w:lvlText w:val="%1."/>
      <w:lvlJc w:val="left"/>
      <w:pPr>
        <w:ind w:left="63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8">
    <w:nsid w:val="64FB4BFD"/>
    <w:multiLevelType w:val="multilevel"/>
    <w:tmpl w:val="64FB4BF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69958D2"/>
    <w:multiLevelType w:val="multilevel"/>
    <w:tmpl w:val="669958D2"/>
    <w:lvl w:ilvl="0" w:tentative="0">
      <w:start w:val="1"/>
      <w:numFmt w:val="decimal"/>
      <w:pStyle w:val="57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67562C2F"/>
    <w:multiLevelType w:val="multilevel"/>
    <w:tmpl w:val="67562C2F"/>
    <w:lvl w:ilvl="0" w:tentative="0">
      <w:start w:val="1"/>
      <w:numFmt w:val="decimal"/>
      <w:lvlText w:val="%1."/>
      <w:lvlJc w:val="left"/>
      <w:pPr>
        <w:ind w:left="900" w:hanging="420"/>
      </w:pPr>
    </w:lvl>
    <w:lvl w:ilvl="1" w:tentative="0">
      <w:start w:val="1"/>
      <w:numFmt w:val="lowerLetter"/>
      <w:pStyle w:val="602"/>
      <w:lvlText w:val="%2)"/>
      <w:lvlJc w:val="left"/>
      <w:pPr>
        <w:ind w:left="1320" w:hanging="420"/>
      </w:pPr>
    </w:lvl>
    <w:lvl w:ilvl="2" w:tentative="0">
      <w:start w:val="1"/>
      <w:numFmt w:val="lowerRoman"/>
      <w:pStyle w:val="610"/>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69DF544E"/>
    <w:multiLevelType w:val="multilevel"/>
    <w:tmpl w:val="69DF544E"/>
    <w:lvl w:ilvl="0" w:tentative="0">
      <w:start w:val="1"/>
      <w:numFmt w:val="bullet"/>
      <w:pStyle w:val="397"/>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3">
    <w:nsid w:val="6AB026BF"/>
    <w:multiLevelType w:val="multilevel"/>
    <w:tmpl w:val="6AB026BF"/>
    <w:lvl w:ilvl="0" w:tentative="0">
      <w:start w:val="1"/>
      <w:numFmt w:val="bullet"/>
      <w:pStyle w:val="4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4">
    <w:nsid w:val="6CEA2025"/>
    <w:multiLevelType w:val="multilevel"/>
    <w:tmpl w:val="6CEA2025"/>
    <w:lvl w:ilvl="0" w:tentative="0">
      <w:start w:val="1"/>
      <w:numFmt w:val="none"/>
      <w:pStyle w:val="351"/>
      <w:suff w:val="nothing"/>
      <w:lvlText w:val="%1"/>
      <w:lvlJc w:val="left"/>
      <w:pPr>
        <w:ind w:left="0" w:firstLine="0"/>
      </w:pPr>
      <w:rPr>
        <w:rFonts w:hint="default" w:ascii="Times New Roman" w:hAnsi="Times New Roman"/>
        <w:b/>
        <w:i w:val="0"/>
        <w:sz w:val="21"/>
      </w:rPr>
    </w:lvl>
    <w:lvl w:ilvl="1" w:tentative="0">
      <w:start w:val="1"/>
      <w:numFmt w:val="decimal"/>
      <w:pStyle w:val="342"/>
      <w:suff w:val="nothing"/>
      <w:lvlText w:val="%1%2　"/>
      <w:lvlJc w:val="left"/>
      <w:pPr>
        <w:ind w:left="180" w:firstLine="0"/>
      </w:pPr>
      <w:rPr>
        <w:rFonts w:hint="eastAsia" w:ascii="黑体" w:hAnsi="Times New Roman" w:eastAsia="黑体"/>
        <w:b/>
        <w:i w:val="0"/>
        <w:sz w:val="24"/>
        <w:szCs w:val="24"/>
      </w:rPr>
    </w:lvl>
    <w:lvl w:ilvl="2" w:tentative="0">
      <w:start w:val="1"/>
      <w:numFmt w:val="decimal"/>
      <w:pStyle w:val="341"/>
      <w:suff w:val="nothing"/>
      <w:lvlText w:val="%1%2.%3　"/>
      <w:lvlJc w:val="left"/>
      <w:pPr>
        <w:ind w:left="720" w:firstLine="0"/>
      </w:pPr>
      <w:rPr>
        <w:rFonts w:hint="eastAsia" w:ascii="黑体" w:hAnsi="Times New Roman" w:eastAsia="黑体"/>
        <w:b w:val="0"/>
        <w:i w:val="0"/>
        <w:sz w:val="21"/>
      </w:rPr>
    </w:lvl>
    <w:lvl w:ilvl="3" w:tentative="0">
      <w:start w:val="1"/>
      <w:numFmt w:val="decimal"/>
      <w:pStyle w:val="340"/>
      <w:suff w:val="nothing"/>
      <w:lvlText w:val="%1%2.4.%4　"/>
      <w:lvlJc w:val="left"/>
      <w:pPr>
        <w:ind w:left="420" w:firstLine="0"/>
      </w:pPr>
      <w:rPr>
        <w:rFonts w:hint="eastAsia" w:ascii="黑体" w:hAnsi="Times New Roman" w:eastAsia="黑体"/>
        <w:b w:val="0"/>
        <w:i w:val="0"/>
        <w:sz w:val="21"/>
      </w:rPr>
    </w:lvl>
    <w:lvl w:ilvl="4" w:tentative="0">
      <w:start w:val="1"/>
      <w:numFmt w:val="decimal"/>
      <w:pStyle w:val="339"/>
      <w:suff w:val="nothing"/>
      <w:lvlText w:val="5.%12.5.%5　"/>
      <w:lvlJc w:val="left"/>
      <w:pPr>
        <w:ind w:left="420" w:firstLine="0"/>
      </w:pPr>
      <w:rPr>
        <w:rFonts w:hint="eastAsia" w:ascii="黑体" w:hAnsi="Times New Roman" w:eastAsia="黑体"/>
        <w:b w:val="0"/>
        <w:i w:val="0"/>
        <w:sz w:val="21"/>
      </w:rPr>
    </w:lvl>
    <w:lvl w:ilvl="5" w:tentative="0">
      <w:start w:val="1"/>
      <w:numFmt w:val="decimal"/>
      <w:pStyle w:val="344"/>
      <w:suff w:val="nothing"/>
      <w:lvlText w:val="%1%2.%3.%4.%5.%6　"/>
      <w:lvlJc w:val="left"/>
      <w:pPr>
        <w:ind w:left="0" w:firstLine="0"/>
      </w:pPr>
      <w:rPr>
        <w:rFonts w:hint="eastAsia" w:ascii="黑体" w:hAnsi="Times New Roman" w:eastAsia="黑体"/>
        <w:b w:val="0"/>
        <w:i w:val="0"/>
        <w:sz w:val="21"/>
      </w:rPr>
    </w:lvl>
    <w:lvl w:ilvl="6" w:tentative="0">
      <w:start w:val="1"/>
      <w:numFmt w:val="decimal"/>
      <w:pStyle w:val="36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5">
    <w:nsid w:val="76C07F7C"/>
    <w:multiLevelType w:val="multilevel"/>
    <w:tmpl w:val="76C07F7C"/>
    <w:lvl w:ilvl="0" w:tentative="0">
      <w:start w:val="1"/>
      <w:numFmt w:val="bullet"/>
      <w:pStyle w:val="401"/>
      <w:lvlText w:val=""/>
      <w:lvlJc w:val="left"/>
      <w:pPr>
        <w:tabs>
          <w:tab w:val="left" w:pos="851"/>
        </w:tabs>
        <w:ind w:left="851" w:hanging="346"/>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6">
    <w:nsid w:val="7CFF1DD7"/>
    <w:multiLevelType w:val="multilevel"/>
    <w:tmpl w:val="7CFF1DD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7F2D4821"/>
    <w:multiLevelType w:val="multilevel"/>
    <w:tmpl w:val="7F2D4821"/>
    <w:lvl w:ilvl="0" w:tentative="0">
      <w:start w:val="1"/>
      <w:numFmt w:val="decimal"/>
      <w:pStyle w:val="65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8">
    <w:nsid w:val="7FA36634"/>
    <w:multiLevelType w:val="multilevel"/>
    <w:tmpl w:val="7FA3663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7FBB6BBD"/>
    <w:multiLevelType w:val="multilevel"/>
    <w:tmpl w:val="7FBB6BBD"/>
    <w:lvl w:ilvl="0" w:tentative="0">
      <w:start w:val="1"/>
      <w:numFmt w:val="decimal"/>
      <w:pStyle w:val="196"/>
      <w:lvlText w:val="图%1"/>
      <w:lvlJc w:val="center"/>
      <w:pPr>
        <w:tabs>
          <w:tab w:val="left" w:pos="1701"/>
        </w:tabs>
        <w:ind w:left="1701" w:hanging="340"/>
      </w:pPr>
      <w:rPr>
        <w:rFonts w:hint="eastAsia" w:ascii="Times New Roman" w:hAnsi="Times New Roman"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3"/>
  </w:num>
  <w:num w:numId="2">
    <w:abstractNumId w:val="22"/>
  </w:num>
  <w:num w:numId="3">
    <w:abstractNumId w:val="36"/>
  </w:num>
  <w:num w:numId="4">
    <w:abstractNumId w:val="2"/>
  </w:num>
  <w:num w:numId="5">
    <w:abstractNumId w:val="43"/>
  </w:num>
  <w:num w:numId="6">
    <w:abstractNumId w:val="32"/>
  </w:num>
  <w:num w:numId="7">
    <w:abstractNumId w:val="34"/>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0"/>
  </w:num>
  <w:num w:numId="11">
    <w:abstractNumId w:val="17"/>
  </w:num>
  <w:num w:numId="12">
    <w:abstractNumId w:val="11"/>
  </w:num>
  <w:num w:numId="13">
    <w:abstractNumId w:val="27"/>
  </w:num>
  <w:num w:numId="14">
    <w:abstractNumId w:val="6"/>
  </w:num>
  <w:num w:numId="15">
    <w:abstractNumId w:val="26"/>
  </w:num>
  <w:num w:numId="16">
    <w:abstractNumId w:val="42"/>
  </w:num>
  <w:num w:numId="17">
    <w:abstractNumId w:val="45"/>
  </w:num>
  <w:num w:numId="18">
    <w:abstractNumId w:val="15"/>
  </w:num>
  <w:num w:numId="19">
    <w:abstractNumId w:val="23"/>
  </w:num>
  <w:num w:numId="20">
    <w:abstractNumId w:val="5"/>
  </w:num>
  <w:num w:numId="21">
    <w:abstractNumId w:val="39"/>
  </w:num>
  <w:num w:numId="22">
    <w:abstractNumId w:val="41"/>
  </w:num>
  <w:num w:numId="23">
    <w:abstractNumId w:val="30"/>
  </w:num>
  <w:num w:numId="24">
    <w:abstractNumId w:val="8"/>
  </w:num>
  <w:num w:numId="25">
    <w:abstractNumId w:val="28"/>
  </w:num>
  <w:num w:numId="26">
    <w:abstractNumId w:val="29"/>
  </w:num>
  <w:num w:numId="27">
    <w:abstractNumId w:val="47"/>
  </w:num>
  <w:num w:numId="28">
    <w:abstractNumId w:val="4"/>
  </w:num>
  <w:num w:numId="29">
    <w:abstractNumId w:val="3"/>
  </w:num>
  <w:num w:numId="30">
    <w:abstractNumId w:val="16"/>
    <w:lvlOverride w:ilvl="0">
      <w:lvl w:ilvl="0" w:tentative="1">
        <w:start w:val="0"/>
        <w:numFmt w:val="decimal"/>
        <w:lvlText w:val=""/>
        <w:lvlJc w:val="left"/>
      </w:lvl>
    </w:lvlOverride>
    <w:lvlOverride w:ilvl="1">
      <w:lvl w:ilvl="1" w:tentative="1">
        <w:start w:val="0"/>
        <w:numFmt w:val="decimal"/>
        <w:lvlText w:val=""/>
        <w:lvlJc w:val="left"/>
      </w:lvl>
    </w:lvlOverride>
    <w:lvlOverride w:ilvl="2">
      <w:lvl w:ilvl="2" w:tentative="1">
        <w:start w:val="1"/>
        <w:numFmt w:val="decimal"/>
        <w:lvlText w:val="%1.%2.%3."/>
        <w:lvlJc w:val="left"/>
        <w:pPr>
          <w:tabs>
            <w:tab w:val="left" w:pos="709"/>
          </w:tabs>
          <w:ind w:left="709" w:hanging="709"/>
        </w:pPr>
        <w:rPr>
          <w:rFonts w:hint="eastAsia"/>
        </w:rPr>
      </w:lvl>
    </w:lvlOverride>
    <w:lvlOverride w:ilvl="3">
      <w:lvl w:ilvl="3" w:tentative="1">
        <w:start w:val="1"/>
        <w:numFmt w:val="decimal"/>
        <w:lvlText w:val="%1.%2.%3.%4."/>
        <w:lvlJc w:val="left"/>
        <w:pPr>
          <w:tabs>
            <w:tab w:val="left" w:pos="851"/>
          </w:tabs>
          <w:ind w:left="851" w:hanging="851"/>
        </w:pPr>
        <w:rPr>
          <w:rFonts w:hint="eastAsia"/>
        </w:rPr>
      </w:lvl>
    </w:lvlOverride>
  </w:num>
  <w:num w:numId="31">
    <w:abstractNumId w:val="35"/>
  </w:num>
  <w:num w:numId="32">
    <w:abstractNumId w:val="13"/>
  </w:num>
  <w:num w:numId="33">
    <w:abstractNumId w:val="31"/>
  </w:num>
  <w:num w:numId="34">
    <w:abstractNumId w:val="12"/>
  </w:num>
  <w:num w:numId="35">
    <w:abstractNumId w:val="38"/>
  </w:num>
  <w:num w:numId="36">
    <w:abstractNumId w:val="7"/>
  </w:num>
  <w:num w:numId="37">
    <w:abstractNumId w:val="48"/>
  </w:num>
  <w:num w:numId="38">
    <w:abstractNumId w:val="19"/>
  </w:num>
  <w:num w:numId="39">
    <w:abstractNumId w:val="9"/>
  </w:num>
  <w:num w:numId="40">
    <w:abstractNumId w:val="0"/>
  </w:num>
  <w:num w:numId="41">
    <w:abstractNumId w:val="37"/>
  </w:num>
  <w:num w:numId="42">
    <w:abstractNumId w:val="40"/>
  </w:num>
  <w:num w:numId="43">
    <w:abstractNumId w:val="10"/>
  </w:num>
  <w:num w:numId="44">
    <w:abstractNumId w:val="18"/>
  </w:num>
  <w:num w:numId="45">
    <w:abstractNumId w:val="14"/>
  </w:num>
  <w:num w:numId="46">
    <w:abstractNumId w:val="46"/>
  </w:num>
  <w:num w:numId="47">
    <w:abstractNumId w:val="21"/>
  </w:num>
  <w:num w:numId="48">
    <w:abstractNumId w:val="24"/>
  </w:num>
  <w:num w:numId="49">
    <w:abstractNumId w:val="1"/>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embedTrueTypeFonts/>
  <w:saveSubsetFonts/>
  <w:bordersDoNotSurroundHeader w:val="0"/>
  <w:bordersDoNotSurroundFooter w:val="0"/>
  <w:hideSpellingErrors/>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xZjUyYjU2Y2M1ZDU0YTQ4YzM4NDE5NWU3NjQ5ZjIifQ=="/>
  </w:docVars>
  <w:rsids>
    <w:rsidRoot w:val="006D1E24"/>
    <w:rsid w:val="00001213"/>
    <w:rsid w:val="00001D14"/>
    <w:rsid w:val="000047D0"/>
    <w:rsid w:val="00004907"/>
    <w:rsid w:val="00005469"/>
    <w:rsid w:val="00005869"/>
    <w:rsid w:val="0000597B"/>
    <w:rsid w:val="00006B07"/>
    <w:rsid w:val="00006BEE"/>
    <w:rsid w:val="000071DC"/>
    <w:rsid w:val="00010968"/>
    <w:rsid w:val="000129AA"/>
    <w:rsid w:val="00016CB3"/>
    <w:rsid w:val="0001723C"/>
    <w:rsid w:val="00020580"/>
    <w:rsid w:val="00020D9C"/>
    <w:rsid w:val="00020E44"/>
    <w:rsid w:val="00020EAA"/>
    <w:rsid w:val="0002129D"/>
    <w:rsid w:val="00021878"/>
    <w:rsid w:val="00021A11"/>
    <w:rsid w:val="0002308E"/>
    <w:rsid w:val="0002398D"/>
    <w:rsid w:val="0002468F"/>
    <w:rsid w:val="00024A8D"/>
    <w:rsid w:val="000262B3"/>
    <w:rsid w:val="00027253"/>
    <w:rsid w:val="00027794"/>
    <w:rsid w:val="000278FD"/>
    <w:rsid w:val="00027DA1"/>
    <w:rsid w:val="00032D72"/>
    <w:rsid w:val="00033ED9"/>
    <w:rsid w:val="000344B4"/>
    <w:rsid w:val="00035AF0"/>
    <w:rsid w:val="00036221"/>
    <w:rsid w:val="0003775A"/>
    <w:rsid w:val="0004206C"/>
    <w:rsid w:val="0004255D"/>
    <w:rsid w:val="000430E6"/>
    <w:rsid w:val="000445C6"/>
    <w:rsid w:val="00045A63"/>
    <w:rsid w:val="000475AB"/>
    <w:rsid w:val="00047CB9"/>
    <w:rsid w:val="00047E9C"/>
    <w:rsid w:val="0005063E"/>
    <w:rsid w:val="000507FE"/>
    <w:rsid w:val="00051CBD"/>
    <w:rsid w:val="0005332E"/>
    <w:rsid w:val="000538AD"/>
    <w:rsid w:val="000560BC"/>
    <w:rsid w:val="000575D6"/>
    <w:rsid w:val="00057C72"/>
    <w:rsid w:val="0006029F"/>
    <w:rsid w:val="00061B23"/>
    <w:rsid w:val="00062473"/>
    <w:rsid w:val="00062A74"/>
    <w:rsid w:val="00062B10"/>
    <w:rsid w:val="00062DD6"/>
    <w:rsid w:val="00063079"/>
    <w:rsid w:val="00066342"/>
    <w:rsid w:val="00072527"/>
    <w:rsid w:val="00073059"/>
    <w:rsid w:val="00073E0B"/>
    <w:rsid w:val="000776A3"/>
    <w:rsid w:val="00077F33"/>
    <w:rsid w:val="000810B3"/>
    <w:rsid w:val="00081C20"/>
    <w:rsid w:val="0008220C"/>
    <w:rsid w:val="0008322D"/>
    <w:rsid w:val="000839CB"/>
    <w:rsid w:val="00087C01"/>
    <w:rsid w:val="000901AA"/>
    <w:rsid w:val="0009041E"/>
    <w:rsid w:val="00091987"/>
    <w:rsid w:val="00091A8A"/>
    <w:rsid w:val="00092670"/>
    <w:rsid w:val="00094678"/>
    <w:rsid w:val="00096432"/>
    <w:rsid w:val="00096BF6"/>
    <w:rsid w:val="00096D4D"/>
    <w:rsid w:val="0009720F"/>
    <w:rsid w:val="000975BF"/>
    <w:rsid w:val="000A0EF5"/>
    <w:rsid w:val="000A0F15"/>
    <w:rsid w:val="000A112B"/>
    <w:rsid w:val="000A1448"/>
    <w:rsid w:val="000A2258"/>
    <w:rsid w:val="000A6869"/>
    <w:rsid w:val="000A71E6"/>
    <w:rsid w:val="000B256E"/>
    <w:rsid w:val="000B411A"/>
    <w:rsid w:val="000B55EC"/>
    <w:rsid w:val="000B68DB"/>
    <w:rsid w:val="000B6EB8"/>
    <w:rsid w:val="000B731B"/>
    <w:rsid w:val="000C09BF"/>
    <w:rsid w:val="000C1E9B"/>
    <w:rsid w:val="000C37EF"/>
    <w:rsid w:val="000C4D25"/>
    <w:rsid w:val="000C5F40"/>
    <w:rsid w:val="000C61DD"/>
    <w:rsid w:val="000C6FAE"/>
    <w:rsid w:val="000D090B"/>
    <w:rsid w:val="000D0F58"/>
    <w:rsid w:val="000D1110"/>
    <w:rsid w:val="000D1501"/>
    <w:rsid w:val="000D2C0F"/>
    <w:rsid w:val="000D2C2A"/>
    <w:rsid w:val="000D3739"/>
    <w:rsid w:val="000D43D9"/>
    <w:rsid w:val="000D5954"/>
    <w:rsid w:val="000D5B17"/>
    <w:rsid w:val="000D709E"/>
    <w:rsid w:val="000E045B"/>
    <w:rsid w:val="000E1C06"/>
    <w:rsid w:val="000E1EB7"/>
    <w:rsid w:val="000E28EF"/>
    <w:rsid w:val="000E2DD2"/>
    <w:rsid w:val="000E4B58"/>
    <w:rsid w:val="000E4EDF"/>
    <w:rsid w:val="000E5F8C"/>
    <w:rsid w:val="000E65C0"/>
    <w:rsid w:val="000E68A1"/>
    <w:rsid w:val="000E7CC4"/>
    <w:rsid w:val="000F00A8"/>
    <w:rsid w:val="000F0928"/>
    <w:rsid w:val="000F115E"/>
    <w:rsid w:val="000F206E"/>
    <w:rsid w:val="000F6114"/>
    <w:rsid w:val="000F6AD7"/>
    <w:rsid w:val="000F6C5A"/>
    <w:rsid w:val="00100EEB"/>
    <w:rsid w:val="00102BE9"/>
    <w:rsid w:val="00102CEA"/>
    <w:rsid w:val="00104246"/>
    <w:rsid w:val="001051DB"/>
    <w:rsid w:val="00105889"/>
    <w:rsid w:val="001058CD"/>
    <w:rsid w:val="00105A7C"/>
    <w:rsid w:val="00107748"/>
    <w:rsid w:val="00107807"/>
    <w:rsid w:val="00107E05"/>
    <w:rsid w:val="00110A63"/>
    <w:rsid w:val="001112C1"/>
    <w:rsid w:val="00114674"/>
    <w:rsid w:val="001162FF"/>
    <w:rsid w:val="00116C70"/>
    <w:rsid w:val="00117868"/>
    <w:rsid w:val="00117882"/>
    <w:rsid w:val="00120CA5"/>
    <w:rsid w:val="001306E5"/>
    <w:rsid w:val="001352F8"/>
    <w:rsid w:val="001353AF"/>
    <w:rsid w:val="001354E7"/>
    <w:rsid w:val="0013604E"/>
    <w:rsid w:val="00136152"/>
    <w:rsid w:val="0013621D"/>
    <w:rsid w:val="00136343"/>
    <w:rsid w:val="00141291"/>
    <w:rsid w:val="001413DE"/>
    <w:rsid w:val="001435BB"/>
    <w:rsid w:val="00143677"/>
    <w:rsid w:val="001464EC"/>
    <w:rsid w:val="0014751D"/>
    <w:rsid w:val="001476AF"/>
    <w:rsid w:val="00147B74"/>
    <w:rsid w:val="001505E6"/>
    <w:rsid w:val="0015087D"/>
    <w:rsid w:val="001521DF"/>
    <w:rsid w:val="001558A9"/>
    <w:rsid w:val="001558E8"/>
    <w:rsid w:val="001559C5"/>
    <w:rsid w:val="00156AD9"/>
    <w:rsid w:val="001570BE"/>
    <w:rsid w:val="001571D8"/>
    <w:rsid w:val="00160D74"/>
    <w:rsid w:val="00161363"/>
    <w:rsid w:val="00164E3D"/>
    <w:rsid w:val="00165030"/>
    <w:rsid w:val="001659D3"/>
    <w:rsid w:val="00166895"/>
    <w:rsid w:val="001712B8"/>
    <w:rsid w:val="00173B11"/>
    <w:rsid w:val="00173C41"/>
    <w:rsid w:val="00174F8F"/>
    <w:rsid w:val="00176386"/>
    <w:rsid w:val="00180FCE"/>
    <w:rsid w:val="00182766"/>
    <w:rsid w:val="001830EA"/>
    <w:rsid w:val="001845D4"/>
    <w:rsid w:val="001848F1"/>
    <w:rsid w:val="00184F2C"/>
    <w:rsid w:val="001851E3"/>
    <w:rsid w:val="00186411"/>
    <w:rsid w:val="00186424"/>
    <w:rsid w:val="0018646D"/>
    <w:rsid w:val="00187043"/>
    <w:rsid w:val="0019032F"/>
    <w:rsid w:val="00190B58"/>
    <w:rsid w:val="00193C2A"/>
    <w:rsid w:val="00195240"/>
    <w:rsid w:val="00196397"/>
    <w:rsid w:val="001965CE"/>
    <w:rsid w:val="001972CF"/>
    <w:rsid w:val="00197936"/>
    <w:rsid w:val="001A1730"/>
    <w:rsid w:val="001A2F27"/>
    <w:rsid w:val="001A3EB7"/>
    <w:rsid w:val="001A4C6B"/>
    <w:rsid w:val="001A7B9F"/>
    <w:rsid w:val="001A7C37"/>
    <w:rsid w:val="001B0424"/>
    <w:rsid w:val="001B1299"/>
    <w:rsid w:val="001B1E47"/>
    <w:rsid w:val="001B2099"/>
    <w:rsid w:val="001B2883"/>
    <w:rsid w:val="001B3F0F"/>
    <w:rsid w:val="001B79BF"/>
    <w:rsid w:val="001C162C"/>
    <w:rsid w:val="001C1E3D"/>
    <w:rsid w:val="001C2649"/>
    <w:rsid w:val="001C2B03"/>
    <w:rsid w:val="001C363E"/>
    <w:rsid w:val="001C3F5C"/>
    <w:rsid w:val="001C4A6F"/>
    <w:rsid w:val="001C5464"/>
    <w:rsid w:val="001C560E"/>
    <w:rsid w:val="001C59FC"/>
    <w:rsid w:val="001C5D49"/>
    <w:rsid w:val="001C70F8"/>
    <w:rsid w:val="001C715D"/>
    <w:rsid w:val="001C7C48"/>
    <w:rsid w:val="001D0DDC"/>
    <w:rsid w:val="001D1275"/>
    <w:rsid w:val="001D201F"/>
    <w:rsid w:val="001D433D"/>
    <w:rsid w:val="001D4DB5"/>
    <w:rsid w:val="001D618A"/>
    <w:rsid w:val="001D6D30"/>
    <w:rsid w:val="001D6E23"/>
    <w:rsid w:val="001E0048"/>
    <w:rsid w:val="001E06A7"/>
    <w:rsid w:val="001E15DC"/>
    <w:rsid w:val="001E259D"/>
    <w:rsid w:val="001E2A0A"/>
    <w:rsid w:val="001E39E7"/>
    <w:rsid w:val="001E41CF"/>
    <w:rsid w:val="001E55ED"/>
    <w:rsid w:val="001E6213"/>
    <w:rsid w:val="001E7788"/>
    <w:rsid w:val="001F1BB7"/>
    <w:rsid w:val="001F258D"/>
    <w:rsid w:val="001F2F59"/>
    <w:rsid w:val="001F4F2C"/>
    <w:rsid w:val="001F4F38"/>
    <w:rsid w:val="001F5418"/>
    <w:rsid w:val="001F74E8"/>
    <w:rsid w:val="002010F2"/>
    <w:rsid w:val="0020132B"/>
    <w:rsid w:val="002017B3"/>
    <w:rsid w:val="0020216F"/>
    <w:rsid w:val="002041E5"/>
    <w:rsid w:val="00205154"/>
    <w:rsid w:val="00205C2E"/>
    <w:rsid w:val="00210392"/>
    <w:rsid w:val="002109CC"/>
    <w:rsid w:val="00213454"/>
    <w:rsid w:val="002140A1"/>
    <w:rsid w:val="00217911"/>
    <w:rsid w:val="00220AB2"/>
    <w:rsid w:val="00221FF3"/>
    <w:rsid w:val="0022246C"/>
    <w:rsid w:val="00222817"/>
    <w:rsid w:val="00222BB3"/>
    <w:rsid w:val="00225310"/>
    <w:rsid w:val="002255BE"/>
    <w:rsid w:val="00227F04"/>
    <w:rsid w:val="00227F7C"/>
    <w:rsid w:val="00230261"/>
    <w:rsid w:val="00230FBA"/>
    <w:rsid w:val="002310DF"/>
    <w:rsid w:val="002315C9"/>
    <w:rsid w:val="00231762"/>
    <w:rsid w:val="00232E61"/>
    <w:rsid w:val="00233265"/>
    <w:rsid w:val="002338BC"/>
    <w:rsid w:val="00233FFE"/>
    <w:rsid w:val="0023406D"/>
    <w:rsid w:val="00234EA4"/>
    <w:rsid w:val="0023604B"/>
    <w:rsid w:val="00236DB2"/>
    <w:rsid w:val="00237520"/>
    <w:rsid w:val="00240B23"/>
    <w:rsid w:val="0024210A"/>
    <w:rsid w:val="002428C1"/>
    <w:rsid w:val="002434D9"/>
    <w:rsid w:val="0024395B"/>
    <w:rsid w:val="00244FFC"/>
    <w:rsid w:val="002459C2"/>
    <w:rsid w:val="00246597"/>
    <w:rsid w:val="00247396"/>
    <w:rsid w:val="00247911"/>
    <w:rsid w:val="00250163"/>
    <w:rsid w:val="00254C4F"/>
    <w:rsid w:val="00254DD5"/>
    <w:rsid w:val="002552C5"/>
    <w:rsid w:val="00257772"/>
    <w:rsid w:val="00257D6C"/>
    <w:rsid w:val="00260CC4"/>
    <w:rsid w:val="00260E4A"/>
    <w:rsid w:val="00261D39"/>
    <w:rsid w:val="00261FDE"/>
    <w:rsid w:val="00263504"/>
    <w:rsid w:val="00263D8B"/>
    <w:rsid w:val="00264F8F"/>
    <w:rsid w:val="0026596A"/>
    <w:rsid w:val="00265D3C"/>
    <w:rsid w:val="0026631A"/>
    <w:rsid w:val="00266376"/>
    <w:rsid w:val="0026656B"/>
    <w:rsid w:val="00266F33"/>
    <w:rsid w:val="0027044A"/>
    <w:rsid w:val="002704B8"/>
    <w:rsid w:val="002707A3"/>
    <w:rsid w:val="00270803"/>
    <w:rsid w:val="00271B49"/>
    <w:rsid w:val="00272C88"/>
    <w:rsid w:val="002742EC"/>
    <w:rsid w:val="00276632"/>
    <w:rsid w:val="00276C1D"/>
    <w:rsid w:val="00277C54"/>
    <w:rsid w:val="00280A92"/>
    <w:rsid w:val="00280E8F"/>
    <w:rsid w:val="00281520"/>
    <w:rsid w:val="0028282F"/>
    <w:rsid w:val="002842DF"/>
    <w:rsid w:val="002864CD"/>
    <w:rsid w:val="00287A8C"/>
    <w:rsid w:val="00291EFA"/>
    <w:rsid w:val="00293222"/>
    <w:rsid w:val="00294153"/>
    <w:rsid w:val="002942FF"/>
    <w:rsid w:val="00294F89"/>
    <w:rsid w:val="00295D81"/>
    <w:rsid w:val="00296112"/>
    <w:rsid w:val="002A310C"/>
    <w:rsid w:val="002A411E"/>
    <w:rsid w:val="002A4B48"/>
    <w:rsid w:val="002A5F03"/>
    <w:rsid w:val="002A637A"/>
    <w:rsid w:val="002A6E2F"/>
    <w:rsid w:val="002B06D1"/>
    <w:rsid w:val="002B1672"/>
    <w:rsid w:val="002B3064"/>
    <w:rsid w:val="002B4238"/>
    <w:rsid w:val="002B6B8F"/>
    <w:rsid w:val="002C01C6"/>
    <w:rsid w:val="002C0B56"/>
    <w:rsid w:val="002C12FE"/>
    <w:rsid w:val="002C134E"/>
    <w:rsid w:val="002C17E2"/>
    <w:rsid w:val="002C1F77"/>
    <w:rsid w:val="002C2734"/>
    <w:rsid w:val="002C319B"/>
    <w:rsid w:val="002C3215"/>
    <w:rsid w:val="002C364D"/>
    <w:rsid w:val="002C3771"/>
    <w:rsid w:val="002C5B95"/>
    <w:rsid w:val="002C61C4"/>
    <w:rsid w:val="002C6C4D"/>
    <w:rsid w:val="002C72D6"/>
    <w:rsid w:val="002D0C0F"/>
    <w:rsid w:val="002D11AF"/>
    <w:rsid w:val="002D22BA"/>
    <w:rsid w:val="002D3DD7"/>
    <w:rsid w:val="002D4B18"/>
    <w:rsid w:val="002D557F"/>
    <w:rsid w:val="002D5862"/>
    <w:rsid w:val="002D6A11"/>
    <w:rsid w:val="002D74A6"/>
    <w:rsid w:val="002D7600"/>
    <w:rsid w:val="002D794D"/>
    <w:rsid w:val="002E0B19"/>
    <w:rsid w:val="002E26AA"/>
    <w:rsid w:val="002E2A86"/>
    <w:rsid w:val="002E31E7"/>
    <w:rsid w:val="002E32AA"/>
    <w:rsid w:val="002E360E"/>
    <w:rsid w:val="002E4559"/>
    <w:rsid w:val="002E6413"/>
    <w:rsid w:val="002E6A25"/>
    <w:rsid w:val="002E6B3F"/>
    <w:rsid w:val="002E71A2"/>
    <w:rsid w:val="002F037F"/>
    <w:rsid w:val="002F0F26"/>
    <w:rsid w:val="002F1759"/>
    <w:rsid w:val="002F1872"/>
    <w:rsid w:val="002F2670"/>
    <w:rsid w:val="002F3276"/>
    <w:rsid w:val="002F4305"/>
    <w:rsid w:val="002F63E3"/>
    <w:rsid w:val="002F67EF"/>
    <w:rsid w:val="002F73D1"/>
    <w:rsid w:val="003005E7"/>
    <w:rsid w:val="00300CCB"/>
    <w:rsid w:val="00301BA9"/>
    <w:rsid w:val="00302C99"/>
    <w:rsid w:val="00305CA7"/>
    <w:rsid w:val="00306010"/>
    <w:rsid w:val="0030679D"/>
    <w:rsid w:val="00306817"/>
    <w:rsid w:val="00306EB1"/>
    <w:rsid w:val="00310C54"/>
    <w:rsid w:val="003111A9"/>
    <w:rsid w:val="003116CF"/>
    <w:rsid w:val="003125EE"/>
    <w:rsid w:val="00313C13"/>
    <w:rsid w:val="00314673"/>
    <w:rsid w:val="0031491C"/>
    <w:rsid w:val="003149E8"/>
    <w:rsid w:val="00314BA8"/>
    <w:rsid w:val="00315201"/>
    <w:rsid w:val="003163F6"/>
    <w:rsid w:val="00316621"/>
    <w:rsid w:val="003169BF"/>
    <w:rsid w:val="0031734A"/>
    <w:rsid w:val="00317B40"/>
    <w:rsid w:val="00320956"/>
    <w:rsid w:val="00321111"/>
    <w:rsid w:val="00321CF8"/>
    <w:rsid w:val="003223E5"/>
    <w:rsid w:val="00322D96"/>
    <w:rsid w:val="00323FFE"/>
    <w:rsid w:val="00324A2E"/>
    <w:rsid w:val="00324A8F"/>
    <w:rsid w:val="00324FEF"/>
    <w:rsid w:val="00325342"/>
    <w:rsid w:val="00325834"/>
    <w:rsid w:val="00326C34"/>
    <w:rsid w:val="00327E98"/>
    <w:rsid w:val="00330F44"/>
    <w:rsid w:val="00331E14"/>
    <w:rsid w:val="003330C2"/>
    <w:rsid w:val="0033543C"/>
    <w:rsid w:val="003356DC"/>
    <w:rsid w:val="00336072"/>
    <w:rsid w:val="00337135"/>
    <w:rsid w:val="00337D5A"/>
    <w:rsid w:val="003426B3"/>
    <w:rsid w:val="00342C93"/>
    <w:rsid w:val="003439F6"/>
    <w:rsid w:val="00344797"/>
    <w:rsid w:val="00347031"/>
    <w:rsid w:val="0034778F"/>
    <w:rsid w:val="0035058F"/>
    <w:rsid w:val="00350628"/>
    <w:rsid w:val="00354821"/>
    <w:rsid w:val="00355398"/>
    <w:rsid w:val="003567DA"/>
    <w:rsid w:val="00356B01"/>
    <w:rsid w:val="0035700C"/>
    <w:rsid w:val="00357682"/>
    <w:rsid w:val="003608D4"/>
    <w:rsid w:val="00360E24"/>
    <w:rsid w:val="00361F81"/>
    <w:rsid w:val="003620DF"/>
    <w:rsid w:val="00362B77"/>
    <w:rsid w:val="00362DB4"/>
    <w:rsid w:val="0036458A"/>
    <w:rsid w:val="00364F15"/>
    <w:rsid w:val="00366E48"/>
    <w:rsid w:val="00367944"/>
    <w:rsid w:val="00367A29"/>
    <w:rsid w:val="00372139"/>
    <w:rsid w:val="00372D5B"/>
    <w:rsid w:val="00373F68"/>
    <w:rsid w:val="0037478D"/>
    <w:rsid w:val="00375A09"/>
    <w:rsid w:val="00381A65"/>
    <w:rsid w:val="00381BC0"/>
    <w:rsid w:val="00381F10"/>
    <w:rsid w:val="003820C6"/>
    <w:rsid w:val="00385140"/>
    <w:rsid w:val="00385470"/>
    <w:rsid w:val="00385648"/>
    <w:rsid w:val="00385A32"/>
    <w:rsid w:val="0038639A"/>
    <w:rsid w:val="00386842"/>
    <w:rsid w:val="003869B6"/>
    <w:rsid w:val="003875AC"/>
    <w:rsid w:val="00390254"/>
    <w:rsid w:val="0039040B"/>
    <w:rsid w:val="00391035"/>
    <w:rsid w:val="00393C71"/>
    <w:rsid w:val="00394DFC"/>
    <w:rsid w:val="003964EB"/>
    <w:rsid w:val="00397BE2"/>
    <w:rsid w:val="00397F97"/>
    <w:rsid w:val="003A12E8"/>
    <w:rsid w:val="003A2C0F"/>
    <w:rsid w:val="003A38EB"/>
    <w:rsid w:val="003A500C"/>
    <w:rsid w:val="003A6589"/>
    <w:rsid w:val="003A6D6C"/>
    <w:rsid w:val="003A7C89"/>
    <w:rsid w:val="003B02F5"/>
    <w:rsid w:val="003B0616"/>
    <w:rsid w:val="003B09CC"/>
    <w:rsid w:val="003B0EAC"/>
    <w:rsid w:val="003B1BFF"/>
    <w:rsid w:val="003B34FF"/>
    <w:rsid w:val="003B3C91"/>
    <w:rsid w:val="003B3CC3"/>
    <w:rsid w:val="003B4CC5"/>
    <w:rsid w:val="003B6288"/>
    <w:rsid w:val="003B654E"/>
    <w:rsid w:val="003C0EF7"/>
    <w:rsid w:val="003C1BB8"/>
    <w:rsid w:val="003C2639"/>
    <w:rsid w:val="003C296B"/>
    <w:rsid w:val="003C3666"/>
    <w:rsid w:val="003C3983"/>
    <w:rsid w:val="003C3A0F"/>
    <w:rsid w:val="003C5E38"/>
    <w:rsid w:val="003C69B8"/>
    <w:rsid w:val="003D0817"/>
    <w:rsid w:val="003D1264"/>
    <w:rsid w:val="003D1E15"/>
    <w:rsid w:val="003D2E0D"/>
    <w:rsid w:val="003D2EE1"/>
    <w:rsid w:val="003E2D73"/>
    <w:rsid w:val="003E4DE2"/>
    <w:rsid w:val="003E5604"/>
    <w:rsid w:val="003E5EC5"/>
    <w:rsid w:val="003E6406"/>
    <w:rsid w:val="003E6E96"/>
    <w:rsid w:val="003E717C"/>
    <w:rsid w:val="003E73B2"/>
    <w:rsid w:val="003F0AA3"/>
    <w:rsid w:val="003F0C44"/>
    <w:rsid w:val="003F16B7"/>
    <w:rsid w:val="003F198D"/>
    <w:rsid w:val="003F2FAE"/>
    <w:rsid w:val="003F3580"/>
    <w:rsid w:val="003F360D"/>
    <w:rsid w:val="003F5459"/>
    <w:rsid w:val="003F61DE"/>
    <w:rsid w:val="003F6DE6"/>
    <w:rsid w:val="003F6F4B"/>
    <w:rsid w:val="003F7856"/>
    <w:rsid w:val="00400B3E"/>
    <w:rsid w:val="0040109A"/>
    <w:rsid w:val="00401A3C"/>
    <w:rsid w:val="00403219"/>
    <w:rsid w:val="00404896"/>
    <w:rsid w:val="00404931"/>
    <w:rsid w:val="004062F8"/>
    <w:rsid w:val="00407986"/>
    <w:rsid w:val="00407F26"/>
    <w:rsid w:val="00410A62"/>
    <w:rsid w:val="0041104B"/>
    <w:rsid w:val="004120A8"/>
    <w:rsid w:val="004159C7"/>
    <w:rsid w:val="004169D2"/>
    <w:rsid w:val="00416AF9"/>
    <w:rsid w:val="0042098E"/>
    <w:rsid w:val="0042206F"/>
    <w:rsid w:val="00422D64"/>
    <w:rsid w:val="00424D9D"/>
    <w:rsid w:val="00425096"/>
    <w:rsid w:val="00425128"/>
    <w:rsid w:val="00426094"/>
    <w:rsid w:val="004263D0"/>
    <w:rsid w:val="00426B48"/>
    <w:rsid w:val="004306C9"/>
    <w:rsid w:val="00430AE4"/>
    <w:rsid w:val="00431CC2"/>
    <w:rsid w:val="00431EED"/>
    <w:rsid w:val="00432010"/>
    <w:rsid w:val="004324BA"/>
    <w:rsid w:val="00432F10"/>
    <w:rsid w:val="00435618"/>
    <w:rsid w:val="00435ACD"/>
    <w:rsid w:val="00436072"/>
    <w:rsid w:val="004362FE"/>
    <w:rsid w:val="004367A0"/>
    <w:rsid w:val="004413F0"/>
    <w:rsid w:val="00441FA6"/>
    <w:rsid w:val="00445F8C"/>
    <w:rsid w:val="004466DF"/>
    <w:rsid w:val="00450223"/>
    <w:rsid w:val="004505C7"/>
    <w:rsid w:val="00454D2C"/>
    <w:rsid w:val="0045530D"/>
    <w:rsid w:val="00455481"/>
    <w:rsid w:val="004562AC"/>
    <w:rsid w:val="004567D8"/>
    <w:rsid w:val="00456C5A"/>
    <w:rsid w:val="00456CE8"/>
    <w:rsid w:val="0045728D"/>
    <w:rsid w:val="004613BF"/>
    <w:rsid w:val="00461967"/>
    <w:rsid w:val="00462C34"/>
    <w:rsid w:val="0046375D"/>
    <w:rsid w:val="00463CF7"/>
    <w:rsid w:val="0046422B"/>
    <w:rsid w:val="0046568F"/>
    <w:rsid w:val="00465C75"/>
    <w:rsid w:val="00466635"/>
    <w:rsid w:val="0046735C"/>
    <w:rsid w:val="00467BC1"/>
    <w:rsid w:val="004706A5"/>
    <w:rsid w:val="00470BBF"/>
    <w:rsid w:val="0047141F"/>
    <w:rsid w:val="00474A74"/>
    <w:rsid w:val="00475B75"/>
    <w:rsid w:val="0048060D"/>
    <w:rsid w:val="00483139"/>
    <w:rsid w:val="00483E73"/>
    <w:rsid w:val="004840AF"/>
    <w:rsid w:val="00484D35"/>
    <w:rsid w:val="004850BB"/>
    <w:rsid w:val="004857FE"/>
    <w:rsid w:val="00485FDC"/>
    <w:rsid w:val="00486C53"/>
    <w:rsid w:val="0048715D"/>
    <w:rsid w:val="004876D5"/>
    <w:rsid w:val="004908F9"/>
    <w:rsid w:val="004915CA"/>
    <w:rsid w:val="00492A9C"/>
    <w:rsid w:val="00493539"/>
    <w:rsid w:val="00494DEE"/>
    <w:rsid w:val="004951C8"/>
    <w:rsid w:val="00496633"/>
    <w:rsid w:val="004969D6"/>
    <w:rsid w:val="004A0973"/>
    <w:rsid w:val="004A09A6"/>
    <w:rsid w:val="004A1032"/>
    <w:rsid w:val="004A194C"/>
    <w:rsid w:val="004A23A1"/>
    <w:rsid w:val="004A5604"/>
    <w:rsid w:val="004A596D"/>
    <w:rsid w:val="004A711E"/>
    <w:rsid w:val="004A7B6C"/>
    <w:rsid w:val="004A7D86"/>
    <w:rsid w:val="004B03F6"/>
    <w:rsid w:val="004B05F2"/>
    <w:rsid w:val="004B0624"/>
    <w:rsid w:val="004B0CAD"/>
    <w:rsid w:val="004B1DA7"/>
    <w:rsid w:val="004B5064"/>
    <w:rsid w:val="004B72D6"/>
    <w:rsid w:val="004B76F5"/>
    <w:rsid w:val="004C0425"/>
    <w:rsid w:val="004C1A32"/>
    <w:rsid w:val="004C1CF8"/>
    <w:rsid w:val="004C35CD"/>
    <w:rsid w:val="004C3BF4"/>
    <w:rsid w:val="004C44E7"/>
    <w:rsid w:val="004C454B"/>
    <w:rsid w:val="004C5103"/>
    <w:rsid w:val="004C6623"/>
    <w:rsid w:val="004C6D0E"/>
    <w:rsid w:val="004C7609"/>
    <w:rsid w:val="004C774F"/>
    <w:rsid w:val="004D07CA"/>
    <w:rsid w:val="004D1731"/>
    <w:rsid w:val="004D22F4"/>
    <w:rsid w:val="004D2528"/>
    <w:rsid w:val="004D27D7"/>
    <w:rsid w:val="004D3245"/>
    <w:rsid w:val="004D54BE"/>
    <w:rsid w:val="004D618E"/>
    <w:rsid w:val="004D670B"/>
    <w:rsid w:val="004D7C84"/>
    <w:rsid w:val="004E0925"/>
    <w:rsid w:val="004E14E5"/>
    <w:rsid w:val="004E1970"/>
    <w:rsid w:val="004E24FF"/>
    <w:rsid w:val="004E3223"/>
    <w:rsid w:val="004E49BC"/>
    <w:rsid w:val="004E66BC"/>
    <w:rsid w:val="004E70C5"/>
    <w:rsid w:val="004E72AA"/>
    <w:rsid w:val="004E7D6B"/>
    <w:rsid w:val="004F025A"/>
    <w:rsid w:val="004F0945"/>
    <w:rsid w:val="004F0E18"/>
    <w:rsid w:val="004F1BAD"/>
    <w:rsid w:val="004F20DF"/>
    <w:rsid w:val="004F2F03"/>
    <w:rsid w:val="004F3F70"/>
    <w:rsid w:val="004F6DAE"/>
    <w:rsid w:val="005029DE"/>
    <w:rsid w:val="00504884"/>
    <w:rsid w:val="00505356"/>
    <w:rsid w:val="005062CC"/>
    <w:rsid w:val="005065C5"/>
    <w:rsid w:val="00507854"/>
    <w:rsid w:val="00511A06"/>
    <w:rsid w:val="00512735"/>
    <w:rsid w:val="00514617"/>
    <w:rsid w:val="005146C5"/>
    <w:rsid w:val="00515EB1"/>
    <w:rsid w:val="005161EF"/>
    <w:rsid w:val="0051687E"/>
    <w:rsid w:val="00516EDF"/>
    <w:rsid w:val="005200A4"/>
    <w:rsid w:val="005204B3"/>
    <w:rsid w:val="00520559"/>
    <w:rsid w:val="00520659"/>
    <w:rsid w:val="005227F2"/>
    <w:rsid w:val="005242CA"/>
    <w:rsid w:val="00525636"/>
    <w:rsid w:val="00526C6D"/>
    <w:rsid w:val="00530B70"/>
    <w:rsid w:val="00530CB7"/>
    <w:rsid w:val="00531093"/>
    <w:rsid w:val="005316DA"/>
    <w:rsid w:val="0053236F"/>
    <w:rsid w:val="00534354"/>
    <w:rsid w:val="0053445B"/>
    <w:rsid w:val="005348FF"/>
    <w:rsid w:val="00535D4C"/>
    <w:rsid w:val="005362CC"/>
    <w:rsid w:val="00540228"/>
    <w:rsid w:val="00542051"/>
    <w:rsid w:val="00542212"/>
    <w:rsid w:val="00542516"/>
    <w:rsid w:val="005430F4"/>
    <w:rsid w:val="0054328C"/>
    <w:rsid w:val="00543B4F"/>
    <w:rsid w:val="00543CA0"/>
    <w:rsid w:val="00543E79"/>
    <w:rsid w:val="00546157"/>
    <w:rsid w:val="005468F0"/>
    <w:rsid w:val="005473AE"/>
    <w:rsid w:val="00547546"/>
    <w:rsid w:val="005514A7"/>
    <w:rsid w:val="00553505"/>
    <w:rsid w:val="00553969"/>
    <w:rsid w:val="005547C4"/>
    <w:rsid w:val="005600F5"/>
    <w:rsid w:val="005605AE"/>
    <w:rsid w:val="00561E23"/>
    <w:rsid w:val="0056390B"/>
    <w:rsid w:val="00564D16"/>
    <w:rsid w:val="00565324"/>
    <w:rsid w:val="0056789E"/>
    <w:rsid w:val="005709E1"/>
    <w:rsid w:val="00573013"/>
    <w:rsid w:val="00573490"/>
    <w:rsid w:val="005738E9"/>
    <w:rsid w:val="00575101"/>
    <w:rsid w:val="005771B3"/>
    <w:rsid w:val="0057736F"/>
    <w:rsid w:val="005774C5"/>
    <w:rsid w:val="005809A2"/>
    <w:rsid w:val="00580D19"/>
    <w:rsid w:val="0058173A"/>
    <w:rsid w:val="00581A41"/>
    <w:rsid w:val="00581B71"/>
    <w:rsid w:val="0058259F"/>
    <w:rsid w:val="00583ADB"/>
    <w:rsid w:val="00583F29"/>
    <w:rsid w:val="00583FB6"/>
    <w:rsid w:val="00584533"/>
    <w:rsid w:val="005849F1"/>
    <w:rsid w:val="0058563C"/>
    <w:rsid w:val="00586CD1"/>
    <w:rsid w:val="00590013"/>
    <w:rsid w:val="00590C46"/>
    <w:rsid w:val="00590F3E"/>
    <w:rsid w:val="005921CB"/>
    <w:rsid w:val="0059389E"/>
    <w:rsid w:val="005943CD"/>
    <w:rsid w:val="005959F1"/>
    <w:rsid w:val="005A0E2D"/>
    <w:rsid w:val="005A0F69"/>
    <w:rsid w:val="005A1C47"/>
    <w:rsid w:val="005A60EA"/>
    <w:rsid w:val="005B157C"/>
    <w:rsid w:val="005B1F45"/>
    <w:rsid w:val="005B257B"/>
    <w:rsid w:val="005B2DA9"/>
    <w:rsid w:val="005B45CF"/>
    <w:rsid w:val="005B5096"/>
    <w:rsid w:val="005B51B6"/>
    <w:rsid w:val="005B55EF"/>
    <w:rsid w:val="005B6BB6"/>
    <w:rsid w:val="005C0710"/>
    <w:rsid w:val="005C299E"/>
    <w:rsid w:val="005C5B43"/>
    <w:rsid w:val="005D1B18"/>
    <w:rsid w:val="005D26BE"/>
    <w:rsid w:val="005D4C85"/>
    <w:rsid w:val="005D6187"/>
    <w:rsid w:val="005D6BDC"/>
    <w:rsid w:val="005D6EE0"/>
    <w:rsid w:val="005D6FA4"/>
    <w:rsid w:val="005D77AA"/>
    <w:rsid w:val="005E14E9"/>
    <w:rsid w:val="005E2223"/>
    <w:rsid w:val="005E2F6E"/>
    <w:rsid w:val="005E2FF9"/>
    <w:rsid w:val="005E32FF"/>
    <w:rsid w:val="005E60FB"/>
    <w:rsid w:val="005E63CD"/>
    <w:rsid w:val="005E68C1"/>
    <w:rsid w:val="005E6942"/>
    <w:rsid w:val="005E7C2F"/>
    <w:rsid w:val="005F0A5A"/>
    <w:rsid w:val="005F148D"/>
    <w:rsid w:val="005F1BA7"/>
    <w:rsid w:val="005F216C"/>
    <w:rsid w:val="005F23ED"/>
    <w:rsid w:val="005F2A80"/>
    <w:rsid w:val="005F2F82"/>
    <w:rsid w:val="005F3889"/>
    <w:rsid w:val="005F4BAA"/>
    <w:rsid w:val="005F6314"/>
    <w:rsid w:val="00601F67"/>
    <w:rsid w:val="00602632"/>
    <w:rsid w:val="0060299F"/>
    <w:rsid w:val="00602C2D"/>
    <w:rsid w:val="006041B3"/>
    <w:rsid w:val="0060594D"/>
    <w:rsid w:val="00606456"/>
    <w:rsid w:val="00606B8B"/>
    <w:rsid w:val="00610E5B"/>
    <w:rsid w:val="00611A39"/>
    <w:rsid w:val="00611CC4"/>
    <w:rsid w:val="00612B87"/>
    <w:rsid w:val="00612F64"/>
    <w:rsid w:val="0061347B"/>
    <w:rsid w:val="006136FF"/>
    <w:rsid w:val="006146A5"/>
    <w:rsid w:val="00615E3B"/>
    <w:rsid w:val="00616166"/>
    <w:rsid w:val="00616E1D"/>
    <w:rsid w:val="00616F5E"/>
    <w:rsid w:val="006173FB"/>
    <w:rsid w:val="006174BE"/>
    <w:rsid w:val="006208A9"/>
    <w:rsid w:val="00621649"/>
    <w:rsid w:val="00623B52"/>
    <w:rsid w:val="006256CE"/>
    <w:rsid w:val="00625C11"/>
    <w:rsid w:val="00627D4C"/>
    <w:rsid w:val="006300D3"/>
    <w:rsid w:val="00631CAC"/>
    <w:rsid w:val="006336B2"/>
    <w:rsid w:val="00633E3E"/>
    <w:rsid w:val="00635155"/>
    <w:rsid w:val="00635B32"/>
    <w:rsid w:val="00637355"/>
    <w:rsid w:val="00637451"/>
    <w:rsid w:val="00637FAB"/>
    <w:rsid w:val="006414E6"/>
    <w:rsid w:val="00641881"/>
    <w:rsid w:val="00642959"/>
    <w:rsid w:val="00643401"/>
    <w:rsid w:val="0064383C"/>
    <w:rsid w:val="006467E6"/>
    <w:rsid w:val="006479D9"/>
    <w:rsid w:val="006501BA"/>
    <w:rsid w:val="00653169"/>
    <w:rsid w:val="006541CF"/>
    <w:rsid w:val="006558F9"/>
    <w:rsid w:val="00656F1A"/>
    <w:rsid w:val="00661287"/>
    <w:rsid w:val="00662E01"/>
    <w:rsid w:val="00662F8A"/>
    <w:rsid w:val="00666FD0"/>
    <w:rsid w:val="00667E25"/>
    <w:rsid w:val="0067004E"/>
    <w:rsid w:val="00673E6C"/>
    <w:rsid w:val="0067475C"/>
    <w:rsid w:val="00674A18"/>
    <w:rsid w:val="0067638A"/>
    <w:rsid w:val="00677E41"/>
    <w:rsid w:val="00680D0B"/>
    <w:rsid w:val="00681030"/>
    <w:rsid w:val="0068123F"/>
    <w:rsid w:val="0068278C"/>
    <w:rsid w:val="00683C73"/>
    <w:rsid w:val="00683ED3"/>
    <w:rsid w:val="00683EFE"/>
    <w:rsid w:val="00685750"/>
    <w:rsid w:val="006868C0"/>
    <w:rsid w:val="006912DA"/>
    <w:rsid w:val="00692DA8"/>
    <w:rsid w:val="00692FAB"/>
    <w:rsid w:val="00693415"/>
    <w:rsid w:val="00694AAE"/>
    <w:rsid w:val="00695BE5"/>
    <w:rsid w:val="0069643C"/>
    <w:rsid w:val="006973BB"/>
    <w:rsid w:val="006979BF"/>
    <w:rsid w:val="00697E9A"/>
    <w:rsid w:val="006A0F74"/>
    <w:rsid w:val="006A11CB"/>
    <w:rsid w:val="006A281F"/>
    <w:rsid w:val="006A3661"/>
    <w:rsid w:val="006A61E8"/>
    <w:rsid w:val="006A6A90"/>
    <w:rsid w:val="006A7D4A"/>
    <w:rsid w:val="006B2B3A"/>
    <w:rsid w:val="006B2D49"/>
    <w:rsid w:val="006B47FC"/>
    <w:rsid w:val="006B4EB3"/>
    <w:rsid w:val="006B5212"/>
    <w:rsid w:val="006B6D28"/>
    <w:rsid w:val="006B7EE6"/>
    <w:rsid w:val="006C0976"/>
    <w:rsid w:val="006C2209"/>
    <w:rsid w:val="006C327F"/>
    <w:rsid w:val="006C3457"/>
    <w:rsid w:val="006C35DB"/>
    <w:rsid w:val="006C3739"/>
    <w:rsid w:val="006C377E"/>
    <w:rsid w:val="006C3DAC"/>
    <w:rsid w:val="006C4C6F"/>
    <w:rsid w:val="006C5785"/>
    <w:rsid w:val="006C57D3"/>
    <w:rsid w:val="006C6244"/>
    <w:rsid w:val="006C6F1E"/>
    <w:rsid w:val="006C7204"/>
    <w:rsid w:val="006D1E24"/>
    <w:rsid w:val="006D3574"/>
    <w:rsid w:val="006D3969"/>
    <w:rsid w:val="006D73B0"/>
    <w:rsid w:val="006D7905"/>
    <w:rsid w:val="006E1230"/>
    <w:rsid w:val="006E1810"/>
    <w:rsid w:val="006E2F76"/>
    <w:rsid w:val="006E4787"/>
    <w:rsid w:val="006E4FF8"/>
    <w:rsid w:val="006F1DF7"/>
    <w:rsid w:val="006F2060"/>
    <w:rsid w:val="006F510F"/>
    <w:rsid w:val="006F5361"/>
    <w:rsid w:val="006F702F"/>
    <w:rsid w:val="006F7374"/>
    <w:rsid w:val="006F7985"/>
    <w:rsid w:val="006F79E9"/>
    <w:rsid w:val="00700386"/>
    <w:rsid w:val="00700D9B"/>
    <w:rsid w:val="00701E8C"/>
    <w:rsid w:val="00704F0D"/>
    <w:rsid w:val="0070651A"/>
    <w:rsid w:val="007067F8"/>
    <w:rsid w:val="007076CD"/>
    <w:rsid w:val="00711072"/>
    <w:rsid w:val="007116E4"/>
    <w:rsid w:val="00711852"/>
    <w:rsid w:val="00711D5E"/>
    <w:rsid w:val="00714CAB"/>
    <w:rsid w:val="00714DD9"/>
    <w:rsid w:val="00714F6F"/>
    <w:rsid w:val="0071680E"/>
    <w:rsid w:val="007207A0"/>
    <w:rsid w:val="0072099F"/>
    <w:rsid w:val="00720FD1"/>
    <w:rsid w:val="007218C3"/>
    <w:rsid w:val="00723382"/>
    <w:rsid w:val="00724243"/>
    <w:rsid w:val="007243F8"/>
    <w:rsid w:val="007253A5"/>
    <w:rsid w:val="007265E8"/>
    <w:rsid w:val="00732D8D"/>
    <w:rsid w:val="00732E42"/>
    <w:rsid w:val="007339EE"/>
    <w:rsid w:val="007341CF"/>
    <w:rsid w:val="0073456F"/>
    <w:rsid w:val="00735F38"/>
    <w:rsid w:val="00740747"/>
    <w:rsid w:val="00741E54"/>
    <w:rsid w:val="00743228"/>
    <w:rsid w:val="00743CFC"/>
    <w:rsid w:val="00746EE9"/>
    <w:rsid w:val="00747DE1"/>
    <w:rsid w:val="00751AE2"/>
    <w:rsid w:val="00751E7D"/>
    <w:rsid w:val="00752CD1"/>
    <w:rsid w:val="00753151"/>
    <w:rsid w:val="00753505"/>
    <w:rsid w:val="0075594E"/>
    <w:rsid w:val="0076103F"/>
    <w:rsid w:val="00761AE4"/>
    <w:rsid w:val="0076273A"/>
    <w:rsid w:val="00763061"/>
    <w:rsid w:val="007639A3"/>
    <w:rsid w:val="00765F43"/>
    <w:rsid w:val="00766B60"/>
    <w:rsid w:val="007704C1"/>
    <w:rsid w:val="0077122F"/>
    <w:rsid w:val="007716B6"/>
    <w:rsid w:val="00771F86"/>
    <w:rsid w:val="007728A2"/>
    <w:rsid w:val="007744AD"/>
    <w:rsid w:val="00774C21"/>
    <w:rsid w:val="0077500A"/>
    <w:rsid w:val="00775FBF"/>
    <w:rsid w:val="007767A1"/>
    <w:rsid w:val="007808EE"/>
    <w:rsid w:val="0078188A"/>
    <w:rsid w:val="00782FEE"/>
    <w:rsid w:val="007867A7"/>
    <w:rsid w:val="007877D5"/>
    <w:rsid w:val="007905F8"/>
    <w:rsid w:val="00791CFD"/>
    <w:rsid w:val="007929B4"/>
    <w:rsid w:val="00795C77"/>
    <w:rsid w:val="00795D40"/>
    <w:rsid w:val="00795F74"/>
    <w:rsid w:val="00796CCB"/>
    <w:rsid w:val="00796F83"/>
    <w:rsid w:val="007A1A6B"/>
    <w:rsid w:val="007A1A9F"/>
    <w:rsid w:val="007A3005"/>
    <w:rsid w:val="007A361F"/>
    <w:rsid w:val="007A47AA"/>
    <w:rsid w:val="007A4AA7"/>
    <w:rsid w:val="007A4B28"/>
    <w:rsid w:val="007A5619"/>
    <w:rsid w:val="007A5F97"/>
    <w:rsid w:val="007A66C1"/>
    <w:rsid w:val="007A6778"/>
    <w:rsid w:val="007A6AE8"/>
    <w:rsid w:val="007A75FE"/>
    <w:rsid w:val="007A78A8"/>
    <w:rsid w:val="007B02BB"/>
    <w:rsid w:val="007B0491"/>
    <w:rsid w:val="007B057B"/>
    <w:rsid w:val="007B111A"/>
    <w:rsid w:val="007B3149"/>
    <w:rsid w:val="007B3927"/>
    <w:rsid w:val="007B3E46"/>
    <w:rsid w:val="007B5036"/>
    <w:rsid w:val="007B5C28"/>
    <w:rsid w:val="007B6419"/>
    <w:rsid w:val="007B703A"/>
    <w:rsid w:val="007B7131"/>
    <w:rsid w:val="007B751D"/>
    <w:rsid w:val="007B78A9"/>
    <w:rsid w:val="007C07A8"/>
    <w:rsid w:val="007C0EB9"/>
    <w:rsid w:val="007C222A"/>
    <w:rsid w:val="007C279B"/>
    <w:rsid w:val="007C3369"/>
    <w:rsid w:val="007C4C1C"/>
    <w:rsid w:val="007C50F5"/>
    <w:rsid w:val="007C56B0"/>
    <w:rsid w:val="007C7480"/>
    <w:rsid w:val="007D06BE"/>
    <w:rsid w:val="007D2DF8"/>
    <w:rsid w:val="007D3E77"/>
    <w:rsid w:val="007D4699"/>
    <w:rsid w:val="007D46EE"/>
    <w:rsid w:val="007D4C85"/>
    <w:rsid w:val="007D5A53"/>
    <w:rsid w:val="007D5DEB"/>
    <w:rsid w:val="007D772E"/>
    <w:rsid w:val="007E0769"/>
    <w:rsid w:val="007E07DE"/>
    <w:rsid w:val="007E1C75"/>
    <w:rsid w:val="007E2620"/>
    <w:rsid w:val="007E2D82"/>
    <w:rsid w:val="007E3FB4"/>
    <w:rsid w:val="007E4206"/>
    <w:rsid w:val="007E652B"/>
    <w:rsid w:val="007E722B"/>
    <w:rsid w:val="007E7E11"/>
    <w:rsid w:val="007F103E"/>
    <w:rsid w:val="007F169F"/>
    <w:rsid w:val="007F19E1"/>
    <w:rsid w:val="007F306F"/>
    <w:rsid w:val="007F5511"/>
    <w:rsid w:val="007F6996"/>
    <w:rsid w:val="0080007B"/>
    <w:rsid w:val="00800580"/>
    <w:rsid w:val="008009FF"/>
    <w:rsid w:val="0080180B"/>
    <w:rsid w:val="0080185D"/>
    <w:rsid w:val="0080246B"/>
    <w:rsid w:val="008025A4"/>
    <w:rsid w:val="0080277F"/>
    <w:rsid w:val="00805764"/>
    <w:rsid w:val="0080646B"/>
    <w:rsid w:val="008065B3"/>
    <w:rsid w:val="00807F04"/>
    <w:rsid w:val="00810E84"/>
    <w:rsid w:val="008114A7"/>
    <w:rsid w:val="00812802"/>
    <w:rsid w:val="008163A1"/>
    <w:rsid w:val="00816614"/>
    <w:rsid w:val="00816620"/>
    <w:rsid w:val="00816A33"/>
    <w:rsid w:val="00816D2B"/>
    <w:rsid w:val="0082058B"/>
    <w:rsid w:val="0082162F"/>
    <w:rsid w:val="00821EF8"/>
    <w:rsid w:val="00822871"/>
    <w:rsid w:val="00823BAD"/>
    <w:rsid w:val="00823E1F"/>
    <w:rsid w:val="008269F9"/>
    <w:rsid w:val="0082728A"/>
    <w:rsid w:val="00830214"/>
    <w:rsid w:val="0083028E"/>
    <w:rsid w:val="00830B76"/>
    <w:rsid w:val="00832641"/>
    <w:rsid w:val="0083474E"/>
    <w:rsid w:val="00837ECC"/>
    <w:rsid w:val="00840885"/>
    <w:rsid w:val="00840B09"/>
    <w:rsid w:val="0084207A"/>
    <w:rsid w:val="008422B9"/>
    <w:rsid w:val="0084394D"/>
    <w:rsid w:val="00843D83"/>
    <w:rsid w:val="00843EA6"/>
    <w:rsid w:val="00846062"/>
    <w:rsid w:val="0084705D"/>
    <w:rsid w:val="00852484"/>
    <w:rsid w:val="008525D4"/>
    <w:rsid w:val="00852D1A"/>
    <w:rsid w:val="0085473C"/>
    <w:rsid w:val="00855FA8"/>
    <w:rsid w:val="0085623E"/>
    <w:rsid w:val="00856C56"/>
    <w:rsid w:val="00860C7B"/>
    <w:rsid w:val="00863311"/>
    <w:rsid w:val="008646E4"/>
    <w:rsid w:val="00864B0D"/>
    <w:rsid w:val="00864D35"/>
    <w:rsid w:val="00866C16"/>
    <w:rsid w:val="00866F72"/>
    <w:rsid w:val="00866FEA"/>
    <w:rsid w:val="0086784F"/>
    <w:rsid w:val="008722E5"/>
    <w:rsid w:val="008741E8"/>
    <w:rsid w:val="00874AAE"/>
    <w:rsid w:val="00875517"/>
    <w:rsid w:val="0087571F"/>
    <w:rsid w:val="00875B19"/>
    <w:rsid w:val="00875D54"/>
    <w:rsid w:val="00875DD7"/>
    <w:rsid w:val="008778A2"/>
    <w:rsid w:val="0088000D"/>
    <w:rsid w:val="00880BE2"/>
    <w:rsid w:val="00880DBE"/>
    <w:rsid w:val="008812A8"/>
    <w:rsid w:val="00881D91"/>
    <w:rsid w:val="008837BA"/>
    <w:rsid w:val="008849BF"/>
    <w:rsid w:val="00884D46"/>
    <w:rsid w:val="00884F19"/>
    <w:rsid w:val="00885116"/>
    <w:rsid w:val="008873F4"/>
    <w:rsid w:val="00887F75"/>
    <w:rsid w:val="00890BCD"/>
    <w:rsid w:val="008918CC"/>
    <w:rsid w:val="00891A72"/>
    <w:rsid w:val="008923AB"/>
    <w:rsid w:val="00893237"/>
    <w:rsid w:val="00893678"/>
    <w:rsid w:val="00894590"/>
    <w:rsid w:val="0089678B"/>
    <w:rsid w:val="00896C8A"/>
    <w:rsid w:val="0089709E"/>
    <w:rsid w:val="00897382"/>
    <w:rsid w:val="008979E0"/>
    <w:rsid w:val="008A1733"/>
    <w:rsid w:val="008A2538"/>
    <w:rsid w:val="008A2CFD"/>
    <w:rsid w:val="008A477C"/>
    <w:rsid w:val="008A5842"/>
    <w:rsid w:val="008A5E0A"/>
    <w:rsid w:val="008B1249"/>
    <w:rsid w:val="008B52C3"/>
    <w:rsid w:val="008B6145"/>
    <w:rsid w:val="008B6C81"/>
    <w:rsid w:val="008C02BF"/>
    <w:rsid w:val="008C178B"/>
    <w:rsid w:val="008C1BC7"/>
    <w:rsid w:val="008C2A4D"/>
    <w:rsid w:val="008C3840"/>
    <w:rsid w:val="008C65C2"/>
    <w:rsid w:val="008C76AC"/>
    <w:rsid w:val="008C7EC1"/>
    <w:rsid w:val="008D03E0"/>
    <w:rsid w:val="008D0E03"/>
    <w:rsid w:val="008D0E19"/>
    <w:rsid w:val="008D1946"/>
    <w:rsid w:val="008D248A"/>
    <w:rsid w:val="008D3074"/>
    <w:rsid w:val="008D3AC0"/>
    <w:rsid w:val="008D5083"/>
    <w:rsid w:val="008D531F"/>
    <w:rsid w:val="008D668E"/>
    <w:rsid w:val="008D7C95"/>
    <w:rsid w:val="008E1C56"/>
    <w:rsid w:val="008E3BE6"/>
    <w:rsid w:val="008E454B"/>
    <w:rsid w:val="008E55BB"/>
    <w:rsid w:val="008E701F"/>
    <w:rsid w:val="008E7C3F"/>
    <w:rsid w:val="008F0D98"/>
    <w:rsid w:val="008F1918"/>
    <w:rsid w:val="008F4E02"/>
    <w:rsid w:val="008F56EC"/>
    <w:rsid w:val="008F5B84"/>
    <w:rsid w:val="008F622A"/>
    <w:rsid w:val="008F798D"/>
    <w:rsid w:val="00900307"/>
    <w:rsid w:val="0090060E"/>
    <w:rsid w:val="00901EEB"/>
    <w:rsid w:val="00902408"/>
    <w:rsid w:val="0090275E"/>
    <w:rsid w:val="009040A6"/>
    <w:rsid w:val="009045E4"/>
    <w:rsid w:val="00904B2B"/>
    <w:rsid w:val="00905370"/>
    <w:rsid w:val="00906415"/>
    <w:rsid w:val="00907378"/>
    <w:rsid w:val="009077FF"/>
    <w:rsid w:val="00910188"/>
    <w:rsid w:val="00911BA0"/>
    <w:rsid w:val="00911D21"/>
    <w:rsid w:val="009124D2"/>
    <w:rsid w:val="00912AC3"/>
    <w:rsid w:val="00913CF6"/>
    <w:rsid w:val="00916E62"/>
    <w:rsid w:val="0092084A"/>
    <w:rsid w:val="009208E9"/>
    <w:rsid w:val="00920B88"/>
    <w:rsid w:val="0092379B"/>
    <w:rsid w:val="00923D39"/>
    <w:rsid w:val="00925B0D"/>
    <w:rsid w:val="009304CD"/>
    <w:rsid w:val="00930754"/>
    <w:rsid w:val="009314B7"/>
    <w:rsid w:val="00932FA6"/>
    <w:rsid w:val="00935FCA"/>
    <w:rsid w:val="00937277"/>
    <w:rsid w:val="00937A0A"/>
    <w:rsid w:val="00940095"/>
    <w:rsid w:val="0094017E"/>
    <w:rsid w:val="00941505"/>
    <w:rsid w:val="0094331E"/>
    <w:rsid w:val="00944A8E"/>
    <w:rsid w:val="00945F08"/>
    <w:rsid w:val="00947309"/>
    <w:rsid w:val="0094774A"/>
    <w:rsid w:val="00952287"/>
    <w:rsid w:val="009562E2"/>
    <w:rsid w:val="00956D15"/>
    <w:rsid w:val="00957742"/>
    <w:rsid w:val="00957A74"/>
    <w:rsid w:val="0096095A"/>
    <w:rsid w:val="009633FD"/>
    <w:rsid w:val="00963ED1"/>
    <w:rsid w:val="00965DEC"/>
    <w:rsid w:val="00966853"/>
    <w:rsid w:val="00966B34"/>
    <w:rsid w:val="00967FC1"/>
    <w:rsid w:val="00972253"/>
    <w:rsid w:val="00974C0C"/>
    <w:rsid w:val="00974FE6"/>
    <w:rsid w:val="00976D44"/>
    <w:rsid w:val="00980775"/>
    <w:rsid w:val="00980F02"/>
    <w:rsid w:val="00983604"/>
    <w:rsid w:val="00984F6F"/>
    <w:rsid w:val="0098572E"/>
    <w:rsid w:val="0098690A"/>
    <w:rsid w:val="009876B2"/>
    <w:rsid w:val="00991447"/>
    <w:rsid w:val="00993428"/>
    <w:rsid w:val="00993680"/>
    <w:rsid w:val="0099395C"/>
    <w:rsid w:val="00994596"/>
    <w:rsid w:val="0099463C"/>
    <w:rsid w:val="00994D79"/>
    <w:rsid w:val="0099717A"/>
    <w:rsid w:val="009A03B3"/>
    <w:rsid w:val="009A0DAC"/>
    <w:rsid w:val="009A184D"/>
    <w:rsid w:val="009A1CAA"/>
    <w:rsid w:val="009A2F08"/>
    <w:rsid w:val="009A5DB0"/>
    <w:rsid w:val="009A61D3"/>
    <w:rsid w:val="009A7438"/>
    <w:rsid w:val="009B1E34"/>
    <w:rsid w:val="009B236A"/>
    <w:rsid w:val="009B2CB0"/>
    <w:rsid w:val="009B33ED"/>
    <w:rsid w:val="009B3539"/>
    <w:rsid w:val="009B5B9A"/>
    <w:rsid w:val="009B6748"/>
    <w:rsid w:val="009B77C4"/>
    <w:rsid w:val="009C0737"/>
    <w:rsid w:val="009C0BC2"/>
    <w:rsid w:val="009C1319"/>
    <w:rsid w:val="009C28CC"/>
    <w:rsid w:val="009C37E7"/>
    <w:rsid w:val="009C436E"/>
    <w:rsid w:val="009C4C6C"/>
    <w:rsid w:val="009C4F33"/>
    <w:rsid w:val="009C5812"/>
    <w:rsid w:val="009C6B87"/>
    <w:rsid w:val="009C722B"/>
    <w:rsid w:val="009C7D8D"/>
    <w:rsid w:val="009D0914"/>
    <w:rsid w:val="009D1CC4"/>
    <w:rsid w:val="009D231E"/>
    <w:rsid w:val="009D289C"/>
    <w:rsid w:val="009D2B2D"/>
    <w:rsid w:val="009D3253"/>
    <w:rsid w:val="009D4A1E"/>
    <w:rsid w:val="009D4D93"/>
    <w:rsid w:val="009D57F1"/>
    <w:rsid w:val="009D5FDA"/>
    <w:rsid w:val="009D7270"/>
    <w:rsid w:val="009D7299"/>
    <w:rsid w:val="009D7598"/>
    <w:rsid w:val="009D791A"/>
    <w:rsid w:val="009E1453"/>
    <w:rsid w:val="009E274F"/>
    <w:rsid w:val="009E2AE4"/>
    <w:rsid w:val="009E4595"/>
    <w:rsid w:val="009E53F5"/>
    <w:rsid w:val="009E6B4E"/>
    <w:rsid w:val="009E7330"/>
    <w:rsid w:val="009F0956"/>
    <w:rsid w:val="009F0DDF"/>
    <w:rsid w:val="009F1158"/>
    <w:rsid w:val="009F2931"/>
    <w:rsid w:val="009F2DF8"/>
    <w:rsid w:val="009F34D1"/>
    <w:rsid w:val="009F488B"/>
    <w:rsid w:val="009F5A31"/>
    <w:rsid w:val="009F60E9"/>
    <w:rsid w:val="009F6275"/>
    <w:rsid w:val="009F7F8B"/>
    <w:rsid w:val="00A00023"/>
    <w:rsid w:val="00A03872"/>
    <w:rsid w:val="00A03EAC"/>
    <w:rsid w:val="00A05C83"/>
    <w:rsid w:val="00A06708"/>
    <w:rsid w:val="00A0678A"/>
    <w:rsid w:val="00A06AE7"/>
    <w:rsid w:val="00A0760D"/>
    <w:rsid w:val="00A125A3"/>
    <w:rsid w:val="00A127DC"/>
    <w:rsid w:val="00A13633"/>
    <w:rsid w:val="00A14013"/>
    <w:rsid w:val="00A146D0"/>
    <w:rsid w:val="00A14ED3"/>
    <w:rsid w:val="00A15101"/>
    <w:rsid w:val="00A15649"/>
    <w:rsid w:val="00A1712F"/>
    <w:rsid w:val="00A17508"/>
    <w:rsid w:val="00A204B0"/>
    <w:rsid w:val="00A21041"/>
    <w:rsid w:val="00A238B5"/>
    <w:rsid w:val="00A238D7"/>
    <w:rsid w:val="00A240BB"/>
    <w:rsid w:val="00A24819"/>
    <w:rsid w:val="00A24B66"/>
    <w:rsid w:val="00A25E35"/>
    <w:rsid w:val="00A2705E"/>
    <w:rsid w:val="00A30FAC"/>
    <w:rsid w:val="00A3195D"/>
    <w:rsid w:val="00A31A42"/>
    <w:rsid w:val="00A321DA"/>
    <w:rsid w:val="00A339BF"/>
    <w:rsid w:val="00A341E7"/>
    <w:rsid w:val="00A34F9C"/>
    <w:rsid w:val="00A37813"/>
    <w:rsid w:val="00A406BF"/>
    <w:rsid w:val="00A4202B"/>
    <w:rsid w:val="00A42EF3"/>
    <w:rsid w:val="00A44BCB"/>
    <w:rsid w:val="00A45888"/>
    <w:rsid w:val="00A50242"/>
    <w:rsid w:val="00A50EB0"/>
    <w:rsid w:val="00A526BC"/>
    <w:rsid w:val="00A5378D"/>
    <w:rsid w:val="00A5379D"/>
    <w:rsid w:val="00A53AA9"/>
    <w:rsid w:val="00A54998"/>
    <w:rsid w:val="00A55ECE"/>
    <w:rsid w:val="00A56311"/>
    <w:rsid w:val="00A56965"/>
    <w:rsid w:val="00A56AF6"/>
    <w:rsid w:val="00A56D8D"/>
    <w:rsid w:val="00A60223"/>
    <w:rsid w:val="00A60A79"/>
    <w:rsid w:val="00A613AC"/>
    <w:rsid w:val="00A62071"/>
    <w:rsid w:val="00A621D1"/>
    <w:rsid w:val="00A63436"/>
    <w:rsid w:val="00A6371D"/>
    <w:rsid w:val="00A65011"/>
    <w:rsid w:val="00A6565C"/>
    <w:rsid w:val="00A65855"/>
    <w:rsid w:val="00A66FA9"/>
    <w:rsid w:val="00A67B71"/>
    <w:rsid w:val="00A70DC6"/>
    <w:rsid w:val="00A70DC8"/>
    <w:rsid w:val="00A72208"/>
    <w:rsid w:val="00A7330B"/>
    <w:rsid w:val="00A73942"/>
    <w:rsid w:val="00A73B0D"/>
    <w:rsid w:val="00A73B72"/>
    <w:rsid w:val="00A748C4"/>
    <w:rsid w:val="00A74ADB"/>
    <w:rsid w:val="00A76C84"/>
    <w:rsid w:val="00A81304"/>
    <w:rsid w:val="00A8228E"/>
    <w:rsid w:val="00A8332F"/>
    <w:rsid w:val="00A838B9"/>
    <w:rsid w:val="00A84359"/>
    <w:rsid w:val="00A84B9D"/>
    <w:rsid w:val="00A85BD4"/>
    <w:rsid w:val="00A8604B"/>
    <w:rsid w:val="00A86199"/>
    <w:rsid w:val="00A86B2C"/>
    <w:rsid w:val="00A87A2C"/>
    <w:rsid w:val="00A925C1"/>
    <w:rsid w:val="00A92B52"/>
    <w:rsid w:val="00A931DC"/>
    <w:rsid w:val="00A9446A"/>
    <w:rsid w:val="00A960E3"/>
    <w:rsid w:val="00AA1554"/>
    <w:rsid w:val="00AA25C2"/>
    <w:rsid w:val="00AA2EB2"/>
    <w:rsid w:val="00AA3C2D"/>
    <w:rsid w:val="00AA3E4E"/>
    <w:rsid w:val="00AA40AD"/>
    <w:rsid w:val="00AA5125"/>
    <w:rsid w:val="00AA5754"/>
    <w:rsid w:val="00AA7105"/>
    <w:rsid w:val="00AA74A7"/>
    <w:rsid w:val="00AB0009"/>
    <w:rsid w:val="00AB06D9"/>
    <w:rsid w:val="00AB143E"/>
    <w:rsid w:val="00AB3F74"/>
    <w:rsid w:val="00AB47A2"/>
    <w:rsid w:val="00AB67F2"/>
    <w:rsid w:val="00AB693A"/>
    <w:rsid w:val="00AB720C"/>
    <w:rsid w:val="00AB7453"/>
    <w:rsid w:val="00AB7B5E"/>
    <w:rsid w:val="00AC0372"/>
    <w:rsid w:val="00AC0396"/>
    <w:rsid w:val="00AC103C"/>
    <w:rsid w:val="00AC2066"/>
    <w:rsid w:val="00AC44FE"/>
    <w:rsid w:val="00AC4788"/>
    <w:rsid w:val="00AC4E67"/>
    <w:rsid w:val="00AC50FF"/>
    <w:rsid w:val="00AC529B"/>
    <w:rsid w:val="00AC6D59"/>
    <w:rsid w:val="00AC7960"/>
    <w:rsid w:val="00AD1D93"/>
    <w:rsid w:val="00AD2E8A"/>
    <w:rsid w:val="00AD392E"/>
    <w:rsid w:val="00AD4488"/>
    <w:rsid w:val="00AD4BDB"/>
    <w:rsid w:val="00AD51A7"/>
    <w:rsid w:val="00AD67FC"/>
    <w:rsid w:val="00AD775E"/>
    <w:rsid w:val="00AD7D70"/>
    <w:rsid w:val="00AD7DCD"/>
    <w:rsid w:val="00AE07F9"/>
    <w:rsid w:val="00AE156D"/>
    <w:rsid w:val="00AE1969"/>
    <w:rsid w:val="00AE2241"/>
    <w:rsid w:val="00AE38B4"/>
    <w:rsid w:val="00AE3FFF"/>
    <w:rsid w:val="00AE4D02"/>
    <w:rsid w:val="00AE6F1B"/>
    <w:rsid w:val="00AE72F3"/>
    <w:rsid w:val="00AF077D"/>
    <w:rsid w:val="00AF1494"/>
    <w:rsid w:val="00AF172F"/>
    <w:rsid w:val="00AF295D"/>
    <w:rsid w:val="00AF3F35"/>
    <w:rsid w:val="00AF5435"/>
    <w:rsid w:val="00AF6800"/>
    <w:rsid w:val="00B00D84"/>
    <w:rsid w:val="00B03088"/>
    <w:rsid w:val="00B0321C"/>
    <w:rsid w:val="00B032A1"/>
    <w:rsid w:val="00B03593"/>
    <w:rsid w:val="00B057AA"/>
    <w:rsid w:val="00B06B80"/>
    <w:rsid w:val="00B1001D"/>
    <w:rsid w:val="00B10793"/>
    <w:rsid w:val="00B11587"/>
    <w:rsid w:val="00B13203"/>
    <w:rsid w:val="00B13301"/>
    <w:rsid w:val="00B13CB7"/>
    <w:rsid w:val="00B14062"/>
    <w:rsid w:val="00B15ACE"/>
    <w:rsid w:val="00B21C42"/>
    <w:rsid w:val="00B23073"/>
    <w:rsid w:val="00B23364"/>
    <w:rsid w:val="00B2362D"/>
    <w:rsid w:val="00B23EA6"/>
    <w:rsid w:val="00B24183"/>
    <w:rsid w:val="00B249FB"/>
    <w:rsid w:val="00B25905"/>
    <w:rsid w:val="00B331B7"/>
    <w:rsid w:val="00B33670"/>
    <w:rsid w:val="00B3411C"/>
    <w:rsid w:val="00B342EB"/>
    <w:rsid w:val="00B3659D"/>
    <w:rsid w:val="00B36ABD"/>
    <w:rsid w:val="00B36CC5"/>
    <w:rsid w:val="00B37948"/>
    <w:rsid w:val="00B405CE"/>
    <w:rsid w:val="00B42DAF"/>
    <w:rsid w:val="00B42DCA"/>
    <w:rsid w:val="00B4553A"/>
    <w:rsid w:val="00B45993"/>
    <w:rsid w:val="00B4723C"/>
    <w:rsid w:val="00B50566"/>
    <w:rsid w:val="00B513D5"/>
    <w:rsid w:val="00B53FB6"/>
    <w:rsid w:val="00B5426F"/>
    <w:rsid w:val="00B544CC"/>
    <w:rsid w:val="00B54BA5"/>
    <w:rsid w:val="00B57FC2"/>
    <w:rsid w:val="00B606C1"/>
    <w:rsid w:val="00B607F1"/>
    <w:rsid w:val="00B614B8"/>
    <w:rsid w:val="00B62DE5"/>
    <w:rsid w:val="00B64926"/>
    <w:rsid w:val="00B65A77"/>
    <w:rsid w:val="00B65D23"/>
    <w:rsid w:val="00B65F6E"/>
    <w:rsid w:val="00B66093"/>
    <w:rsid w:val="00B66839"/>
    <w:rsid w:val="00B668A7"/>
    <w:rsid w:val="00B6695F"/>
    <w:rsid w:val="00B70F37"/>
    <w:rsid w:val="00B71D6D"/>
    <w:rsid w:val="00B74869"/>
    <w:rsid w:val="00B74CD6"/>
    <w:rsid w:val="00B773B1"/>
    <w:rsid w:val="00B777AE"/>
    <w:rsid w:val="00B77F15"/>
    <w:rsid w:val="00B81098"/>
    <w:rsid w:val="00B83C6E"/>
    <w:rsid w:val="00B84026"/>
    <w:rsid w:val="00B8467B"/>
    <w:rsid w:val="00B84949"/>
    <w:rsid w:val="00B8546D"/>
    <w:rsid w:val="00B86232"/>
    <w:rsid w:val="00B86930"/>
    <w:rsid w:val="00B87253"/>
    <w:rsid w:val="00B8770F"/>
    <w:rsid w:val="00B90C8C"/>
    <w:rsid w:val="00B92BAF"/>
    <w:rsid w:val="00B93FC6"/>
    <w:rsid w:val="00B94317"/>
    <w:rsid w:val="00B9448A"/>
    <w:rsid w:val="00B9501D"/>
    <w:rsid w:val="00B959E5"/>
    <w:rsid w:val="00BA0B0F"/>
    <w:rsid w:val="00BA1D56"/>
    <w:rsid w:val="00BA2C08"/>
    <w:rsid w:val="00BA35E7"/>
    <w:rsid w:val="00BA387C"/>
    <w:rsid w:val="00BA3B5F"/>
    <w:rsid w:val="00BA3EE7"/>
    <w:rsid w:val="00BA4248"/>
    <w:rsid w:val="00BA5355"/>
    <w:rsid w:val="00BA5602"/>
    <w:rsid w:val="00BA560E"/>
    <w:rsid w:val="00BA5662"/>
    <w:rsid w:val="00BA5874"/>
    <w:rsid w:val="00BA6128"/>
    <w:rsid w:val="00BA6C5E"/>
    <w:rsid w:val="00BB041A"/>
    <w:rsid w:val="00BB0BA6"/>
    <w:rsid w:val="00BB1691"/>
    <w:rsid w:val="00BB19BA"/>
    <w:rsid w:val="00BB42E0"/>
    <w:rsid w:val="00BB47DE"/>
    <w:rsid w:val="00BB6429"/>
    <w:rsid w:val="00BB7CE5"/>
    <w:rsid w:val="00BC0741"/>
    <w:rsid w:val="00BC2519"/>
    <w:rsid w:val="00BC2876"/>
    <w:rsid w:val="00BC51F4"/>
    <w:rsid w:val="00BC6621"/>
    <w:rsid w:val="00BD106C"/>
    <w:rsid w:val="00BD16AF"/>
    <w:rsid w:val="00BD17D2"/>
    <w:rsid w:val="00BD3984"/>
    <w:rsid w:val="00BD39A2"/>
    <w:rsid w:val="00BD3A1C"/>
    <w:rsid w:val="00BD3D32"/>
    <w:rsid w:val="00BD5F89"/>
    <w:rsid w:val="00BD70C9"/>
    <w:rsid w:val="00BE163C"/>
    <w:rsid w:val="00BE2078"/>
    <w:rsid w:val="00BE20E4"/>
    <w:rsid w:val="00BE2884"/>
    <w:rsid w:val="00BE5740"/>
    <w:rsid w:val="00BE63E9"/>
    <w:rsid w:val="00BE6936"/>
    <w:rsid w:val="00BE6F46"/>
    <w:rsid w:val="00BE75CE"/>
    <w:rsid w:val="00BE78B4"/>
    <w:rsid w:val="00BF1792"/>
    <w:rsid w:val="00BF22C3"/>
    <w:rsid w:val="00BF2371"/>
    <w:rsid w:val="00BF3BA8"/>
    <w:rsid w:val="00BF4038"/>
    <w:rsid w:val="00BF4C4F"/>
    <w:rsid w:val="00BF6455"/>
    <w:rsid w:val="00BF7A38"/>
    <w:rsid w:val="00C00EB6"/>
    <w:rsid w:val="00C0187E"/>
    <w:rsid w:val="00C02323"/>
    <w:rsid w:val="00C02CDF"/>
    <w:rsid w:val="00C036BD"/>
    <w:rsid w:val="00C03758"/>
    <w:rsid w:val="00C0651D"/>
    <w:rsid w:val="00C06652"/>
    <w:rsid w:val="00C07A8D"/>
    <w:rsid w:val="00C10007"/>
    <w:rsid w:val="00C10D37"/>
    <w:rsid w:val="00C119CD"/>
    <w:rsid w:val="00C12D62"/>
    <w:rsid w:val="00C136EC"/>
    <w:rsid w:val="00C139F4"/>
    <w:rsid w:val="00C1455E"/>
    <w:rsid w:val="00C20AA6"/>
    <w:rsid w:val="00C228D1"/>
    <w:rsid w:val="00C22D6C"/>
    <w:rsid w:val="00C23B89"/>
    <w:rsid w:val="00C249E9"/>
    <w:rsid w:val="00C24E26"/>
    <w:rsid w:val="00C25075"/>
    <w:rsid w:val="00C26CB0"/>
    <w:rsid w:val="00C2738A"/>
    <w:rsid w:val="00C305AE"/>
    <w:rsid w:val="00C30E25"/>
    <w:rsid w:val="00C3104B"/>
    <w:rsid w:val="00C31B6E"/>
    <w:rsid w:val="00C32CCD"/>
    <w:rsid w:val="00C348E0"/>
    <w:rsid w:val="00C34AE6"/>
    <w:rsid w:val="00C350EB"/>
    <w:rsid w:val="00C3531C"/>
    <w:rsid w:val="00C353A4"/>
    <w:rsid w:val="00C36DFB"/>
    <w:rsid w:val="00C40455"/>
    <w:rsid w:val="00C40A14"/>
    <w:rsid w:val="00C40F7C"/>
    <w:rsid w:val="00C43444"/>
    <w:rsid w:val="00C44F39"/>
    <w:rsid w:val="00C46E3F"/>
    <w:rsid w:val="00C47153"/>
    <w:rsid w:val="00C4789D"/>
    <w:rsid w:val="00C47A25"/>
    <w:rsid w:val="00C53E65"/>
    <w:rsid w:val="00C55ECA"/>
    <w:rsid w:val="00C60C50"/>
    <w:rsid w:val="00C63A64"/>
    <w:rsid w:val="00C6586D"/>
    <w:rsid w:val="00C6592D"/>
    <w:rsid w:val="00C66C63"/>
    <w:rsid w:val="00C7007A"/>
    <w:rsid w:val="00C70909"/>
    <w:rsid w:val="00C71A39"/>
    <w:rsid w:val="00C72E98"/>
    <w:rsid w:val="00C740BE"/>
    <w:rsid w:val="00C759F7"/>
    <w:rsid w:val="00C763ED"/>
    <w:rsid w:val="00C768D7"/>
    <w:rsid w:val="00C76998"/>
    <w:rsid w:val="00C8089B"/>
    <w:rsid w:val="00C81656"/>
    <w:rsid w:val="00C8175D"/>
    <w:rsid w:val="00C81948"/>
    <w:rsid w:val="00C823BB"/>
    <w:rsid w:val="00C8504B"/>
    <w:rsid w:val="00C85518"/>
    <w:rsid w:val="00C855D9"/>
    <w:rsid w:val="00C85897"/>
    <w:rsid w:val="00C9015F"/>
    <w:rsid w:val="00C9123A"/>
    <w:rsid w:val="00C91390"/>
    <w:rsid w:val="00C9164E"/>
    <w:rsid w:val="00C92FA0"/>
    <w:rsid w:val="00C94864"/>
    <w:rsid w:val="00C97925"/>
    <w:rsid w:val="00CA0113"/>
    <w:rsid w:val="00CA17A2"/>
    <w:rsid w:val="00CA17DD"/>
    <w:rsid w:val="00CA1B79"/>
    <w:rsid w:val="00CA21D8"/>
    <w:rsid w:val="00CA2E53"/>
    <w:rsid w:val="00CA3233"/>
    <w:rsid w:val="00CA5C62"/>
    <w:rsid w:val="00CB109F"/>
    <w:rsid w:val="00CB17F5"/>
    <w:rsid w:val="00CB2C18"/>
    <w:rsid w:val="00CB35C5"/>
    <w:rsid w:val="00CB3C62"/>
    <w:rsid w:val="00CB532C"/>
    <w:rsid w:val="00CB5C83"/>
    <w:rsid w:val="00CC1AA1"/>
    <w:rsid w:val="00CC20D0"/>
    <w:rsid w:val="00CC216A"/>
    <w:rsid w:val="00CC2798"/>
    <w:rsid w:val="00CC6075"/>
    <w:rsid w:val="00CC65C9"/>
    <w:rsid w:val="00CC7467"/>
    <w:rsid w:val="00CC7FE0"/>
    <w:rsid w:val="00CD0103"/>
    <w:rsid w:val="00CD0B51"/>
    <w:rsid w:val="00CD0E17"/>
    <w:rsid w:val="00CD1659"/>
    <w:rsid w:val="00CD31BA"/>
    <w:rsid w:val="00CD3BC0"/>
    <w:rsid w:val="00CD56EF"/>
    <w:rsid w:val="00CD66E2"/>
    <w:rsid w:val="00CD7486"/>
    <w:rsid w:val="00CE0105"/>
    <w:rsid w:val="00CE2007"/>
    <w:rsid w:val="00CE2065"/>
    <w:rsid w:val="00CE25F0"/>
    <w:rsid w:val="00CE47BC"/>
    <w:rsid w:val="00CE48F9"/>
    <w:rsid w:val="00CE4D9B"/>
    <w:rsid w:val="00CE4FE3"/>
    <w:rsid w:val="00CE5A8C"/>
    <w:rsid w:val="00CE5ABD"/>
    <w:rsid w:val="00CF1ADB"/>
    <w:rsid w:val="00CF219D"/>
    <w:rsid w:val="00CF2348"/>
    <w:rsid w:val="00CF36EF"/>
    <w:rsid w:val="00CF3761"/>
    <w:rsid w:val="00CF55A0"/>
    <w:rsid w:val="00D000AA"/>
    <w:rsid w:val="00D01053"/>
    <w:rsid w:val="00D01BC1"/>
    <w:rsid w:val="00D03291"/>
    <w:rsid w:val="00D05260"/>
    <w:rsid w:val="00D0633E"/>
    <w:rsid w:val="00D06B19"/>
    <w:rsid w:val="00D11316"/>
    <w:rsid w:val="00D11353"/>
    <w:rsid w:val="00D13E2E"/>
    <w:rsid w:val="00D13E87"/>
    <w:rsid w:val="00D13EAB"/>
    <w:rsid w:val="00D14875"/>
    <w:rsid w:val="00D162D9"/>
    <w:rsid w:val="00D16EEF"/>
    <w:rsid w:val="00D178E8"/>
    <w:rsid w:val="00D200E4"/>
    <w:rsid w:val="00D206BE"/>
    <w:rsid w:val="00D214B8"/>
    <w:rsid w:val="00D21516"/>
    <w:rsid w:val="00D235B2"/>
    <w:rsid w:val="00D23854"/>
    <w:rsid w:val="00D240E4"/>
    <w:rsid w:val="00D250AD"/>
    <w:rsid w:val="00D258BB"/>
    <w:rsid w:val="00D25F76"/>
    <w:rsid w:val="00D30107"/>
    <w:rsid w:val="00D3075E"/>
    <w:rsid w:val="00D309A9"/>
    <w:rsid w:val="00D30A5B"/>
    <w:rsid w:val="00D30D5A"/>
    <w:rsid w:val="00D31049"/>
    <w:rsid w:val="00D329CE"/>
    <w:rsid w:val="00D33B71"/>
    <w:rsid w:val="00D346D4"/>
    <w:rsid w:val="00D35CAD"/>
    <w:rsid w:val="00D36FBF"/>
    <w:rsid w:val="00D425D7"/>
    <w:rsid w:val="00D43824"/>
    <w:rsid w:val="00D43AD9"/>
    <w:rsid w:val="00D44CBE"/>
    <w:rsid w:val="00D44F8B"/>
    <w:rsid w:val="00D45617"/>
    <w:rsid w:val="00D45F6F"/>
    <w:rsid w:val="00D4668A"/>
    <w:rsid w:val="00D467E9"/>
    <w:rsid w:val="00D5014D"/>
    <w:rsid w:val="00D50483"/>
    <w:rsid w:val="00D510DA"/>
    <w:rsid w:val="00D5214B"/>
    <w:rsid w:val="00D52AF0"/>
    <w:rsid w:val="00D52E3B"/>
    <w:rsid w:val="00D53511"/>
    <w:rsid w:val="00D5402C"/>
    <w:rsid w:val="00D54CDA"/>
    <w:rsid w:val="00D557DF"/>
    <w:rsid w:val="00D55825"/>
    <w:rsid w:val="00D55906"/>
    <w:rsid w:val="00D56BB1"/>
    <w:rsid w:val="00D56BD5"/>
    <w:rsid w:val="00D5785F"/>
    <w:rsid w:val="00D6111F"/>
    <w:rsid w:val="00D62B98"/>
    <w:rsid w:val="00D62CEE"/>
    <w:rsid w:val="00D6546D"/>
    <w:rsid w:val="00D65C9D"/>
    <w:rsid w:val="00D65D0D"/>
    <w:rsid w:val="00D706CF"/>
    <w:rsid w:val="00D70C31"/>
    <w:rsid w:val="00D71C07"/>
    <w:rsid w:val="00D727D8"/>
    <w:rsid w:val="00D73B08"/>
    <w:rsid w:val="00D745D1"/>
    <w:rsid w:val="00D74728"/>
    <w:rsid w:val="00D74CBB"/>
    <w:rsid w:val="00D75E7A"/>
    <w:rsid w:val="00D7765B"/>
    <w:rsid w:val="00D80619"/>
    <w:rsid w:val="00D8104F"/>
    <w:rsid w:val="00D81EEC"/>
    <w:rsid w:val="00D8293E"/>
    <w:rsid w:val="00D829CE"/>
    <w:rsid w:val="00D83166"/>
    <w:rsid w:val="00D837E6"/>
    <w:rsid w:val="00D873F0"/>
    <w:rsid w:val="00D90D41"/>
    <w:rsid w:val="00D922B2"/>
    <w:rsid w:val="00D9288B"/>
    <w:rsid w:val="00D93922"/>
    <w:rsid w:val="00D96405"/>
    <w:rsid w:val="00D96A88"/>
    <w:rsid w:val="00D96C52"/>
    <w:rsid w:val="00D97153"/>
    <w:rsid w:val="00D9750E"/>
    <w:rsid w:val="00DA0534"/>
    <w:rsid w:val="00DA1EB6"/>
    <w:rsid w:val="00DA3A7C"/>
    <w:rsid w:val="00DA4525"/>
    <w:rsid w:val="00DA45E9"/>
    <w:rsid w:val="00DA4876"/>
    <w:rsid w:val="00DA560D"/>
    <w:rsid w:val="00DA6ABD"/>
    <w:rsid w:val="00DA6DF5"/>
    <w:rsid w:val="00DB2BC7"/>
    <w:rsid w:val="00DB312B"/>
    <w:rsid w:val="00DB337C"/>
    <w:rsid w:val="00DB6102"/>
    <w:rsid w:val="00DB6D48"/>
    <w:rsid w:val="00DB7C3C"/>
    <w:rsid w:val="00DB7D9F"/>
    <w:rsid w:val="00DC12A4"/>
    <w:rsid w:val="00DC2E29"/>
    <w:rsid w:val="00DC7726"/>
    <w:rsid w:val="00DC7815"/>
    <w:rsid w:val="00DD032D"/>
    <w:rsid w:val="00DD2FBB"/>
    <w:rsid w:val="00DD493C"/>
    <w:rsid w:val="00DD4B67"/>
    <w:rsid w:val="00DD72E5"/>
    <w:rsid w:val="00DD7E11"/>
    <w:rsid w:val="00DE1488"/>
    <w:rsid w:val="00DE164F"/>
    <w:rsid w:val="00DE18A6"/>
    <w:rsid w:val="00DE29FE"/>
    <w:rsid w:val="00DE33B3"/>
    <w:rsid w:val="00DE4016"/>
    <w:rsid w:val="00DE4A08"/>
    <w:rsid w:val="00DE763A"/>
    <w:rsid w:val="00DE7B53"/>
    <w:rsid w:val="00DF1032"/>
    <w:rsid w:val="00DF1573"/>
    <w:rsid w:val="00DF2AE1"/>
    <w:rsid w:val="00DF2B48"/>
    <w:rsid w:val="00DF2C5A"/>
    <w:rsid w:val="00DF35C1"/>
    <w:rsid w:val="00DF4333"/>
    <w:rsid w:val="00DF6A02"/>
    <w:rsid w:val="00E01EFE"/>
    <w:rsid w:val="00E030D0"/>
    <w:rsid w:val="00E043E7"/>
    <w:rsid w:val="00E04F45"/>
    <w:rsid w:val="00E050C5"/>
    <w:rsid w:val="00E05491"/>
    <w:rsid w:val="00E06598"/>
    <w:rsid w:val="00E067A6"/>
    <w:rsid w:val="00E07460"/>
    <w:rsid w:val="00E1015E"/>
    <w:rsid w:val="00E11260"/>
    <w:rsid w:val="00E128C3"/>
    <w:rsid w:val="00E1429A"/>
    <w:rsid w:val="00E15E72"/>
    <w:rsid w:val="00E161D2"/>
    <w:rsid w:val="00E169F4"/>
    <w:rsid w:val="00E16F9E"/>
    <w:rsid w:val="00E2235F"/>
    <w:rsid w:val="00E228B8"/>
    <w:rsid w:val="00E22D44"/>
    <w:rsid w:val="00E24B56"/>
    <w:rsid w:val="00E25A4C"/>
    <w:rsid w:val="00E26656"/>
    <w:rsid w:val="00E27E06"/>
    <w:rsid w:val="00E30389"/>
    <w:rsid w:val="00E32226"/>
    <w:rsid w:val="00E348C3"/>
    <w:rsid w:val="00E36558"/>
    <w:rsid w:val="00E37456"/>
    <w:rsid w:val="00E4087D"/>
    <w:rsid w:val="00E417BC"/>
    <w:rsid w:val="00E438B9"/>
    <w:rsid w:val="00E46003"/>
    <w:rsid w:val="00E4780A"/>
    <w:rsid w:val="00E47A29"/>
    <w:rsid w:val="00E50C51"/>
    <w:rsid w:val="00E53BAA"/>
    <w:rsid w:val="00E545E4"/>
    <w:rsid w:val="00E549AE"/>
    <w:rsid w:val="00E55810"/>
    <w:rsid w:val="00E5623D"/>
    <w:rsid w:val="00E567A2"/>
    <w:rsid w:val="00E60AA3"/>
    <w:rsid w:val="00E60E3C"/>
    <w:rsid w:val="00E60F1C"/>
    <w:rsid w:val="00E61D18"/>
    <w:rsid w:val="00E61EC7"/>
    <w:rsid w:val="00E62D2C"/>
    <w:rsid w:val="00E63CF3"/>
    <w:rsid w:val="00E64A75"/>
    <w:rsid w:val="00E6516A"/>
    <w:rsid w:val="00E67927"/>
    <w:rsid w:val="00E67E9F"/>
    <w:rsid w:val="00E70D9B"/>
    <w:rsid w:val="00E70E94"/>
    <w:rsid w:val="00E70EA2"/>
    <w:rsid w:val="00E715FF"/>
    <w:rsid w:val="00E72CEC"/>
    <w:rsid w:val="00E72E52"/>
    <w:rsid w:val="00E762DD"/>
    <w:rsid w:val="00E76ADB"/>
    <w:rsid w:val="00E76EC2"/>
    <w:rsid w:val="00E8015D"/>
    <w:rsid w:val="00E8023A"/>
    <w:rsid w:val="00E80E53"/>
    <w:rsid w:val="00E83433"/>
    <w:rsid w:val="00E83653"/>
    <w:rsid w:val="00E84333"/>
    <w:rsid w:val="00E85BEA"/>
    <w:rsid w:val="00E860D9"/>
    <w:rsid w:val="00E86514"/>
    <w:rsid w:val="00E8697F"/>
    <w:rsid w:val="00E87F91"/>
    <w:rsid w:val="00E90D5D"/>
    <w:rsid w:val="00E917FB"/>
    <w:rsid w:val="00E91E2D"/>
    <w:rsid w:val="00E9220A"/>
    <w:rsid w:val="00E92A8D"/>
    <w:rsid w:val="00E943A2"/>
    <w:rsid w:val="00E952FD"/>
    <w:rsid w:val="00E95B3E"/>
    <w:rsid w:val="00E95E81"/>
    <w:rsid w:val="00E96A8D"/>
    <w:rsid w:val="00E96D33"/>
    <w:rsid w:val="00EA0A2F"/>
    <w:rsid w:val="00EA1279"/>
    <w:rsid w:val="00EA1457"/>
    <w:rsid w:val="00EA2C4C"/>
    <w:rsid w:val="00EA30A6"/>
    <w:rsid w:val="00EA4063"/>
    <w:rsid w:val="00EA46D6"/>
    <w:rsid w:val="00EA4E24"/>
    <w:rsid w:val="00EA5160"/>
    <w:rsid w:val="00EA5B3F"/>
    <w:rsid w:val="00EA69B6"/>
    <w:rsid w:val="00EA6CC8"/>
    <w:rsid w:val="00EA798A"/>
    <w:rsid w:val="00EB09E8"/>
    <w:rsid w:val="00EB3AEF"/>
    <w:rsid w:val="00EB48A8"/>
    <w:rsid w:val="00EB549C"/>
    <w:rsid w:val="00EB5E79"/>
    <w:rsid w:val="00EC01A9"/>
    <w:rsid w:val="00EC30CC"/>
    <w:rsid w:val="00EC3688"/>
    <w:rsid w:val="00EC604A"/>
    <w:rsid w:val="00EC7E71"/>
    <w:rsid w:val="00ED03A9"/>
    <w:rsid w:val="00ED0EE6"/>
    <w:rsid w:val="00ED21E7"/>
    <w:rsid w:val="00ED3481"/>
    <w:rsid w:val="00ED50A5"/>
    <w:rsid w:val="00ED6214"/>
    <w:rsid w:val="00ED646E"/>
    <w:rsid w:val="00ED7205"/>
    <w:rsid w:val="00ED741E"/>
    <w:rsid w:val="00EE0A88"/>
    <w:rsid w:val="00EE0AB3"/>
    <w:rsid w:val="00EE22CD"/>
    <w:rsid w:val="00EE2311"/>
    <w:rsid w:val="00EE27EF"/>
    <w:rsid w:val="00EE33D7"/>
    <w:rsid w:val="00EE57E5"/>
    <w:rsid w:val="00EE599D"/>
    <w:rsid w:val="00EE775F"/>
    <w:rsid w:val="00EF02C9"/>
    <w:rsid w:val="00EF0FFC"/>
    <w:rsid w:val="00EF422C"/>
    <w:rsid w:val="00EF4BB4"/>
    <w:rsid w:val="00EF4E56"/>
    <w:rsid w:val="00EF5BFC"/>
    <w:rsid w:val="00EF5EF1"/>
    <w:rsid w:val="00EF6038"/>
    <w:rsid w:val="00EF7B03"/>
    <w:rsid w:val="00F00C2C"/>
    <w:rsid w:val="00F01DA5"/>
    <w:rsid w:val="00F07504"/>
    <w:rsid w:val="00F07567"/>
    <w:rsid w:val="00F102B6"/>
    <w:rsid w:val="00F10354"/>
    <w:rsid w:val="00F114AD"/>
    <w:rsid w:val="00F11D07"/>
    <w:rsid w:val="00F13AD5"/>
    <w:rsid w:val="00F1443D"/>
    <w:rsid w:val="00F16D7B"/>
    <w:rsid w:val="00F16E79"/>
    <w:rsid w:val="00F17507"/>
    <w:rsid w:val="00F215D2"/>
    <w:rsid w:val="00F2262D"/>
    <w:rsid w:val="00F22D51"/>
    <w:rsid w:val="00F23F1A"/>
    <w:rsid w:val="00F254E5"/>
    <w:rsid w:val="00F25AA1"/>
    <w:rsid w:val="00F27207"/>
    <w:rsid w:val="00F3188B"/>
    <w:rsid w:val="00F31A2E"/>
    <w:rsid w:val="00F32638"/>
    <w:rsid w:val="00F32D1C"/>
    <w:rsid w:val="00F346A3"/>
    <w:rsid w:val="00F3726C"/>
    <w:rsid w:val="00F379A4"/>
    <w:rsid w:val="00F37CAD"/>
    <w:rsid w:val="00F40B5B"/>
    <w:rsid w:val="00F417CB"/>
    <w:rsid w:val="00F41EB0"/>
    <w:rsid w:val="00F427FC"/>
    <w:rsid w:val="00F42B59"/>
    <w:rsid w:val="00F444FE"/>
    <w:rsid w:val="00F449FC"/>
    <w:rsid w:val="00F44C70"/>
    <w:rsid w:val="00F44D3B"/>
    <w:rsid w:val="00F478D9"/>
    <w:rsid w:val="00F511FC"/>
    <w:rsid w:val="00F513DD"/>
    <w:rsid w:val="00F53566"/>
    <w:rsid w:val="00F54532"/>
    <w:rsid w:val="00F5458A"/>
    <w:rsid w:val="00F54B0F"/>
    <w:rsid w:val="00F54CE3"/>
    <w:rsid w:val="00F56DA6"/>
    <w:rsid w:val="00F60CA1"/>
    <w:rsid w:val="00F6189B"/>
    <w:rsid w:val="00F61CE4"/>
    <w:rsid w:val="00F62B8C"/>
    <w:rsid w:val="00F63C70"/>
    <w:rsid w:val="00F702DD"/>
    <w:rsid w:val="00F71E92"/>
    <w:rsid w:val="00F74E79"/>
    <w:rsid w:val="00F766B1"/>
    <w:rsid w:val="00F767DF"/>
    <w:rsid w:val="00F76C94"/>
    <w:rsid w:val="00F77EA3"/>
    <w:rsid w:val="00F80DDB"/>
    <w:rsid w:val="00F81D78"/>
    <w:rsid w:val="00F84219"/>
    <w:rsid w:val="00F8427B"/>
    <w:rsid w:val="00F84EEF"/>
    <w:rsid w:val="00F8506F"/>
    <w:rsid w:val="00F864AC"/>
    <w:rsid w:val="00F866A8"/>
    <w:rsid w:val="00F904D4"/>
    <w:rsid w:val="00F9072E"/>
    <w:rsid w:val="00F92C81"/>
    <w:rsid w:val="00F938B4"/>
    <w:rsid w:val="00F940C3"/>
    <w:rsid w:val="00F94C14"/>
    <w:rsid w:val="00FA0183"/>
    <w:rsid w:val="00FA03D5"/>
    <w:rsid w:val="00FA0A1D"/>
    <w:rsid w:val="00FA14C0"/>
    <w:rsid w:val="00FA5157"/>
    <w:rsid w:val="00FA5F16"/>
    <w:rsid w:val="00FA66E5"/>
    <w:rsid w:val="00FA6A8C"/>
    <w:rsid w:val="00FB0B7D"/>
    <w:rsid w:val="00FB111E"/>
    <w:rsid w:val="00FB32C2"/>
    <w:rsid w:val="00FB330E"/>
    <w:rsid w:val="00FB42C6"/>
    <w:rsid w:val="00FB4CE1"/>
    <w:rsid w:val="00FB538B"/>
    <w:rsid w:val="00FB5B3F"/>
    <w:rsid w:val="00FB5F77"/>
    <w:rsid w:val="00FB6229"/>
    <w:rsid w:val="00FB66DB"/>
    <w:rsid w:val="00FB7358"/>
    <w:rsid w:val="00FB74FB"/>
    <w:rsid w:val="00FB7770"/>
    <w:rsid w:val="00FB788E"/>
    <w:rsid w:val="00FC0838"/>
    <w:rsid w:val="00FC18F3"/>
    <w:rsid w:val="00FC22A6"/>
    <w:rsid w:val="00FC293A"/>
    <w:rsid w:val="00FC3742"/>
    <w:rsid w:val="00FC3C97"/>
    <w:rsid w:val="00FC5C76"/>
    <w:rsid w:val="00FC7363"/>
    <w:rsid w:val="00FC7939"/>
    <w:rsid w:val="00FC7955"/>
    <w:rsid w:val="00FD09CF"/>
    <w:rsid w:val="00FD0E7A"/>
    <w:rsid w:val="00FD1441"/>
    <w:rsid w:val="00FD196D"/>
    <w:rsid w:val="00FD1D94"/>
    <w:rsid w:val="00FD50CA"/>
    <w:rsid w:val="00FD6601"/>
    <w:rsid w:val="00FD6A18"/>
    <w:rsid w:val="00FD6B55"/>
    <w:rsid w:val="00FD6FD2"/>
    <w:rsid w:val="00FD7A69"/>
    <w:rsid w:val="00FE005E"/>
    <w:rsid w:val="00FE07A4"/>
    <w:rsid w:val="00FE1755"/>
    <w:rsid w:val="00FE1B91"/>
    <w:rsid w:val="00FE2B7D"/>
    <w:rsid w:val="00FE4ECE"/>
    <w:rsid w:val="00FE6B12"/>
    <w:rsid w:val="00FE780D"/>
    <w:rsid w:val="00FE7D09"/>
    <w:rsid w:val="00FE7FA8"/>
    <w:rsid w:val="00FF3D72"/>
    <w:rsid w:val="00FF3DDC"/>
    <w:rsid w:val="00FF424C"/>
    <w:rsid w:val="00FF4DE0"/>
    <w:rsid w:val="00FF5D6C"/>
    <w:rsid w:val="00FF64F2"/>
    <w:rsid w:val="00FF748B"/>
    <w:rsid w:val="010B1E00"/>
    <w:rsid w:val="014A102B"/>
    <w:rsid w:val="0160084E"/>
    <w:rsid w:val="01660FF1"/>
    <w:rsid w:val="01A87AFF"/>
    <w:rsid w:val="01AA4CF6"/>
    <w:rsid w:val="01C56E1F"/>
    <w:rsid w:val="01D94A0C"/>
    <w:rsid w:val="01F40F97"/>
    <w:rsid w:val="01FA674E"/>
    <w:rsid w:val="02105DD0"/>
    <w:rsid w:val="023F543E"/>
    <w:rsid w:val="02472BAC"/>
    <w:rsid w:val="027A6DA3"/>
    <w:rsid w:val="0285377D"/>
    <w:rsid w:val="029E285A"/>
    <w:rsid w:val="02A35163"/>
    <w:rsid w:val="02BB7FDE"/>
    <w:rsid w:val="02BF2237"/>
    <w:rsid w:val="02C95554"/>
    <w:rsid w:val="02F0175E"/>
    <w:rsid w:val="03353D51"/>
    <w:rsid w:val="0345685C"/>
    <w:rsid w:val="03C123C8"/>
    <w:rsid w:val="03D30E69"/>
    <w:rsid w:val="03DB74C4"/>
    <w:rsid w:val="04035DB4"/>
    <w:rsid w:val="042F2A80"/>
    <w:rsid w:val="045A1585"/>
    <w:rsid w:val="04820ADC"/>
    <w:rsid w:val="04943F97"/>
    <w:rsid w:val="04A610B0"/>
    <w:rsid w:val="04B05649"/>
    <w:rsid w:val="04D50F93"/>
    <w:rsid w:val="04E11B23"/>
    <w:rsid w:val="051A51B8"/>
    <w:rsid w:val="05211ED7"/>
    <w:rsid w:val="05393890"/>
    <w:rsid w:val="053B4576"/>
    <w:rsid w:val="053D664A"/>
    <w:rsid w:val="054D0C5F"/>
    <w:rsid w:val="05636384"/>
    <w:rsid w:val="057448C8"/>
    <w:rsid w:val="0585619F"/>
    <w:rsid w:val="05AA1544"/>
    <w:rsid w:val="05C81E1A"/>
    <w:rsid w:val="05CF6C6F"/>
    <w:rsid w:val="05E357C6"/>
    <w:rsid w:val="05EF21A1"/>
    <w:rsid w:val="05F81055"/>
    <w:rsid w:val="06173225"/>
    <w:rsid w:val="06626EEF"/>
    <w:rsid w:val="066606B5"/>
    <w:rsid w:val="06780FAB"/>
    <w:rsid w:val="06C00BBB"/>
    <w:rsid w:val="06C62F02"/>
    <w:rsid w:val="06CA19B2"/>
    <w:rsid w:val="071E4FBC"/>
    <w:rsid w:val="07324BB7"/>
    <w:rsid w:val="07453774"/>
    <w:rsid w:val="0754038F"/>
    <w:rsid w:val="0768220B"/>
    <w:rsid w:val="07803461"/>
    <w:rsid w:val="07D900C6"/>
    <w:rsid w:val="07DF7D9E"/>
    <w:rsid w:val="07E740C9"/>
    <w:rsid w:val="07FB4E2D"/>
    <w:rsid w:val="080A1514"/>
    <w:rsid w:val="083823D1"/>
    <w:rsid w:val="084A073B"/>
    <w:rsid w:val="085A66C1"/>
    <w:rsid w:val="085F33CA"/>
    <w:rsid w:val="086E4742"/>
    <w:rsid w:val="08716E9D"/>
    <w:rsid w:val="08B42AD4"/>
    <w:rsid w:val="08CC6344"/>
    <w:rsid w:val="08EC3E37"/>
    <w:rsid w:val="08F5187C"/>
    <w:rsid w:val="08F85810"/>
    <w:rsid w:val="09184791"/>
    <w:rsid w:val="09371E95"/>
    <w:rsid w:val="095C5AED"/>
    <w:rsid w:val="098E3A7F"/>
    <w:rsid w:val="09A60DC8"/>
    <w:rsid w:val="09B01C47"/>
    <w:rsid w:val="09B90184"/>
    <w:rsid w:val="09BD7309"/>
    <w:rsid w:val="09BE266B"/>
    <w:rsid w:val="09C91A8F"/>
    <w:rsid w:val="09CD0A4B"/>
    <w:rsid w:val="09D175A5"/>
    <w:rsid w:val="0A342D06"/>
    <w:rsid w:val="0A786C09"/>
    <w:rsid w:val="0AC16ABD"/>
    <w:rsid w:val="0ACB6AE7"/>
    <w:rsid w:val="0ACE2FD5"/>
    <w:rsid w:val="0AE26B3B"/>
    <w:rsid w:val="0B00275A"/>
    <w:rsid w:val="0B154424"/>
    <w:rsid w:val="0B3A2FF8"/>
    <w:rsid w:val="0B507080"/>
    <w:rsid w:val="0B64718D"/>
    <w:rsid w:val="0B7768AB"/>
    <w:rsid w:val="0B776EC0"/>
    <w:rsid w:val="0B91125E"/>
    <w:rsid w:val="0BCF2858"/>
    <w:rsid w:val="0BD15ACF"/>
    <w:rsid w:val="0BDF4221"/>
    <w:rsid w:val="0C0134B9"/>
    <w:rsid w:val="0C06146F"/>
    <w:rsid w:val="0C0876AF"/>
    <w:rsid w:val="0C394477"/>
    <w:rsid w:val="0C415011"/>
    <w:rsid w:val="0C474AE5"/>
    <w:rsid w:val="0C5E283A"/>
    <w:rsid w:val="0C8A49D1"/>
    <w:rsid w:val="0C901938"/>
    <w:rsid w:val="0C992E66"/>
    <w:rsid w:val="0CAD007E"/>
    <w:rsid w:val="0CAD246E"/>
    <w:rsid w:val="0CDD0FA5"/>
    <w:rsid w:val="0CE265BB"/>
    <w:rsid w:val="0CF62067"/>
    <w:rsid w:val="0D011A24"/>
    <w:rsid w:val="0D0B0534"/>
    <w:rsid w:val="0D103128"/>
    <w:rsid w:val="0D4A5F0F"/>
    <w:rsid w:val="0D892EDB"/>
    <w:rsid w:val="0D8D127C"/>
    <w:rsid w:val="0D9E045B"/>
    <w:rsid w:val="0DAF2CBD"/>
    <w:rsid w:val="0DF1591A"/>
    <w:rsid w:val="0DF540CC"/>
    <w:rsid w:val="0E1125BB"/>
    <w:rsid w:val="0E15476E"/>
    <w:rsid w:val="0E172295"/>
    <w:rsid w:val="0E37177E"/>
    <w:rsid w:val="0E462B7A"/>
    <w:rsid w:val="0E5E56E3"/>
    <w:rsid w:val="0EB64A1E"/>
    <w:rsid w:val="0EBB7EB6"/>
    <w:rsid w:val="0ECA4CFE"/>
    <w:rsid w:val="0EDE1004"/>
    <w:rsid w:val="0EE77462"/>
    <w:rsid w:val="0F037BE7"/>
    <w:rsid w:val="0F4B3E09"/>
    <w:rsid w:val="0F51079E"/>
    <w:rsid w:val="0F5F0397"/>
    <w:rsid w:val="0F882BE7"/>
    <w:rsid w:val="0F896D9D"/>
    <w:rsid w:val="0F977DB5"/>
    <w:rsid w:val="0FB1408E"/>
    <w:rsid w:val="0FC82A27"/>
    <w:rsid w:val="0FEE6678"/>
    <w:rsid w:val="0FFD665E"/>
    <w:rsid w:val="0FFF53A2"/>
    <w:rsid w:val="101C784D"/>
    <w:rsid w:val="10710382"/>
    <w:rsid w:val="109B53FF"/>
    <w:rsid w:val="10D41E94"/>
    <w:rsid w:val="10F644F5"/>
    <w:rsid w:val="10FB40F0"/>
    <w:rsid w:val="11252F1A"/>
    <w:rsid w:val="11283279"/>
    <w:rsid w:val="112F5B47"/>
    <w:rsid w:val="114630C8"/>
    <w:rsid w:val="114A6BE3"/>
    <w:rsid w:val="118C11EC"/>
    <w:rsid w:val="119E1B27"/>
    <w:rsid w:val="11B341BF"/>
    <w:rsid w:val="11CB7978"/>
    <w:rsid w:val="11DF7201"/>
    <w:rsid w:val="11E64458"/>
    <w:rsid w:val="12074008"/>
    <w:rsid w:val="1216778C"/>
    <w:rsid w:val="122D53D5"/>
    <w:rsid w:val="12374CB3"/>
    <w:rsid w:val="128A4286"/>
    <w:rsid w:val="129465AA"/>
    <w:rsid w:val="129E2F84"/>
    <w:rsid w:val="12A52565"/>
    <w:rsid w:val="12A61E39"/>
    <w:rsid w:val="13013593"/>
    <w:rsid w:val="1308621A"/>
    <w:rsid w:val="1312127D"/>
    <w:rsid w:val="13144FF5"/>
    <w:rsid w:val="13487D16"/>
    <w:rsid w:val="13566748"/>
    <w:rsid w:val="13D50C28"/>
    <w:rsid w:val="13E42C19"/>
    <w:rsid w:val="13F310AE"/>
    <w:rsid w:val="13F67DDA"/>
    <w:rsid w:val="13FD1F2D"/>
    <w:rsid w:val="14007F65"/>
    <w:rsid w:val="140C3CEE"/>
    <w:rsid w:val="143A7917"/>
    <w:rsid w:val="14B46A8F"/>
    <w:rsid w:val="14BB79DD"/>
    <w:rsid w:val="14DE3B0C"/>
    <w:rsid w:val="14FE5F5C"/>
    <w:rsid w:val="1527507F"/>
    <w:rsid w:val="15613AF0"/>
    <w:rsid w:val="156C1118"/>
    <w:rsid w:val="15CB4851"/>
    <w:rsid w:val="15D47C59"/>
    <w:rsid w:val="15EC0DB6"/>
    <w:rsid w:val="15F85DBC"/>
    <w:rsid w:val="162D635B"/>
    <w:rsid w:val="16317A78"/>
    <w:rsid w:val="166718DF"/>
    <w:rsid w:val="167C538B"/>
    <w:rsid w:val="16BC1C2B"/>
    <w:rsid w:val="16CF1DA7"/>
    <w:rsid w:val="16D005BA"/>
    <w:rsid w:val="16DE6120"/>
    <w:rsid w:val="16E55624"/>
    <w:rsid w:val="16F73C19"/>
    <w:rsid w:val="171657DF"/>
    <w:rsid w:val="17255037"/>
    <w:rsid w:val="173F298F"/>
    <w:rsid w:val="17407C36"/>
    <w:rsid w:val="17441822"/>
    <w:rsid w:val="17564649"/>
    <w:rsid w:val="176D73B9"/>
    <w:rsid w:val="176E0FB5"/>
    <w:rsid w:val="1774709D"/>
    <w:rsid w:val="17C3523B"/>
    <w:rsid w:val="17CE7E68"/>
    <w:rsid w:val="17D26ACD"/>
    <w:rsid w:val="181A40A0"/>
    <w:rsid w:val="18420572"/>
    <w:rsid w:val="18694035"/>
    <w:rsid w:val="18723036"/>
    <w:rsid w:val="18A84B5D"/>
    <w:rsid w:val="18BA663E"/>
    <w:rsid w:val="18BE48E5"/>
    <w:rsid w:val="18C72F35"/>
    <w:rsid w:val="18CE5E11"/>
    <w:rsid w:val="18E616EB"/>
    <w:rsid w:val="18F733EE"/>
    <w:rsid w:val="191A0AE4"/>
    <w:rsid w:val="191E6BCD"/>
    <w:rsid w:val="19650240"/>
    <w:rsid w:val="196D3014"/>
    <w:rsid w:val="197113F3"/>
    <w:rsid w:val="19A2611B"/>
    <w:rsid w:val="19AA220F"/>
    <w:rsid w:val="19BF2F99"/>
    <w:rsid w:val="19C54AF1"/>
    <w:rsid w:val="19CF1C75"/>
    <w:rsid w:val="19D47863"/>
    <w:rsid w:val="19F81E42"/>
    <w:rsid w:val="1A255D39"/>
    <w:rsid w:val="1A530DE8"/>
    <w:rsid w:val="1A5944BB"/>
    <w:rsid w:val="1AB00857"/>
    <w:rsid w:val="1ABC48F0"/>
    <w:rsid w:val="1AD94039"/>
    <w:rsid w:val="1AD955BD"/>
    <w:rsid w:val="1ADB6959"/>
    <w:rsid w:val="1ADD56E6"/>
    <w:rsid w:val="1AE025F6"/>
    <w:rsid w:val="1B2D4ECC"/>
    <w:rsid w:val="1B3A355E"/>
    <w:rsid w:val="1B7725C5"/>
    <w:rsid w:val="1B811695"/>
    <w:rsid w:val="1B94434C"/>
    <w:rsid w:val="1B9F5D6B"/>
    <w:rsid w:val="1BAC19F3"/>
    <w:rsid w:val="1BB70642"/>
    <w:rsid w:val="1BC354B0"/>
    <w:rsid w:val="1BDE2525"/>
    <w:rsid w:val="1C1E5B08"/>
    <w:rsid w:val="1C36128C"/>
    <w:rsid w:val="1C9D605B"/>
    <w:rsid w:val="1CAB2ACC"/>
    <w:rsid w:val="1CC61A56"/>
    <w:rsid w:val="1CDF48C5"/>
    <w:rsid w:val="1CE617B0"/>
    <w:rsid w:val="1CF613E6"/>
    <w:rsid w:val="1D636934"/>
    <w:rsid w:val="1D6B6159"/>
    <w:rsid w:val="1DA26897"/>
    <w:rsid w:val="1DAC1F2B"/>
    <w:rsid w:val="1DBC525A"/>
    <w:rsid w:val="1DE101C9"/>
    <w:rsid w:val="1DE91D27"/>
    <w:rsid w:val="1DF1580A"/>
    <w:rsid w:val="1DF95513"/>
    <w:rsid w:val="1E1C064C"/>
    <w:rsid w:val="1E1D5F75"/>
    <w:rsid w:val="1E206F43"/>
    <w:rsid w:val="1E396257"/>
    <w:rsid w:val="1E480366"/>
    <w:rsid w:val="1E52514D"/>
    <w:rsid w:val="1E652BA8"/>
    <w:rsid w:val="1E6939C7"/>
    <w:rsid w:val="1EA44F54"/>
    <w:rsid w:val="1EC078F8"/>
    <w:rsid w:val="1ECF44C6"/>
    <w:rsid w:val="1EEF3139"/>
    <w:rsid w:val="1F061536"/>
    <w:rsid w:val="1F4E0954"/>
    <w:rsid w:val="1F4E188E"/>
    <w:rsid w:val="1F655072"/>
    <w:rsid w:val="1F7E6478"/>
    <w:rsid w:val="1FC102B2"/>
    <w:rsid w:val="1FD12712"/>
    <w:rsid w:val="1FE50445"/>
    <w:rsid w:val="1FF16DE9"/>
    <w:rsid w:val="20140D2A"/>
    <w:rsid w:val="203E32AB"/>
    <w:rsid w:val="204D1B46"/>
    <w:rsid w:val="205B4E3E"/>
    <w:rsid w:val="206E0BA6"/>
    <w:rsid w:val="20B117B1"/>
    <w:rsid w:val="20C34EB8"/>
    <w:rsid w:val="20D3765C"/>
    <w:rsid w:val="20E029BA"/>
    <w:rsid w:val="21093CBF"/>
    <w:rsid w:val="21290155"/>
    <w:rsid w:val="21354AB4"/>
    <w:rsid w:val="215238B8"/>
    <w:rsid w:val="21785657"/>
    <w:rsid w:val="21AB19C1"/>
    <w:rsid w:val="21B57F65"/>
    <w:rsid w:val="21D73DBD"/>
    <w:rsid w:val="21E22163"/>
    <w:rsid w:val="2219238D"/>
    <w:rsid w:val="222039B6"/>
    <w:rsid w:val="22327245"/>
    <w:rsid w:val="224C029E"/>
    <w:rsid w:val="22682C67"/>
    <w:rsid w:val="22A719E1"/>
    <w:rsid w:val="22B3264A"/>
    <w:rsid w:val="22BA5F89"/>
    <w:rsid w:val="22CA3922"/>
    <w:rsid w:val="22CD5355"/>
    <w:rsid w:val="22D52ACC"/>
    <w:rsid w:val="230C1347"/>
    <w:rsid w:val="231638A6"/>
    <w:rsid w:val="231645FB"/>
    <w:rsid w:val="23353491"/>
    <w:rsid w:val="235F1093"/>
    <w:rsid w:val="236B2EE4"/>
    <w:rsid w:val="236E03B0"/>
    <w:rsid w:val="23730FB4"/>
    <w:rsid w:val="2380070E"/>
    <w:rsid w:val="23837365"/>
    <w:rsid w:val="23955235"/>
    <w:rsid w:val="23AC6A77"/>
    <w:rsid w:val="23BD2353"/>
    <w:rsid w:val="23D36806"/>
    <w:rsid w:val="24354FA9"/>
    <w:rsid w:val="243A77F3"/>
    <w:rsid w:val="24597DF9"/>
    <w:rsid w:val="245D4B60"/>
    <w:rsid w:val="2463402E"/>
    <w:rsid w:val="247578DE"/>
    <w:rsid w:val="24764C99"/>
    <w:rsid w:val="24BD288E"/>
    <w:rsid w:val="24C50845"/>
    <w:rsid w:val="24DE1107"/>
    <w:rsid w:val="24EC32D8"/>
    <w:rsid w:val="25021151"/>
    <w:rsid w:val="2504136D"/>
    <w:rsid w:val="25205A7B"/>
    <w:rsid w:val="2536529E"/>
    <w:rsid w:val="256463E6"/>
    <w:rsid w:val="25695674"/>
    <w:rsid w:val="259E7EB1"/>
    <w:rsid w:val="25A52D84"/>
    <w:rsid w:val="25CD508C"/>
    <w:rsid w:val="25D86C9D"/>
    <w:rsid w:val="25E116AE"/>
    <w:rsid w:val="25EB553C"/>
    <w:rsid w:val="260A7D0F"/>
    <w:rsid w:val="260B04D9"/>
    <w:rsid w:val="260F1BFD"/>
    <w:rsid w:val="262B127E"/>
    <w:rsid w:val="263E62F2"/>
    <w:rsid w:val="26461511"/>
    <w:rsid w:val="267F2BB5"/>
    <w:rsid w:val="26805F81"/>
    <w:rsid w:val="2695133D"/>
    <w:rsid w:val="26CD578F"/>
    <w:rsid w:val="26EC20B9"/>
    <w:rsid w:val="27484F6F"/>
    <w:rsid w:val="27894AC9"/>
    <w:rsid w:val="278A123C"/>
    <w:rsid w:val="279050AE"/>
    <w:rsid w:val="279E140F"/>
    <w:rsid w:val="2810627B"/>
    <w:rsid w:val="28171DE9"/>
    <w:rsid w:val="283E4DBC"/>
    <w:rsid w:val="28463A4A"/>
    <w:rsid w:val="28566D48"/>
    <w:rsid w:val="2864611F"/>
    <w:rsid w:val="287B75AC"/>
    <w:rsid w:val="289775FC"/>
    <w:rsid w:val="28A14E7C"/>
    <w:rsid w:val="28A340B7"/>
    <w:rsid w:val="28B135BA"/>
    <w:rsid w:val="28EF6971"/>
    <w:rsid w:val="28FD4A40"/>
    <w:rsid w:val="2906785B"/>
    <w:rsid w:val="29454EA4"/>
    <w:rsid w:val="297B7724"/>
    <w:rsid w:val="298C2138"/>
    <w:rsid w:val="29916F47"/>
    <w:rsid w:val="29D34250"/>
    <w:rsid w:val="29E826CC"/>
    <w:rsid w:val="2A185737"/>
    <w:rsid w:val="2A1F5E2F"/>
    <w:rsid w:val="2A465F84"/>
    <w:rsid w:val="2A58743D"/>
    <w:rsid w:val="2A68611C"/>
    <w:rsid w:val="2A7447D6"/>
    <w:rsid w:val="2A7D74CC"/>
    <w:rsid w:val="2A8F792B"/>
    <w:rsid w:val="2AA154F6"/>
    <w:rsid w:val="2AC238E2"/>
    <w:rsid w:val="2AD876D3"/>
    <w:rsid w:val="2AF83194"/>
    <w:rsid w:val="2B1D4F74"/>
    <w:rsid w:val="2B6A6B46"/>
    <w:rsid w:val="2B801021"/>
    <w:rsid w:val="2BA42D46"/>
    <w:rsid w:val="2BB60EE7"/>
    <w:rsid w:val="2BB807BB"/>
    <w:rsid w:val="2BBD7DCB"/>
    <w:rsid w:val="2BD66325"/>
    <w:rsid w:val="2C3818FC"/>
    <w:rsid w:val="2C527D9B"/>
    <w:rsid w:val="2C59127B"/>
    <w:rsid w:val="2C730B86"/>
    <w:rsid w:val="2C7A548B"/>
    <w:rsid w:val="2C950AFD"/>
    <w:rsid w:val="2C996344"/>
    <w:rsid w:val="2C9C632F"/>
    <w:rsid w:val="2CB74F17"/>
    <w:rsid w:val="2CE74405"/>
    <w:rsid w:val="2CF9108B"/>
    <w:rsid w:val="2D093328"/>
    <w:rsid w:val="2D196908"/>
    <w:rsid w:val="2D39592C"/>
    <w:rsid w:val="2D3C79CC"/>
    <w:rsid w:val="2D4D3C25"/>
    <w:rsid w:val="2D4F6EFD"/>
    <w:rsid w:val="2D5A2235"/>
    <w:rsid w:val="2D68254E"/>
    <w:rsid w:val="2D72522A"/>
    <w:rsid w:val="2DA60AE7"/>
    <w:rsid w:val="2DAA4B6B"/>
    <w:rsid w:val="2DAF3E40"/>
    <w:rsid w:val="2DAF5BEE"/>
    <w:rsid w:val="2DB95766"/>
    <w:rsid w:val="2DCA0108"/>
    <w:rsid w:val="2DCC189E"/>
    <w:rsid w:val="2E112A50"/>
    <w:rsid w:val="2E1B7727"/>
    <w:rsid w:val="2E2E1209"/>
    <w:rsid w:val="2EA339A5"/>
    <w:rsid w:val="2EB46BCE"/>
    <w:rsid w:val="2EB72FAC"/>
    <w:rsid w:val="2EC67693"/>
    <w:rsid w:val="2EE22627"/>
    <w:rsid w:val="2EE43FBD"/>
    <w:rsid w:val="2EEC3F58"/>
    <w:rsid w:val="2F0A3A24"/>
    <w:rsid w:val="2F174C58"/>
    <w:rsid w:val="2F300FB0"/>
    <w:rsid w:val="2F370591"/>
    <w:rsid w:val="2F4709F8"/>
    <w:rsid w:val="2F684DD8"/>
    <w:rsid w:val="2F895477"/>
    <w:rsid w:val="2FAA48BF"/>
    <w:rsid w:val="2FBA7C5C"/>
    <w:rsid w:val="30191779"/>
    <w:rsid w:val="30281C88"/>
    <w:rsid w:val="3050331E"/>
    <w:rsid w:val="309336C7"/>
    <w:rsid w:val="30A57BBF"/>
    <w:rsid w:val="30AE4883"/>
    <w:rsid w:val="30EB1AD1"/>
    <w:rsid w:val="30EE70A0"/>
    <w:rsid w:val="3102573A"/>
    <w:rsid w:val="3114437E"/>
    <w:rsid w:val="31413001"/>
    <w:rsid w:val="31462D0D"/>
    <w:rsid w:val="315D1B3D"/>
    <w:rsid w:val="316D2048"/>
    <w:rsid w:val="318178A1"/>
    <w:rsid w:val="318B0720"/>
    <w:rsid w:val="31A46D01"/>
    <w:rsid w:val="31BC1863"/>
    <w:rsid w:val="31EA5447"/>
    <w:rsid w:val="322272D6"/>
    <w:rsid w:val="32290665"/>
    <w:rsid w:val="322A633E"/>
    <w:rsid w:val="325B78A5"/>
    <w:rsid w:val="327011BF"/>
    <w:rsid w:val="32745D47"/>
    <w:rsid w:val="32AE0B6A"/>
    <w:rsid w:val="32C500CA"/>
    <w:rsid w:val="32DA0555"/>
    <w:rsid w:val="32F138E4"/>
    <w:rsid w:val="33227C40"/>
    <w:rsid w:val="3325263A"/>
    <w:rsid w:val="3334282D"/>
    <w:rsid w:val="333A43DA"/>
    <w:rsid w:val="334873B2"/>
    <w:rsid w:val="337F7C6C"/>
    <w:rsid w:val="33883169"/>
    <w:rsid w:val="33B4492C"/>
    <w:rsid w:val="33BE7444"/>
    <w:rsid w:val="34007F04"/>
    <w:rsid w:val="34172D5C"/>
    <w:rsid w:val="342D0A2C"/>
    <w:rsid w:val="34362BC5"/>
    <w:rsid w:val="34563267"/>
    <w:rsid w:val="345E780C"/>
    <w:rsid w:val="34620DEE"/>
    <w:rsid w:val="347D07F4"/>
    <w:rsid w:val="348B6861"/>
    <w:rsid w:val="34A6476E"/>
    <w:rsid w:val="34B62C2E"/>
    <w:rsid w:val="34D7773B"/>
    <w:rsid w:val="350F21D1"/>
    <w:rsid w:val="352743C4"/>
    <w:rsid w:val="352A14C5"/>
    <w:rsid w:val="35432C4B"/>
    <w:rsid w:val="35486F4D"/>
    <w:rsid w:val="357D65D2"/>
    <w:rsid w:val="358F38D5"/>
    <w:rsid w:val="35937A75"/>
    <w:rsid w:val="35963960"/>
    <w:rsid w:val="35C2490E"/>
    <w:rsid w:val="35C43FE1"/>
    <w:rsid w:val="35F90B39"/>
    <w:rsid w:val="364E5626"/>
    <w:rsid w:val="36570DD6"/>
    <w:rsid w:val="36822466"/>
    <w:rsid w:val="36A04B2A"/>
    <w:rsid w:val="36E26A98"/>
    <w:rsid w:val="37092813"/>
    <w:rsid w:val="37182A56"/>
    <w:rsid w:val="37361CB0"/>
    <w:rsid w:val="37405600"/>
    <w:rsid w:val="374B44A3"/>
    <w:rsid w:val="378679C0"/>
    <w:rsid w:val="37A147F9"/>
    <w:rsid w:val="37D71FF1"/>
    <w:rsid w:val="37F137F7"/>
    <w:rsid w:val="37FC2378"/>
    <w:rsid w:val="38305B7D"/>
    <w:rsid w:val="38650173"/>
    <w:rsid w:val="3876113B"/>
    <w:rsid w:val="387B5308"/>
    <w:rsid w:val="38973891"/>
    <w:rsid w:val="38A666A6"/>
    <w:rsid w:val="38D62BC9"/>
    <w:rsid w:val="38F640E2"/>
    <w:rsid w:val="390D6DC9"/>
    <w:rsid w:val="391800C7"/>
    <w:rsid w:val="391D15FD"/>
    <w:rsid w:val="39445009"/>
    <w:rsid w:val="39502B9C"/>
    <w:rsid w:val="39514349"/>
    <w:rsid w:val="39625604"/>
    <w:rsid w:val="39697599"/>
    <w:rsid w:val="396E1053"/>
    <w:rsid w:val="3995529F"/>
    <w:rsid w:val="39B5458C"/>
    <w:rsid w:val="3A314D86"/>
    <w:rsid w:val="3A410516"/>
    <w:rsid w:val="3A60121D"/>
    <w:rsid w:val="3A6A154C"/>
    <w:rsid w:val="3A756A02"/>
    <w:rsid w:val="3A766411"/>
    <w:rsid w:val="3A7677AC"/>
    <w:rsid w:val="3A9D1EA9"/>
    <w:rsid w:val="3AA168C1"/>
    <w:rsid w:val="3AB4039A"/>
    <w:rsid w:val="3AB76A7D"/>
    <w:rsid w:val="3AF64E5C"/>
    <w:rsid w:val="3B337E5E"/>
    <w:rsid w:val="3B471F5D"/>
    <w:rsid w:val="3B600080"/>
    <w:rsid w:val="3B772584"/>
    <w:rsid w:val="3B7D732B"/>
    <w:rsid w:val="3B9062F7"/>
    <w:rsid w:val="3B932249"/>
    <w:rsid w:val="3B9823B7"/>
    <w:rsid w:val="3BB16390"/>
    <w:rsid w:val="3BDA477E"/>
    <w:rsid w:val="3BEB3192"/>
    <w:rsid w:val="3BF770DE"/>
    <w:rsid w:val="3C793F97"/>
    <w:rsid w:val="3C92402B"/>
    <w:rsid w:val="3CA8487C"/>
    <w:rsid w:val="3CB81B22"/>
    <w:rsid w:val="3CBE0C38"/>
    <w:rsid w:val="3CE162BC"/>
    <w:rsid w:val="3CFF6AF3"/>
    <w:rsid w:val="3D0D2FBE"/>
    <w:rsid w:val="3D0D40C6"/>
    <w:rsid w:val="3D202664"/>
    <w:rsid w:val="3D235CB1"/>
    <w:rsid w:val="3D9B1CEB"/>
    <w:rsid w:val="3DAC3EF8"/>
    <w:rsid w:val="3DC079A3"/>
    <w:rsid w:val="3DC12D0A"/>
    <w:rsid w:val="3DFB74BE"/>
    <w:rsid w:val="3E104487"/>
    <w:rsid w:val="3E1877DF"/>
    <w:rsid w:val="3E1A70B4"/>
    <w:rsid w:val="3E267311"/>
    <w:rsid w:val="3E29379B"/>
    <w:rsid w:val="3E2F60FC"/>
    <w:rsid w:val="3E715A3C"/>
    <w:rsid w:val="3E8A6567"/>
    <w:rsid w:val="3EA2364F"/>
    <w:rsid w:val="3EA80B63"/>
    <w:rsid w:val="3ED37C79"/>
    <w:rsid w:val="3EE37DED"/>
    <w:rsid w:val="3EED6576"/>
    <w:rsid w:val="3F0A537A"/>
    <w:rsid w:val="3F214472"/>
    <w:rsid w:val="3F4B4F83"/>
    <w:rsid w:val="3F56236D"/>
    <w:rsid w:val="3F566ECD"/>
    <w:rsid w:val="3F656A54"/>
    <w:rsid w:val="3FB13A48"/>
    <w:rsid w:val="40095F44"/>
    <w:rsid w:val="40380FC1"/>
    <w:rsid w:val="40386F69"/>
    <w:rsid w:val="405570DC"/>
    <w:rsid w:val="40590438"/>
    <w:rsid w:val="40860A30"/>
    <w:rsid w:val="40B1716E"/>
    <w:rsid w:val="40BE1F7E"/>
    <w:rsid w:val="40DE7779"/>
    <w:rsid w:val="40E63D52"/>
    <w:rsid w:val="40F7192E"/>
    <w:rsid w:val="41374972"/>
    <w:rsid w:val="41594D78"/>
    <w:rsid w:val="41754D1F"/>
    <w:rsid w:val="417C0C84"/>
    <w:rsid w:val="41CF700F"/>
    <w:rsid w:val="41D67795"/>
    <w:rsid w:val="41D7554B"/>
    <w:rsid w:val="41F46B71"/>
    <w:rsid w:val="41F540C0"/>
    <w:rsid w:val="41FB544E"/>
    <w:rsid w:val="42457407"/>
    <w:rsid w:val="42521512"/>
    <w:rsid w:val="425F61B5"/>
    <w:rsid w:val="42D2725A"/>
    <w:rsid w:val="42D77311"/>
    <w:rsid w:val="42E17B48"/>
    <w:rsid w:val="436B215F"/>
    <w:rsid w:val="437C73A2"/>
    <w:rsid w:val="43902605"/>
    <w:rsid w:val="43C432AE"/>
    <w:rsid w:val="43F34517"/>
    <w:rsid w:val="440920A4"/>
    <w:rsid w:val="440F6F8F"/>
    <w:rsid w:val="442347E8"/>
    <w:rsid w:val="44373DEB"/>
    <w:rsid w:val="44574502"/>
    <w:rsid w:val="44580936"/>
    <w:rsid w:val="448A113E"/>
    <w:rsid w:val="448E4BC9"/>
    <w:rsid w:val="449D1B89"/>
    <w:rsid w:val="44A678F3"/>
    <w:rsid w:val="44B55783"/>
    <w:rsid w:val="44F468B0"/>
    <w:rsid w:val="45002100"/>
    <w:rsid w:val="45230F44"/>
    <w:rsid w:val="45462E84"/>
    <w:rsid w:val="45597133"/>
    <w:rsid w:val="45814B98"/>
    <w:rsid w:val="45AB2CE7"/>
    <w:rsid w:val="45B80901"/>
    <w:rsid w:val="45B918A8"/>
    <w:rsid w:val="45C142B9"/>
    <w:rsid w:val="45CA5863"/>
    <w:rsid w:val="45EB3EC4"/>
    <w:rsid w:val="45EF524D"/>
    <w:rsid w:val="461752CE"/>
    <w:rsid w:val="462175C1"/>
    <w:rsid w:val="463D789F"/>
    <w:rsid w:val="46691411"/>
    <w:rsid w:val="46894A32"/>
    <w:rsid w:val="469521FC"/>
    <w:rsid w:val="46B63FAB"/>
    <w:rsid w:val="46C623C2"/>
    <w:rsid w:val="46C774AF"/>
    <w:rsid w:val="46D70238"/>
    <w:rsid w:val="46D93214"/>
    <w:rsid w:val="47007F9E"/>
    <w:rsid w:val="470909B4"/>
    <w:rsid w:val="47137959"/>
    <w:rsid w:val="471A0124"/>
    <w:rsid w:val="471C5C4A"/>
    <w:rsid w:val="472E3BD0"/>
    <w:rsid w:val="47534FB3"/>
    <w:rsid w:val="476870E2"/>
    <w:rsid w:val="47745A86"/>
    <w:rsid w:val="4791488A"/>
    <w:rsid w:val="4794337F"/>
    <w:rsid w:val="47C6205A"/>
    <w:rsid w:val="47DF7F53"/>
    <w:rsid w:val="48031435"/>
    <w:rsid w:val="483376F0"/>
    <w:rsid w:val="48677399"/>
    <w:rsid w:val="48873598"/>
    <w:rsid w:val="488774D2"/>
    <w:rsid w:val="489108BA"/>
    <w:rsid w:val="489906A4"/>
    <w:rsid w:val="48A0686F"/>
    <w:rsid w:val="48DA2E1C"/>
    <w:rsid w:val="49282FCC"/>
    <w:rsid w:val="498875C7"/>
    <w:rsid w:val="49921B31"/>
    <w:rsid w:val="49957F36"/>
    <w:rsid w:val="499B244F"/>
    <w:rsid w:val="49AA597A"/>
    <w:rsid w:val="49C63CB5"/>
    <w:rsid w:val="49DE729A"/>
    <w:rsid w:val="49DF3E1D"/>
    <w:rsid w:val="49FE7565"/>
    <w:rsid w:val="4A182157"/>
    <w:rsid w:val="4A20088A"/>
    <w:rsid w:val="4A286FFC"/>
    <w:rsid w:val="4A392B19"/>
    <w:rsid w:val="4A5C506F"/>
    <w:rsid w:val="4A630398"/>
    <w:rsid w:val="4A7F685E"/>
    <w:rsid w:val="4A9151B1"/>
    <w:rsid w:val="4AA77F21"/>
    <w:rsid w:val="4ACD5506"/>
    <w:rsid w:val="4AD8457E"/>
    <w:rsid w:val="4AE97150"/>
    <w:rsid w:val="4AF27062"/>
    <w:rsid w:val="4AFA62A3"/>
    <w:rsid w:val="4B055788"/>
    <w:rsid w:val="4B21440D"/>
    <w:rsid w:val="4B475260"/>
    <w:rsid w:val="4B5547AF"/>
    <w:rsid w:val="4B627F38"/>
    <w:rsid w:val="4B692207"/>
    <w:rsid w:val="4B7934B7"/>
    <w:rsid w:val="4B7E7D79"/>
    <w:rsid w:val="4BC43FB3"/>
    <w:rsid w:val="4BDC4725"/>
    <w:rsid w:val="4C035AAC"/>
    <w:rsid w:val="4C117DF2"/>
    <w:rsid w:val="4C365A00"/>
    <w:rsid w:val="4C4C77BA"/>
    <w:rsid w:val="4C7402D7"/>
    <w:rsid w:val="4C885B30"/>
    <w:rsid w:val="4C8C05A4"/>
    <w:rsid w:val="4C8E043C"/>
    <w:rsid w:val="4CCA00D1"/>
    <w:rsid w:val="4CDC3ABD"/>
    <w:rsid w:val="4CE4720A"/>
    <w:rsid w:val="4CEE1E37"/>
    <w:rsid w:val="4CF60CEC"/>
    <w:rsid w:val="4D106251"/>
    <w:rsid w:val="4D21405F"/>
    <w:rsid w:val="4D486CC1"/>
    <w:rsid w:val="4D7D19FF"/>
    <w:rsid w:val="4D897DB2"/>
    <w:rsid w:val="4D8D520E"/>
    <w:rsid w:val="4DB7491F"/>
    <w:rsid w:val="4DE4148C"/>
    <w:rsid w:val="4DF9330E"/>
    <w:rsid w:val="4E105DDD"/>
    <w:rsid w:val="4E4A30A7"/>
    <w:rsid w:val="4E6C3038"/>
    <w:rsid w:val="4E7043EA"/>
    <w:rsid w:val="4E796ACA"/>
    <w:rsid w:val="4E867FAA"/>
    <w:rsid w:val="4EC64F95"/>
    <w:rsid w:val="4ED432AF"/>
    <w:rsid w:val="4EDB4ACB"/>
    <w:rsid w:val="4F152C53"/>
    <w:rsid w:val="4F2002A2"/>
    <w:rsid w:val="4F58211E"/>
    <w:rsid w:val="4F6B5900"/>
    <w:rsid w:val="4F73460B"/>
    <w:rsid w:val="4F782DFF"/>
    <w:rsid w:val="4F8C5C9A"/>
    <w:rsid w:val="4F9842DC"/>
    <w:rsid w:val="4FFE6B1E"/>
    <w:rsid w:val="5008580D"/>
    <w:rsid w:val="5009128B"/>
    <w:rsid w:val="50205B81"/>
    <w:rsid w:val="503A3DE2"/>
    <w:rsid w:val="506C65A5"/>
    <w:rsid w:val="508A0FCE"/>
    <w:rsid w:val="50CC6933"/>
    <w:rsid w:val="50F746EC"/>
    <w:rsid w:val="50FD4D3F"/>
    <w:rsid w:val="510D5C6A"/>
    <w:rsid w:val="51115E7E"/>
    <w:rsid w:val="51143E36"/>
    <w:rsid w:val="515C00C6"/>
    <w:rsid w:val="517D4477"/>
    <w:rsid w:val="51961FC0"/>
    <w:rsid w:val="51A90A23"/>
    <w:rsid w:val="51CF1B6B"/>
    <w:rsid w:val="51ED4DB3"/>
    <w:rsid w:val="51FD2B1C"/>
    <w:rsid w:val="51FF6764"/>
    <w:rsid w:val="520C2D5F"/>
    <w:rsid w:val="522837CB"/>
    <w:rsid w:val="523F3135"/>
    <w:rsid w:val="524D6481"/>
    <w:rsid w:val="529025AB"/>
    <w:rsid w:val="529C6C5D"/>
    <w:rsid w:val="53290EEF"/>
    <w:rsid w:val="53426F62"/>
    <w:rsid w:val="535331E2"/>
    <w:rsid w:val="535D7F7D"/>
    <w:rsid w:val="536D782E"/>
    <w:rsid w:val="5394652B"/>
    <w:rsid w:val="53B97933"/>
    <w:rsid w:val="53D436B2"/>
    <w:rsid w:val="53E928C5"/>
    <w:rsid w:val="53F9366B"/>
    <w:rsid w:val="540D34EB"/>
    <w:rsid w:val="542D0EEB"/>
    <w:rsid w:val="54352A41"/>
    <w:rsid w:val="54600375"/>
    <w:rsid w:val="54734FF3"/>
    <w:rsid w:val="5476268A"/>
    <w:rsid w:val="547F7730"/>
    <w:rsid w:val="548405D9"/>
    <w:rsid w:val="54A0155C"/>
    <w:rsid w:val="54A43723"/>
    <w:rsid w:val="54B25E40"/>
    <w:rsid w:val="54B267F8"/>
    <w:rsid w:val="54CE08FE"/>
    <w:rsid w:val="54EB1352"/>
    <w:rsid w:val="550104A7"/>
    <w:rsid w:val="55436A98"/>
    <w:rsid w:val="55546EF7"/>
    <w:rsid w:val="556C4241"/>
    <w:rsid w:val="557069DE"/>
    <w:rsid w:val="5593130E"/>
    <w:rsid w:val="55933A5C"/>
    <w:rsid w:val="55C858BB"/>
    <w:rsid w:val="55FB4FCC"/>
    <w:rsid w:val="56114052"/>
    <w:rsid w:val="561A16CF"/>
    <w:rsid w:val="56350AD7"/>
    <w:rsid w:val="56530F5D"/>
    <w:rsid w:val="566B62A7"/>
    <w:rsid w:val="566E141A"/>
    <w:rsid w:val="567B2EA1"/>
    <w:rsid w:val="56892BD1"/>
    <w:rsid w:val="568E34B0"/>
    <w:rsid w:val="56DD2A92"/>
    <w:rsid w:val="56E46059"/>
    <w:rsid w:val="56E542AB"/>
    <w:rsid w:val="56F50266"/>
    <w:rsid w:val="570C6422"/>
    <w:rsid w:val="573963A5"/>
    <w:rsid w:val="57541431"/>
    <w:rsid w:val="57990D6B"/>
    <w:rsid w:val="579F2B50"/>
    <w:rsid w:val="57DB1DE3"/>
    <w:rsid w:val="57E32CE3"/>
    <w:rsid w:val="57F44AF5"/>
    <w:rsid w:val="57F579FB"/>
    <w:rsid w:val="57F95B34"/>
    <w:rsid w:val="58311772"/>
    <w:rsid w:val="58354184"/>
    <w:rsid w:val="587B1D88"/>
    <w:rsid w:val="58870277"/>
    <w:rsid w:val="588859DD"/>
    <w:rsid w:val="5902018C"/>
    <w:rsid w:val="59150556"/>
    <w:rsid w:val="592B7275"/>
    <w:rsid w:val="597E2D83"/>
    <w:rsid w:val="598109BE"/>
    <w:rsid w:val="599F3881"/>
    <w:rsid w:val="599F5B19"/>
    <w:rsid w:val="59AC5554"/>
    <w:rsid w:val="59D850B9"/>
    <w:rsid w:val="59DD4C68"/>
    <w:rsid w:val="59F6057D"/>
    <w:rsid w:val="5A0E1D6B"/>
    <w:rsid w:val="5A2C096C"/>
    <w:rsid w:val="5A33357F"/>
    <w:rsid w:val="5A3410A5"/>
    <w:rsid w:val="5A3B088A"/>
    <w:rsid w:val="5A513A05"/>
    <w:rsid w:val="5A7B4A66"/>
    <w:rsid w:val="5ACD0AE2"/>
    <w:rsid w:val="5ACE6BA3"/>
    <w:rsid w:val="5AD2138E"/>
    <w:rsid w:val="5B044F1C"/>
    <w:rsid w:val="5B24602D"/>
    <w:rsid w:val="5B413A7A"/>
    <w:rsid w:val="5B6E6212"/>
    <w:rsid w:val="5B9A723D"/>
    <w:rsid w:val="5BA02E96"/>
    <w:rsid w:val="5BAF5FE6"/>
    <w:rsid w:val="5BB66216"/>
    <w:rsid w:val="5BBE7D49"/>
    <w:rsid w:val="5BE35CB7"/>
    <w:rsid w:val="5BE82147"/>
    <w:rsid w:val="5C0E338A"/>
    <w:rsid w:val="5C60526B"/>
    <w:rsid w:val="5C6F0B0B"/>
    <w:rsid w:val="5C78513F"/>
    <w:rsid w:val="5CA96113"/>
    <w:rsid w:val="5CAF2E9D"/>
    <w:rsid w:val="5CE47462"/>
    <w:rsid w:val="5D1F24CD"/>
    <w:rsid w:val="5D2B49E2"/>
    <w:rsid w:val="5D3349B1"/>
    <w:rsid w:val="5D4810F0"/>
    <w:rsid w:val="5D5F6439"/>
    <w:rsid w:val="5D610403"/>
    <w:rsid w:val="5D755C5D"/>
    <w:rsid w:val="5D944335"/>
    <w:rsid w:val="5D974539"/>
    <w:rsid w:val="5D985665"/>
    <w:rsid w:val="5DAE0F1B"/>
    <w:rsid w:val="5DFD0056"/>
    <w:rsid w:val="5DFF1374"/>
    <w:rsid w:val="5E0D2339"/>
    <w:rsid w:val="5E0E3B64"/>
    <w:rsid w:val="5E112B57"/>
    <w:rsid w:val="5E3D71AC"/>
    <w:rsid w:val="5E3E24F3"/>
    <w:rsid w:val="5E5E4943"/>
    <w:rsid w:val="5E9F11E3"/>
    <w:rsid w:val="5ED76221"/>
    <w:rsid w:val="5EEF227D"/>
    <w:rsid w:val="5F006597"/>
    <w:rsid w:val="5F265461"/>
    <w:rsid w:val="5F48187B"/>
    <w:rsid w:val="5FD31F27"/>
    <w:rsid w:val="6036401A"/>
    <w:rsid w:val="604032BE"/>
    <w:rsid w:val="60475EB3"/>
    <w:rsid w:val="606A75CF"/>
    <w:rsid w:val="60834031"/>
    <w:rsid w:val="608A69F1"/>
    <w:rsid w:val="6093366A"/>
    <w:rsid w:val="60B6772C"/>
    <w:rsid w:val="60E530F9"/>
    <w:rsid w:val="60F42B4D"/>
    <w:rsid w:val="613C6345"/>
    <w:rsid w:val="61425A64"/>
    <w:rsid w:val="614C5B72"/>
    <w:rsid w:val="615E5154"/>
    <w:rsid w:val="61712C70"/>
    <w:rsid w:val="6183303E"/>
    <w:rsid w:val="61917608"/>
    <w:rsid w:val="61E33710"/>
    <w:rsid w:val="61E37639"/>
    <w:rsid w:val="61EF4230"/>
    <w:rsid w:val="62343D36"/>
    <w:rsid w:val="624133FB"/>
    <w:rsid w:val="62460EC3"/>
    <w:rsid w:val="6270277C"/>
    <w:rsid w:val="62766A49"/>
    <w:rsid w:val="628E066E"/>
    <w:rsid w:val="62C92CD3"/>
    <w:rsid w:val="62CC631F"/>
    <w:rsid w:val="6335386C"/>
    <w:rsid w:val="6345220C"/>
    <w:rsid w:val="63DB5E63"/>
    <w:rsid w:val="63EA21EE"/>
    <w:rsid w:val="6417181C"/>
    <w:rsid w:val="641C166B"/>
    <w:rsid w:val="64286970"/>
    <w:rsid w:val="64287ECD"/>
    <w:rsid w:val="643979E4"/>
    <w:rsid w:val="64491105"/>
    <w:rsid w:val="6489157D"/>
    <w:rsid w:val="649B41FB"/>
    <w:rsid w:val="64AA08E2"/>
    <w:rsid w:val="64E638FE"/>
    <w:rsid w:val="653725E6"/>
    <w:rsid w:val="65473F18"/>
    <w:rsid w:val="65902802"/>
    <w:rsid w:val="65995671"/>
    <w:rsid w:val="65B25CA0"/>
    <w:rsid w:val="65DC73A1"/>
    <w:rsid w:val="660A60F8"/>
    <w:rsid w:val="661104F4"/>
    <w:rsid w:val="66325CA6"/>
    <w:rsid w:val="66657048"/>
    <w:rsid w:val="666618FF"/>
    <w:rsid w:val="667C1E0A"/>
    <w:rsid w:val="668138C4"/>
    <w:rsid w:val="668F626B"/>
    <w:rsid w:val="66B83F4A"/>
    <w:rsid w:val="670E7FFE"/>
    <w:rsid w:val="67380427"/>
    <w:rsid w:val="673812B4"/>
    <w:rsid w:val="67457BE3"/>
    <w:rsid w:val="677E3CCD"/>
    <w:rsid w:val="67A76D88"/>
    <w:rsid w:val="67D13E56"/>
    <w:rsid w:val="67E10ABE"/>
    <w:rsid w:val="67E87B2D"/>
    <w:rsid w:val="68015BDB"/>
    <w:rsid w:val="68182006"/>
    <w:rsid w:val="681C47BA"/>
    <w:rsid w:val="682705CC"/>
    <w:rsid w:val="683230C8"/>
    <w:rsid w:val="6844471E"/>
    <w:rsid w:val="684873E5"/>
    <w:rsid w:val="68556912"/>
    <w:rsid w:val="68717559"/>
    <w:rsid w:val="68926EEC"/>
    <w:rsid w:val="6897117D"/>
    <w:rsid w:val="689E467A"/>
    <w:rsid w:val="68B25FB7"/>
    <w:rsid w:val="68C34FEC"/>
    <w:rsid w:val="68E320F2"/>
    <w:rsid w:val="68F760C0"/>
    <w:rsid w:val="68FD478F"/>
    <w:rsid w:val="690B3E88"/>
    <w:rsid w:val="69912070"/>
    <w:rsid w:val="69937B96"/>
    <w:rsid w:val="69A70B49"/>
    <w:rsid w:val="69B33D95"/>
    <w:rsid w:val="69B87B70"/>
    <w:rsid w:val="69B92E56"/>
    <w:rsid w:val="69E80D9E"/>
    <w:rsid w:val="69F148BD"/>
    <w:rsid w:val="6A172AE3"/>
    <w:rsid w:val="6A1865B5"/>
    <w:rsid w:val="6A244C92"/>
    <w:rsid w:val="6A356EA0"/>
    <w:rsid w:val="6A464C09"/>
    <w:rsid w:val="6A681023"/>
    <w:rsid w:val="6A6E4160"/>
    <w:rsid w:val="6A766403"/>
    <w:rsid w:val="6A900873"/>
    <w:rsid w:val="6AAD7A02"/>
    <w:rsid w:val="6AD42215"/>
    <w:rsid w:val="6AE10DD5"/>
    <w:rsid w:val="6AE50F51"/>
    <w:rsid w:val="6AED777A"/>
    <w:rsid w:val="6AFC6F04"/>
    <w:rsid w:val="6B430785"/>
    <w:rsid w:val="6B9E0A74"/>
    <w:rsid w:val="6BA26395"/>
    <w:rsid w:val="6BA7650F"/>
    <w:rsid w:val="6BAC13E3"/>
    <w:rsid w:val="6BB832C7"/>
    <w:rsid w:val="6C50422B"/>
    <w:rsid w:val="6C5F346D"/>
    <w:rsid w:val="6C95452A"/>
    <w:rsid w:val="6CD964A2"/>
    <w:rsid w:val="6CE32BE3"/>
    <w:rsid w:val="6CEA011A"/>
    <w:rsid w:val="6CFD4CED"/>
    <w:rsid w:val="6D0C077E"/>
    <w:rsid w:val="6D2D2863"/>
    <w:rsid w:val="6D57712D"/>
    <w:rsid w:val="6D695D64"/>
    <w:rsid w:val="6D7777CF"/>
    <w:rsid w:val="6E1A0886"/>
    <w:rsid w:val="6E1D2124"/>
    <w:rsid w:val="6E2A3133"/>
    <w:rsid w:val="6E4D5619"/>
    <w:rsid w:val="6E71078A"/>
    <w:rsid w:val="6E731D44"/>
    <w:rsid w:val="6E875292"/>
    <w:rsid w:val="6ECB1B80"/>
    <w:rsid w:val="6EEB5D7F"/>
    <w:rsid w:val="6F11078E"/>
    <w:rsid w:val="6F1246AA"/>
    <w:rsid w:val="6F647738"/>
    <w:rsid w:val="6FA80114"/>
    <w:rsid w:val="6FAC7C04"/>
    <w:rsid w:val="6FB75A30"/>
    <w:rsid w:val="70074E3A"/>
    <w:rsid w:val="700A0487"/>
    <w:rsid w:val="701B08E6"/>
    <w:rsid w:val="708C3591"/>
    <w:rsid w:val="70A56998"/>
    <w:rsid w:val="70AB621E"/>
    <w:rsid w:val="70C23B06"/>
    <w:rsid w:val="70C83005"/>
    <w:rsid w:val="70CB089A"/>
    <w:rsid w:val="70CE3BAA"/>
    <w:rsid w:val="70F84783"/>
    <w:rsid w:val="71072273"/>
    <w:rsid w:val="7108073C"/>
    <w:rsid w:val="71080E6A"/>
    <w:rsid w:val="71313367"/>
    <w:rsid w:val="71997D14"/>
    <w:rsid w:val="71AB116B"/>
    <w:rsid w:val="71CB167F"/>
    <w:rsid w:val="72804CD0"/>
    <w:rsid w:val="728D6E32"/>
    <w:rsid w:val="72B56DCF"/>
    <w:rsid w:val="72D147B7"/>
    <w:rsid w:val="72F5541E"/>
    <w:rsid w:val="72F62F44"/>
    <w:rsid w:val="739A51B5"/>
    <w:rsid w:val="73BC418E"/>
    <w:rsid w:val="73BC653C"/>
    <w:rsid w:val="73F874DF"/>
    <w:rsid w:val="740D49E9"/>
    <w:rsid w:val="74786307"/>
    <w:rsid w:val="74884070"/>
    <w:rsid w:val="7498222B"/>
    <w:rsid w:val="74991CC1"/>
    <w:rsid w:val="75061B64"/>
    <w:rsid w:val="750A2B3F"/>
    <w:rsid w:val="75101E4D"/>
    <w:rsid w:val="753A4AAE"/>
    <w:rsid w:val="7545775C"/>
    <w:rsid w:val="757842DB"/>
    <w:rsid w:val="75794324"/>
    <w:rsid w:val="7582710F"/>
    <w:rsid w:val="75B82733"/>
    <w:rsid w:val="75BF3AC1"/>
    <w:rsid w:val="75D03F20"/>
    <w:rsid w:val="75D664B5"/>
    <w:rsid w:val="75D92B09"/>
    <w:rsid w:val="75E21B92"/>
    <w:rsid w:val="75FE34CF"/>
    <w:rsid w:val="7610256F"/>
    <w:rsid w:val="761500E6"/>
    <w:rsid w:val="761667F0"/>
    <w:rsid w:val="76191423"/>
    <w:rsid w:val="7619717C"/>
    <w:rsid w:val="76457F37"/>
    <w:rsid w:val="766D79C1"/>
    <w:rsid w:val="768720F9"/>
    <w:rsid w:val="76A33A6B"/>
    <w:rsid w:val="76A6375C"/>
    <w:rsid w:val="76BC510D"/>
    <w:rsid w:val="76DB492B"/>
    <w:rsid w:val="76EA4F5D"/>
    <w:rsid w:val="77164E5C"/>
    <w:rsid w:val="771958CD"/>
    <w:rsid w:val="771C44ED"/>
    <w:rsid w:val="775A07DD"/>
    <w:rsid w:val="776E579F"/>
    <w:rsid w:val="777D59E2"/>
    <w:rsid w:val="77811976"/>
    <w:rsid w:val="778B764A"/>
    <w:rsid w:val="779F004E"/>
    <w:rsid w:val="77A56DAD"/>
    <w:rsid w:val="77B345A7"/>
    <w:rsid w:val="77B91E26"/>
    <w:rsid w:val="77C752D0"/>
    <w:rsid w:val="77D05B9F"/>
    <w:rsid w:val="77D44648"/>
    <w:rsid w:val="77E617D9"/>
    <w:rsid w:val="780F6F82"/>
    <w:rsid w:val="7824194A"/>
    <w:rsid w:val="782642CC"/>
    <w:rsid w:val="785E75C1"/>
    <w:rsid w:val="7860333A"/>
    <w:rsid w:val="78770683"/>
    <w:rsid w:val="789A7AB4"/>
    <w:rsid w:val="78A84CE1"/>
    <w:rsid w:val="790A121E"/>
    <w:rsid w:val="791843F8"/>
    <w:rsid w:val="79465168"/>
    <w:rsid w:val="794744F9"/>
    <w:rsid w:val="79695CC0"/>
    <w:rsid w:val="79872B48"/>
    <w:rsid w:val="798B2BA1"/>
    <w:rsid w:val="799F7E92"/>
    <w:rsid w:val="79AE27CB"/>
    <w:rsid w:val="79AE4987"/>
    <w:rsid w:val="79B0209F"/>
    <w:rsid w:val="79B13D61"/>
    <w:rsid w:val="79B778D1"/>
    <w:rsid w:val="79B871A5"/>
    <w:rsid w:val="79DA711C"/>
    <w:rsid w:val="79E32849"/>
    <w:rsid w:val="79E9735F"/>
    <w:rsid w:val="7A1D56F3"/>
    <w:rsid w:val="7A2B6C5A"/>
    <w:rsid w:val="7A7632E8"/>
    <w:rsid w:val="7A7E48E1"/>
    <w:rsid w:val="7AB77B60"/>
    <w:rsid w:val="7AE937B9"/>
    <w:rsid w:val="7B130B37"/>
    <w:rsid w:val="7B3B008E"/>
    <w:rsid w:val="7B5B603A"/>
    <w:rsid w:val="7B6C6499"/>
    <w:rsid w:val="7B6F1AE6"/>
    <w:rsid w:val="7B762E74"/>
    <w:rsid w:val="7BA37C08"/>
    <w:rsid w:val="7BA40029"/>
    <w:rsid w:val="7BAA061D"/>
    <w:rsid w:val="7BCD09AD"/>
    <w:rsid w:val="7BE23A22"/>
    <w:rsid w:val="7BEA1646"/>
    <w:rsid w:val="7BEE2CA3"/>
    <w:rsid w:val="7C160B6E"/>
    <w:rsid w:val="7C174937"/>
    <w:rsid w:val="7C374D32"/>
    <w:rsid w:val="7C795DDF"/>
    <w:rsid w:val="7C7E3173"/>
    <w:rsid w:val="7C7F4A46"/>
    <w:rsid w:val="7CA57EB5"/>
    <w:rsid w:val="7CA81753"/>
    <w:rsid w:val="7CB65C1E"/>
    <w:rsid w:val="7CCE651F"/>
    <w:rsid w:val="7CDE33C7"/>
    <w:rsid w:val="7D1F3D07"/>
    <w:rsid w:val="7D551ED2"/>
    <w:rsid w:val="7D636903"/>
    <w:rsid w:val="7D9341B1"/>
    <w:rsid w:val="7D951CD7"/>
    <w:rsid w:val="7DC25419"/>
    <w:rsid w:val="7DDF2F52"/>
    <w:rsid w:val="7DEA43B4"/>
    <w:rsid w:val="7DF15D75"/>
    <w:rsid w:val="7E3B08B3"/>
    <w:rsid w:val="7E462FD2"/>
    <w:rsid w:val="7E7365F2"/>
    <w:rsid w:val="7E881A0E"/>
    <w:rsid w:val="7EA1645A"/>
    <w:rsid w:val="7EAD3DAD"/>
    <w:rsid w:val="7EC35188"/>
    <w:rsid w:val="7EC47DA0"/>
    <w:rsid w:val="7ECF2FC7"/>
    <w:rsid w:val="7ED24F9D"/>
    <w:rsid w:val="7ED95BF4"/>
    <w:rsid w:val="7EFE2372"/>
    <w:rsid w:val="7F0606E7"/>
    <w:rsid w:val="7F0F4759"/>
    <w:rsid w:val="7F495297"/>
    <w:rsid w:val="7F4D213E"/>
    <w:rsid w:val="7F563660"/>
    <w:rsid w:val="7F631961"/>
    <w:rsid w:val="7F733E9B"/>
    <w:rsid w:val="7F8519C2"/>
    <w:rsid w:val="7F9C149C"/>
    <w:rsid w:val="7FA34F1F"/>
    <w:rsid w:val="7FD704ED"/>
    <w:rsid w:val="7FE95EC4"/>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qFormat="1"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iPriority="99" w:semiHidden="0" w:name="endnote reference"/>
    <w:lsdException w:qFormat="1" w:uiPriority="99" w:semiHidden="0" w:name="endnote text"/>
    <w:lsdException w:qFormat="1" w:unhideWhenUsed="0" w:uiPriority="0" w:semiHidden="0" w:name="table of authorities"/>
    <w:lsdException w:uiPriority="99" w:name="macro"/>
    <w:lsdException w:uiPriority="99"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06"/>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107"/>
    <w:qFormat/>
    <w:uiPriority w:val="99"/>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108"/>
    <w:qFormat/>
    <w:uiPriority w:val="0"/>
    <w:pPr>
      <w:keepNext/>
      <w:outlineLvl w:val="3"/>
    </w:pPr>
    <w:rPr>
      <w:sz w:val="28"/>
      <w:szCs w:val="20"/>
    </w:rPr>
  </w:style>
  <w:style w:type="paragraph" w:styleId="7">
    <w:name w:val="heading 5"/>
    <w:basedOn w:val="1"/>
    <w:next w:val="1"/>
    <w:link w:val="109"/>
    <w:qFormat/>
    <w:uiPriority w:val="0"/>
    <w:pPr>
      <w:keepNext/>
      <w:keepLines/>
      <w:spacing w:before="280" w:after="290" w:line="376" w:lineRule="auto"/>
      <w:outlineLvl w:val="4"/>
    </w:pPr>
    <w:rPr>
      <w:b/>
      <w:bCs/>
      <w:sz w:val="28"/>
      <w:szCs w:val="28"/>
    </w:rPr>
  </w:style>
  <w:style w:type="paragraph" w:styleId="8">
    <w:name w:val="heading 6"/>
    <w:basedOn w:val="1"/>
    <w:next w:val="1"/>
    <w:link w:val="110"/>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111"/>
    <w:qFormat/>
    <w:uiPriority w:val="0"/>
    <w:pPr>
      <w:keepNext/>
      <w:keepLines/>
      <w:spacing w:before="240" w:after="64" w:line="320" w:lineRule="auto"/>
      <w:outlineLvl w:val="6"/>
    </w:pPr>
    <w:rPr>
      <w:b/>
      <w:bCs/>
      <w:sz w:val="24"/>
    </w:rPr>
  </w:style>
  <w:style w:type="paragraph" w:styleId="10">
    <w:name w:val="heading 8"/>
    <w:basedOn w:val="1"/>
    <w:next w:val="1"/>
    <w:link w:val="112"/>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13"/>
    <w:qFormat/>
    <w:uiPriority w:val="0"/>
    <w:pPr>
      <w:keepNext/>
      <w:keepLines/>
      <w:spacing w:before="240" w:after="64" w:line="320" w:lineRule="auto"/>
      <w:outlineLvl w:val="8"/>
    </w:pPr>
    <w:rPr>
      <w:rFonts w:ascii="Arial" w:hAnsi="Arial" w:eastAsia="黑体"/>
      <w:szCs w:val="21"/>
    </w:rPr>
  </w:style>
  <w:style w:type="character" w:default="1" w:styleId="80">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75"/>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List 3"/>
    <w:basedOn w:val="1"/>
    <w:qFormat/>
    <w:uiPriority w:val="0"/>
    <w:pPr>
      <w:ind w:left="100" w:leftChars="400" w:hanging="200" w:hangingChars="200"/>
      <w:jc w:val="left"/>
    </w:pPr>
    <w:rPr>
      <w:rFonts w:ascii="Calibri" w:hAnsi="Calibri"/>
      <w:kern w:val="0"/>
      <w:sz w:val="28"/>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List Number 2"/>
    <w:basedOn w:val="1"/>
    <w:qFormat/>
    <w:uiPriority w:val="0"/>
    <w:pPr>
      <w:tabs>
        <w:tab w:val="left" w:pos="780"/>
      </w:tabs>
      <w:ind w:left="420" w:hanging="420" w:firstLineChars="200"/>
      <w:jc w:val="left"/>
    </w:pPr>
    <w:rPr>
      <w:rFonts w:ascii="Calibri" w:hAnsi="Calibri"/>
      <w:kern w:val="0"/>
      <w:sz w:val="28"/>
    </w:rPr>
  </w:style>
  <w:style w:type="paragraph" w:styleId="15">
    <w:name w:val="table of authorities"/>
    <w:basedOn w:val="1"/>
    <w:next w:val="1"/>
    <w:qFormat/>
    <w:uiPriority w:val="0"/>
    <w:pPr>
      <w:tabs>
        <w:tab w:val="right" w:leader="dot" w:pos="7980"/>
      </w:tabs>
      <w:topLinePunct/>
      <w:ind w:left="420" w:leftChars="200"/>
    </w:pPr>
    <w:rPr>
      <w:sz w:val="24"/>
    </w:rPr>
  </w:style>
  <w:style w:type="paragraph" w:styleId="16">
    <w:name w:val="Note Heading"/>
    <w:basedOn w:val="1"/>
    <w:next w:val="1"/>
    <w:link w:val="162"/>
    <w:qFormat/>
    <w:uiPriority w:val="0"/>
    <w:pPr>
      <w:ind w:firstLine="200" w:firstLineChars="200"/>
      <w:jc w:val="center"/>
    </w:pPr>
    <w:rPr>
      <w:rFonts w:asciiTheme="minorHAnsi" w:hAnsiTheme="minorHAnsi" w:eastAsiaTheme="minorEastAsia" w:cstheme="minorBidi"/>
      <w:sz w:val="28"/>
    </w:rPr>
  </w:style>
  <w:style w:type="paragraph" w:styleId="17">
    <w:name w:val="List Bullet 4"/>
    <w:basedOn w:val="1"/>
    <w:qFormat/>
    <w:uiPriority w:val="0"/>
    <w:pPr>
      <w:tabs>
        <w:tab w:val="left" w:pos="720"/>
        <w:tab w:val="left" w:pos="1620"/>
      </w:tabs>
      <w:ind w:left="840" w:hanging="420" w:firstLineChars="200"/>
      <w:jc w:val="left"/>
    </w:pPr>
    <w:rPr>
      <w:rFonts w:ascii="Calibri" w:hAnsi="Calibri"/>
      <w:kern w:val="0"/>
      <w:sz w:val="28"/>
    </w:rPr>
  </w:style>
  <w:style w:type="paragraph" w:styleId="18">
    <w:name w:val="E-mail Signature"/>
    <w:basedOn w:val="1"/>
    <w:link w:val="163"/>
    <w:qFormat/>
    <w:uiPriority w:val="0"/>
    <w:pPr>
      <w:ind w:firstLine="200" w:firstLineChars="200"/>
      <w:jc w:val="left"/>
    </w:pPr>
    <w:rPr>
      <w:rFonts w:asciiTheme="minorHAnsi" w:hAnsiTheme="minorHAnsi" w:eastAsiaTheme="minorEastAsia" w:cstheme="minorBidi"/>
      <w:sz w:val="28"/>
    </w:rPr>
  </w:style>
  <w:style w:type="paragraph" w:styleId="19">
    <w:name w:val="List Number"/>
    <w:basedOn w:val="1"/>
    <w:qFormat/>
    <w:uiPriority w:val="0"/>
    <w:pPr>
      <w:numPr>
        <w:ilvl w:val="0"/>
        <w:numId w:val="1"/>
      </w:numPr>
      <w:tabs>
        <w:tab w:val="left" w:pos="360"/>
        <w:tab w:val="left" w:pos="1620"/>
      </w:tabs>
      <w:ind w:firstLine="200" w:firstLineChars="200"/>
      <w:jc w:val="left"/>
    </w:pPr>
    <w:rPr>
      <w:rFonts w:ascii="Calibri" w:hAnsi="Calibri"/>
      <w:kern w:val="0"/>
      <w:sz w:val="28"/>
    </w:rPr>
  </w:style>
  <w:style w:type="paragraph" w:styleId="20">
    <w:name w:val="caption"/>
    <w:basedOn w:val="1"/>
    <w:next w:val="1"/>
    <w:link w:val="387"/>
    <w:unhideWhenUsed/>
    <w:qFormat/>
    <w:uiPriority w:val="0"/>
    <w:rPr>
      <w:rFonts w:ascii="Cambria" w:hAnsi="Cambria" w:eastAsia="黑体"/>
      <w:sz w:val="20"/>
      <w:szCs w:val="20"/>
    </w:rPr>
  </w:style>
  <w:style w:type="paragraph" w:styleId="21">
    <w:name w:val="List Bullet"/>
    <w:basedOn w:val="1"/>
    <w:qFormat/>
    <w:uiPriority w:val="0"/>
    <w:pPr>
      <w:numPr>
        <w:ilvl w:val="0"/>
        <w:numId w:val="2"/>
      </w:numPr>
      <w:tabs>
        <w:tab w:val="left" w:pos="360"/>
        <w:tab w:val="left" w:pos="1200"/>
      </w:tabs>
      <w:ind w:firstLine="200" w:firstLineChars="200"/>
      <w:jc w:val="left"/>
    </w:pPr>
    <w:rPr>
      <w:rFonts w:ascii="Calibri" w:hAnsi="Calibri"/>
      <w:kern w:val="0"/>
      <w:sz w:val="28"/>
    </w:rPr>
  </w:style>
  <w:style w:type="paragraph" w:styleId="22">
    <w:name w:val="envelope address"/>
    <w:basedOn w:val="1"/>
    <w:qFormat/>
    <w:uiPriority w:val="0"/>
    <w:pPr>
      <w:snapToGrid w:val="0"/>
      <w:ind w:left="100" w:leftChars="1400" w:firstLine="200" w:firstLineChars="200"/>
      <w:jc w:val="left"/>
    </w:pPr>
    <w:rPr>
      <w:rFonts w:ascii="Arial" w:hAnsi="Arial" w:cs="Arial"/>
      <w:kern w:val="0"/>
      <w:sz w:val="28"/>
    </w:rPr>
  </w:style>
  <w:style w:type="paragraph" w:styleId="23">
    <w:name w:val="Document Map"/>
    <w:basedOn w:val="1"/>
    <w:link w:val="118"/>
    <w:qFormat/>
    <w:uiPriority w:val="0"/>
    <w:rPr>
      <w:rFonts w:ascii="宋体"/>
      <w:sz w:val="18"/>
      <w:szCs w:val="18"/>
    </w:rPr>
  </w:style>
  <w:style w:type="paragraph" w:styleId="24">
    <w:name w:val="annotation text"/>
    <w:basedOn w:val="1"/>
    <w:link w:val="116"/>
    <w:unhideWhenUsed/>
    <w:qFormat/>
    <w:uiPriority w:val="99"/>
    <w:pPr>
      <w:jc w:val="left"/>
    </w:pPr>
  </w:style>
  <w:style w:type="paragraph" w:styleId="25">
    <w:name w:val="Salutation"/>
    <w:basedOn w:val="1"/>
    <w:next w:val="1"/>
    <w:link w:val="164"/>
    <w:qFormat/>
    <w:uiPriority w:val="0"/>
    <w:pPr>
      <w:ind w:firstLine="200" w:firstLineChars="200"/>
      <w:jc w:val="left"/>
    </w:pPr>
    <w:rPr>
      <w:rFonts w:asciiTheme="minorHAnsi" w:hAnsiTheme="minorHAnsi" w:eastAsiaTheme="minorEastAsia" w:cstheme="minorBidi"/>
      <w:sz w:val="28"/>
    </w:rPr>
  </w:style>
  <w:style w:type="paragraph" w:styleId="26">
    <w:name w:val="Body Text 3"/>
    <w:basedOn w:val="1"/>
    <w:link w:val="142"/>
    <w:unhideWhenUsed/>
    <w:qFormat/>
    <w:uiPriority w:val="99"/>
    <w:pPr>
      <w:spacing w:after="120"/>
    </w:pPr>
    <w:rPr>
      <w:sz w:val="16"/>
      <w:szCs w:val="16"/>
    </w:rPr>
  </w:style>
  <w:style w:type="paragraph" w:styleId="27">
    <w:name w:val="Closing"/>
    <w:basedOn w:val="1"/>
    <w:link w:val="165"/>
    <w:qFormat/>
    <w:uiPriority w:val="0"/>
    <w:pPr>
      <w:ind w:left="100" w:leftChars="2100" w:firstLine="200" w:firstLineChars="200"/>
      <w:jc w:val="left"/>
    </w:pPr>
    <w:rPr>
      <w:rFonts w:asciiTheme="minorHAnsi" w:hAnsiTheme="minorHAnsi" w:eastAsiaTheme="minorEastAsia" w:cstheme="minorBidi"/>
      <w:sz w:val="28"/>
    </w:rPr>
  </w:style>
  <w:style w:type="paragraph" w:styleId="28">
    <w:name w:val="List Bullet 3"/>
    <w:basedOn w:val="1"/>
    <w:qFormat/>
    <w:uiPriority w:val="0"/>
    <w:pPr>
      <w:tabs>
        <w:tab w:val="left" w:pos="1200"/>
        <w:tab w:val="left" w:pos="2040"/>
      </w:tabs>
      <w:ind w:left="420" w:hanging="420" w:firstLineChars="200"/>
      <w:jc w:val="left"/>
    </w:pPr>
    <w:rPr>
      <w:rFonts w:ascii="Calibri" w:hAnsi="Calibri"/>
      <w:kern w:val="0"/>
      <w:sz w:val="28"/>
    </w:rPr>
  </w:style>
  <w:style w:type="paragraph" w:styleId="29">
    <w:name w:val="Body Text"/>
    <w:basedOn w:val="1"/>
    <w:next w:val="1"/>
    <w:link w:val="119"/>
    <w:qFormat/>
    <w:uiPriority w:val="0"/>
    <w:rPr>
      <w:sz w:val="28"/>
      <w:szCs w:val="20"/>
    </w:rPr>
  </w:style>
  <w:style w:type="paragraph" w:styleId="30">
    <w:name w:val="Body Text Indent"/>
    <w:basedOn w:val="1"/>
    <w:next w:val="31"/>
    <w:link w:val="12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31">
    <w:name w:val="envelope return"/>
    <w:basedOn w:val="1"/>
    <w:qFormat/>
    <w:uiPriority w:val="0"/>
    <w:pPr>
      <w:snapToGrid w:val="0"/>
      <w:ind w:firstLine="200" w:firstLineChars="200"/>
      <w:jc w:val="left"/>
    </w:pPr>
    <w:rPr>
      <w:rFonts w:ascii="Arial" w:hAnsi="Arial" w:cs="Arial"/>
      <w:kern w:val="0"/>
      <w:sz w:val="28"/>
    </w:rPr>
  </w:style>
  <w:style w:type="paragraph" w:styleId="32">
    <w:name w:val="List Number 3"/>
    <w:basedOn w:val="1"/>
    <w:qFormat/>
    <w:uiPriority w:val="0"/>
    <w:pPr>
      <w:numPr>
        <w:ilvl w:val="0"/>
        <w:numId w:val="3"/>
      </w:numPr>
      <w:tabs>
        <w:tab w:val="left" w:pos="780"/>
        <w:tab w:val="left" w:pos="1200"/>
      </w:tabs>
      <w:ind w:firstLine="200" w:firstLineChars="200"/>
      <w:jc w:val="left"/>
    </w:pPr>
    <w:rPr>
      <w:rFonts w:ascii="Calibri" w:hAnsi="Calibri"/>
      <w:kern w:val="0"/>
      <w:sz w:val="28"/>
    </w:rPr>
  </w:style>
  <w:style w:type="paragraph" w:styleId="33">
    <w:name w:val="List 2"/>
    <w:basedOn w:val="1"/>
    <w:qFormat/>
    <w:uiPriority w:val="0"/>
    <w:pPr>
      <w:ind w:left="100" w:leftChars="200" w:hanging="200" w:hangingChars="200"/>
    </w:pPr>
  </w:style>
  <w:style w:type="paragraph" w:styleId="34">
    <w:name w:val="List Continue"/>
    <w:basedOn w:val="1"/>
    <w:qFormat/>
    <w:uiPriority w:val="0"/>
    <w:pPr>
      <w:spacing w:after="120"/>
      <w:ind w:left="420" w:leftChars="200" w:firstLine="200" w:firstLineChars="200"/>
      <w:jc w:val="left"/>
    </w:pPr>
    <w:rPr>
      <w:rFonts w:ascii="Calibri" w:hAnsi="Calibri"/>
      <w:kern w:val="0"/>
      <w:sz w:val="28"/>
    </w:rPr>
  </w:style>
  <w:style w:type="paragraph" w:styleId="35">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36">
    <w:name w:val="List Bullet 2"/>
    <w:basedOn w:val="1"/>
    <w:qFormat/>
    <w:uiPriority w:val="0"/>
    <w:pPr>
      <w:numPr>
        <w:ilvl w:val="0"/>
        <w:numId w:val="4"/>
      </w:numPr>
      <w:spacing w:line="360" w:lineRule="auto"/>
    </w:pPr>
    <w:rPr>
      <w:sz w:val="24"/>
    </w:rPr>
  </w:style>
  <w:style w:type="paragraph" w:styleId="37">
    <w:name w:val="HTML Address"/>
    <w:basedOn w:val="1"/>
    <w:link w:val="166"/>
    <w:qFormat/>
    <w:uiPriority w:val="0"/>
    <w:pPr>
      <w:ind w:firstLine="200" w:firstLineChars="200"/>
      <w:jc w:val="left"/>
    </w:pPr>
    <w:rPr>
      <w:rFonts w:asciiTheme="minorHAnsi" w:hAnsiTheme="minorHAnsi" w:eastAsiaTheme="minorEastAsia" w:cstheme="minorBidi"/>
      <w:i/>
      <w:iCs/>
      <w:sz w:val="28"/>
    </w:rPr>
  </w:style>
  <w:style w:type="paragraph" w:styleId="38">
    <w:name w:val="toc 5"/>
    <w:basedOn w:val="1"/>
    <w:next w:val="1"/>
    <w:unhideWhenUsed/>
    <w:qFormat/>
    <w:uiPriority w:val="39"/>
    <w:pPr>
      <w:ind w:left="1680" w:leftChars="800"/>
    </w:pPr>
    <w:rPr>
      <w:rFonts w:ascii="Calibri" w:hAnsi="Calibri"/>
      <w:szCs w:val="22"/>
    </w:rPr>
  </w:style>
  <w:style w:type="paragraph" w:styleId="39">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40">
    <w:name w:val="Plain Text"/>
    <w:basedOn w:val="1"/>
    <w:link w:val="121"/>
    <w:qFormat/>
    <w:uiPriority w:val="0"/>
    <w:rPr>
      <w:rFonts w:ascii="宋体" w:hAnsi="Courier New"/>
      <w:szCs w:val="20"/>
    </w:rPr>
  </w:style>
  <w:style w:type="paragraph" w:styleId="41">
    <w:name w:val="List Bullet 5"/>
    <w:basedOn w:val="1"/>
    <w:qFormat/>
    <w:uiPriority w:val="0"/>
    <w:pPr>
      <w:tabs>
        <w:tab w:val="left" w:pos="780"/>
        <w:tab w:val="left" w:pos="2040"/>
      </w:tabs>
      <w:ind w:left="1260" w:hanging="420" w:firstLineChars="200"/>
      <w:jc w:val="left"/>
    </w:pPr>
    <w:rPr>
      <w:rFonts w:ascii="Calibri" w:hAnsi="Calibri"/>
      <w:kern w:val="0"/>
      <w:sz w:val="28"/>
    </w:rPr>
  </w:style>
  <w:style w:type="paragraph" w:styleId="42">
    <w:name w:val="List Number 4"/>
    <w:basedOn w:val="1"/>
    <w:qFormat/>
    <w:uiPriority w:val="0"/>
    <w:pPr>
      <w:numPr>
        <w:ilvl w:val="0"/>
        <w:numId w:val="5"/>
      </w:numPr>
      <w:tabs>
        <w:tab w:val="left" w:pos="1200"/>
        <w:tab w:val="left" w:pos="1620"/>
      </w:tabs>
      <w:ind w:firstLine="200" w:firstLineChars="200"/>
      <w:jc w:val="left"/>
    </w:pPr>
    <w:rPr>
      <w:rFonts w:ascii="Calibri" w:hAnsi="Calibri"/>
      <w:kern w:val="0"/>
      <w:sz w:val="28"/>
    </w:rPr>
  </w:style>
  <w:style w:type="paragraph" w:styleId="43">
    <w:name w:val="toc 8"/>
    <w:basedOn w:val="1"/>
    <w:next w:val="1"/>
    <w:unhideWhenUsed/>
    <w:qFormat/>
    <w:uiPriority w:val="39"/>
    <w:pPr>
      <w:ind w:left="2940" w:leftChars="1400"/>
    </w:pPr>
    <w:rPr>
      <w:rFonts w:ascii="Calibri" w:hAnsi="Calibri"/>
      <w:szCs w:val="22"/>
    </w:rPr>
  </w:style>
  <w:style w:type="paragraph" w:styleId="44">
    <w:name w:val="index 3"/>
    <w:basedOn w:val="1"/>
    <w:next w:val="1"/>
    <w:semiHidden/>
    <w:unhideWhenUsed/>
    <w:qFormat/>
    <w:uiPriority w:val="99"/>
    <w:pPr>
      <w:spacing w:line="360" w:lineRule="auto"/>
      <w:ind w:left="400" w:leftChars="400" w:firstLine="200" w:firstLineChars="200"/>
    </w:pPr>
    <w:rPr>
      <w:kern w:val="0"/>
      <w:sz w:val="24"/>
    </w:rPr>
  </w:style>
  <w:style w:type="paragraph" w:styleId="45">
    <w:name w:val="Date"/>
    <w:basedOn w:val="1"/>
    <w:next w:val="1"/>
    <w:link w:val="122"/>
    <w:qFormat/>
    <w:uiPriority w:val="99"/>
    <w:pPr>
      <w:ind w:left="100" w:leftChars="2500"/>
    </w:pPr>
    <w:rPr>
      <w:szCs w:val="20"/>
    </w:rPr>
  </w:style>
  <w:style w:type="paragraph" w:styleId="46">
    <w:name w:val="Body Text Indent 2"/>
    <w:basedOn w:val="1"/>
    <w:link w:val="123"/>
    <w:qFormat/>
    <w:uiPriority w:val="0"/>
    <w:pPr>
      <w:spacing w:line="480" w:lineRule="auto"/>
      <w:ind w:firstLine="480" w:firstLineChars="200"/>
    </w:pPr>
    <w:rPr>
      <w:rFonts w:ascii="仿宋_GB2312" w:hAnsi="宋体" w:eastAsia="仿宋_GB2312"/>
      <w:sz w:val="24"/>
    </w:rPr>
  </w:style>
  <w:style w:type="paragraph" w:styleId="47">
    <w:name w:val="endnote text"/>
    <w:basedOn w:val="1"/>
    <w:link w:val="167"/>
    <w:unhideWhenUsed/>
    <w:qFormat/>
    <w:uiPriority w:val="99"/>
    <w:pPr>
      <w:snapToGrid w:val="0"/>
      <w:jc w:val="left"/>
    </w:pPr>
    <w:rPr>
      <w:rFonts w:asciiTheme="minorHAnsi" w:hAnsiTheme="minorHAnsi" w:eastAsiaTheme="minorEastAsia" w:cstheme="minorBidi"/>
      <w:szCs w:val="22"/>
    </w:rPr>
  </w:style>
  <w:style w:type="paragraph" w:styleId="48">
    <w:name w:val="List Continue 5"/>
    <w:basedOn w:val="1"/>
    <w:qFormat/>
    <w:uiPriority w:val="0"/>
    <w:pPr>
      <w:spacing w:after="120"/>
      <w:ind w:left="2100" w:leftChars="1000" w:firstLine="200" w:firstLineChars="200"/>
      <w:jc w:val="left"/>
    </w:pPr>
    <w:rPr>
      <w:rFonts w:ascii="Calibri" w:hAnsi="Calibri"/>
      <w:kern w:val="0"/>
      <w:sz w:val="28"/>
    </w:rPr>
  </w:style>
  <w:style w:type="paragraph" w:styleId="49">
    <w:name w:val="Balloon Text"/>
    <w:basedOn w:val="1"/>
    <w:link w:val="104"/>
    <w:unhideWhenUsed/>
    <w:qFormat/>
    <w:uiPriority w:val="99"/>
    <w:rPr>
      <w:sz w:val="18"/>
      <w:szCs w:val="18"/>
    </w:rPr>
  </w:style>
  <w:style w:type="paragraph" w:styleId="50">
    <w:name w:val="footer"/>
    <w:basedOn w:val="1"/>
    <w:link w:val="115"/>
    <w:unhideWhenUsed/>
    <w:qFormat/>
    <w:uiPriority w:val="99"/>
    <w:pPr>
      <w:tabs>
        <w:tab w:val="center" w:pos="4153"/>
        <w:tab w:val="right" w:pos="8306"/>
      </w:tabs>
      <w:snapToGrid w:val="0"/>
      <w:jc w:val="left"/>
    </w:pPr>
    <w:rPr>
      <w:sz w:val="18"/>
      <w:szCs w:val="18"/>
    </w:rPr>
  </w:style>
  <w:style w:type="paragraph" w:styleId="51">
    <w:name w:val="header"/>
    <w:basedOn w:val="1"/>
    <w:link w:val="114"/>
    <w:unhideWhenUsed/>
    <w:qFormat/>
    <w:uiPriority w:val="99"/>
    <w:pPr>
      <w:pBdr>
        <w:bottom w:val="single" w:color="auto" w:sz="6" w:space="1"/>
      </w:pBdr>
      <w:tabs>
        <w:tab w:val="center" w:pos="4153"/>
        <w:tab w:val="right" w:pos="8306"/>
      </w:tabs>
      <w:snapToGrid w:val="0"/>
      <w:jc w:val="center"/>
    </w:pPr>
    <w:rPr>
      <w:sz w:val="18"/>
      <w:szCs w:val="18"/>
    </w:rPr>
  </w:style>
  <w:style w:type="paragraph" w:styleId="52">
    <w:name w:val="Signature"/>
    <w:basedOn w:val="1"/>
    <w:link w:val="168"/>
    <w:qFormat/>
    <w:uiPriority w:val="0"/>
    <w:pPr>
      <w:ind w:left="100" w:leftChars="2100" w:firstLine="200" w:firstLineChars="200"/>
      <w:jc w:val="left"/>
    </w:pPr>
    <w:rPr>
      <w:rFonts w:asciiTheme="minorHAnsi" w:hAnsiTheme="minorHAnsi" w:eastAsiaTheme="minorEastAsia" w:cstheme="minorBidi"/>
      <w:sz w:val="28"/>
    </w:rPr>
  </w:style>
  <w:style w:type="paragraph" w:styleId="53">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54">
    <w:name w:val="List Continue 4"/>
    <w:basedOn w:val="1"/>
    <w:qFormat/>
    <w:uiPriority w:val="0"/>
    <w:pPr>
      <w:spacing w:after="120"/>
      <w:ind w:left="1680" w:leftChars="800" w:firstLine="200" w:firstLineChars="200"/>
      <w:jc w:val="left"/>
    </w:pPr>
    <w:rPr>
      <w:rFonts w:ascii="Calibri" w:hAnsi="Calibri"/>
      <w:kern w:val="0"/>
      <w:sz w:val="28"/>
    </w:rPr>
  </w:style>
  <w:style w:type="paragraph" w:styleId="55">
    <w:name w:val="toc 4"/>
    <w:basedOn w:val="1"/>
    <w:next w:val="1"/>
    <w:unhideWhenUsed/>
    <w:qFormat/>
    <w:uiPriority w:val="39"/>
    <w:pPr>
      <w:ind w:left="1260" w:leftChars="600"/>
    </w:pPr>
    <w:rPr>
      <w:rFonts w:ascii="Calibri" w:hAnsi="Calibri"/>
      <w:szCs w:val="22"/>
    </w:rPr>
  </w:style>
  <w:style w:type="paragraph" w:styleId="56">
    <w:name w:val="Subtitle"/>
    <w:basedOn w:val="1"/>
    <w:next w:val="1"/>
    <w:link w:val="124"/>
    <w:qFormat/>
    <w:uiPriority w:val="0"/>
    <w:pPr>
      <w:spacing w:before="240" w:after="60" w:line="312" w:lineRule="auto"/>
      <w:jc w:val="center"/>
      <w:outlineLvl w:val="1"/>
    </w:pPr>
    <w:rPr>
      <w:rFonts w:ascii="Cambria" w:hAnsi="Cambria" w:cs="黑体"/>
      <w:b/>
      <w:bCs/>
      <w:kern w:val="28"/>
      <w:sz w:val="32"/>
      <w:szCs w:val="32"/>
    </w:rPr>
  </w:style>
  <w:style w:type="paragraph" w:styleId="57">
    <w:name w:val="List Number 5"/>
    <w:basedOn w:val="1"/>
    <w:qFormat/>
    <w:uiPriority w:val="0"/>
    <w:pPr>
      <w:tabs>
        <w:tab w:val="left" w:pos="2040"/>
      </w:tabs>
      <w:ind w:left="2040" w:leftChars="800" w:hanging="360" w:hangingChars="200"/>
      <w:jc w:val="left"/>
    </w:pPr>
    <w:rPr>
      <w:rFonts w:ascii="Calibri" w:hAnsi="Calibri"/>
      <w:kern w:val="0"/>
      <w:sz w:val="28"/>
    </w:rPr>
  </w:style>
  <w:style w:type="paragraph" w:styleId="58">
    <w:name w:val="List"/>
    <w:basedOn w:val="1"/>
    <w:qFormat/>
    <w:uiPriority w:val="99"/>
    <w:pPr>
      <w:ind w:left="200" w:hanging="200" w:hangingChars="200"/>
      <w:jc w:val="left"/>
    </w:pPr>
    <w:rPr>
      <w:rFonts w:ascii="Calibri" w:hAnsi="Calibri"/>
      <w:kern w:val="0"/>
      <w:sz w:val="28"/>
    </w:rPr>
  </w:style>
  <w:style w:type="paragraph" w:styleId="59">
    <w:name w:val="footnote text"/>
    <w:basedOn w:val="1"/>
    <w:link w:val="147"/>
    <w:unhideWhenUsed/>
    <w:qFormat/>
    <w:uiPriority w:val="0"/>
    <w:pPr>
      <w:adjustRightInd w:val="0"/>
      <w:spacing w:line="312" w:lineRule="atLeast"/>
      <w:jc w:val="left"/>
    </w:pPr>
    <w:rPr>
      <w:kern w:val="0"/>
      <w:sz w:val="18"/>
      <w:szCs w:val="20"/>
    </w:rPr>
  </w:style>
  <w:style w:type="paragraph" w:styleId="60">
    <w:name w:val="toc 6"/>
    <w:basedOn w:val="1"/>
    <w:next w:val="1"/>
    <w:unhideWhenUsed/>
    <w:qFormat/>
    <w:uiPriority w:val="39"/>
    <w:pPr>
      <w:ind w:left="2100" w:leftChars="1000"/>
    </w:pPr>
    <w:rPr>
      <w:rFonts w:ascii="Calibri" w:hAnsi="Calibri"/>
      <w:szCs w:val="22"/>
    </w:rPr>
  </w:style>
  <w:style w:type="paragraph" w:styleId="61">
    <w:name w:val="List 5"/>
    <w:basedOn w:val="1"/>
    <w:qFormat/>
    <w:uiPriority w:val="0"/>
    <w:pPr>
      <w:ind w:left="100" w:leftChars="800" w:hanging="200" w:hangingChars="200"/>
      <w:jc w:val="left"/>
    </w:pPr>
    <w:rPr>
      <w:rFonts w:ascii="Calibri" w:hAnsi="Calibri"/>
      <w:kern w:val="0"/>
      <w:sz w:val="28"/>
    </w:rPr>
  </w:style>
  <w:style w:type="paragraph" w:styleId="62">
    <w:name w:val="Body Text Indent 3"/>
    <w:basedOn w:val="1"/>
    <w:link w:val="125"/>
    <w:qFormat/>
    <w:uiPriority w:val="0"/>
    <w:pPr>
      <w:spacing w:after="120" w:line="360" w:lineRule="atLeast"/>
      <w:ind w:firstLine="720" w:firstLineChars="300"/>
    </w:pPr>
    <w:rPr>
      <w:sz w:val="24"/>
      <w:szCs w:val="20"/>
    </w:rPr>
  </w:style>
  <w:style w:type="paragraph" w:styleId="63">
    <w:name w:val="table of figures"/>
    <w:basedOn w:val="1"/>
    <w:next w:val="1"/>
    <w:unhideWhenUsed/>
    <w:qFormat/>
    <w:uiPriority w:val="99"/>
    <w:pPr>
      <w:spacing w:line="360" w:lineRule="auto"/>
      <w:ind w:left="200" w:leftChars="200" w:hanging="200" w:hangingChars="200"/>
    </w:pPr>
    <w:rPr>
      <w:sz w:val="28"/>
      <w:szCs w:val="22"/>
    </w:rPr>
  </w:style>
  <w:style w:type="paragraph" w:styleId="64">
    <w:name w:val="toc 2"/>
    <w:basedOn w:val="1"/>
    <w:next w:val="1"/>
    <w:qFormat/>
    <w:uiPriority w:val="39"/>
    <w:pPr>
      <w:tabs>
        <w:tab w:val="left" w:pos="567"/>
        <w:tab w:val="right" w:leader="dot" w:pos="8505"/>
        <w:tab w:val="right" w:leader="dot" w:pos="9628"/>
      </w:tabs>
      <w:spacing w:line="440" w:lineRule="exact"/>
    </w:pPr>
  </w:style>
  <w:style w:type="paragraph" w:styleId="65">
    <w:name w:val="toc 9"/>
    <w:basedOn w:val="1"/>
    <w:next w:val="1"/>
    <w:unhideWhenUsed/>
    <w:qFormat/>
    <w:uiPriority w:val="39"/>
    <w:pPr>
      <w:ind w:left="3360" w:leftChars="1600"/>
    </w:pPr>
    <w:rPr>
      <w:rFonts w:ascii="Calibri" w:hAnsi="Calibri"/>
      <w:szCs w:val="22"/>
    </w:rPr>
  </w:style>
  <w:style w:type="paragraph" w:styleId="66">
    <w:name w:val="Body Text 2"/>
    <w:basedOn w:val="1"/>
    <w:link w:val="169"/>
    <w:qFormat/>
    <w:uiPriority w:val="0"/>
    <w:pPr>
      <w:spacing w:after="120" w:line="480" w:lineRule="auto"/>
    </w:pPr>
  </w:style>
  <w:style w:type="paragraph" w:styleId="67">
    <w:name w:val="List 4"/>
    <w:basedOn w:val="1"/>
    <w:qFormat/>
    <w:uiPriority w:val="0"/>
    <w:pPr>
      <w:ind w:left="100" w:leftChars="600" w:hanging="200" w:hangingChars="200"/>
      <w:jc w:val="left"/>
    </w:pPr>
    <w:rPr>
      <w:rFonts w:ascii="Calibri" w:hAnsi="Calibri"/>
      <w:kern w:val="0"/>
      <w:sz w:val="28"/>
    </w:rPr>
  </w:style>
  <w:style w:type="paragraph" w:styleId="68">
    <w:name w:val="List Continue 2"/>
    <w:basedOn w:val="1"/>
    <w:qFormat/>
    <w:uiPriority w:val="0"/>
    <w:pPr>
      <w:spacing w:after="120"/>
      <w:ind w:left="840" w:leftChars="400" w:firstLine="200" w:firstLineChars="200"/>
      <w:jc w:val="left"/>
    </w:pPr>
    <w:rPr>
      <w:rFonts w:ascii="Calibri" w:hAnsi="Calibri"/>
      <w:kern w:val="0"/>
      <w:sz w:val="28"/>
    </w:rPr>
  </w:style>
  <w:style w:type="paragraph" w:styleId="69">
    <w:name w:val="Message Header"/>
    <w:basedOn w:val="1"/>
    <w:link w:val="17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Arial" w:hAnsi="Arial" w:cs="Arial" w:eastAsiaTheme="minorEastAsia"/>
      <w:sz w:val="28"/>
    </w:rPr>
  </w:style>
  <w:style w:type="paragraph" w:styleId="70">
    <w:name w:val="HTML Preformatted"/>
    <w:basedOn w:val="1"/>
    <w:link w:val="171"/>
    <w:qFormat/>
    <w:uiPriority w:val="0"/>
    <w:pPr>
      <w:ind w:firstLine="200" w:firstLineChars="200"/>
      <w:jc w:val="left"/>
    </w:pPr>
    <w:rPr>
      <w:rFonts w:ascii="Courier New" w:hAnsi="Courier New" w:cs="Courier New" w:eastAsiaTheme="minorEastAsia"/>
      <w:szCs w:val="22"/>
    </w:rPr>
  </w:style>
  <w:style w:type="paragraph" w:styleId="71">
    <w:name w:val="Normal (Web)"/>
    <w:basedOn w:val="1"/>
    <w:link w:val="437"/>
    <w:unhideWhenUsed/>
    <w:qFormat/>
    <w:uiPriority w:val="99"/>
    <w:pPr>
      <w:widowControl/>
      <w:spacing w:before="100" w:beforeAutospacing="1" w:after="100" w:afterAutospacing="1"/>
      <w:jc w:val="left"/>
    </w:pPr>
    <w:rPr>
      <w:rFonts w:ascii="ˎ̥" w:hAnsi="ˎ̥" w:cs="宋体"/>
      <w:kern w:val="0"/>
      <w:sz w:val="24"/>
    </w:rPr>
  </w:style>
  <w:style w:type="paragraph" w:styleId="72">
    <w:name w:val="List Continue 3"/>
    <w:basedOn w:val="1"/>
    <w:qFormat/>
    <w:uiPriority w:val="0"/>
    <w:pPr>
      <w:spacing w:after="120"/>
      <w:ind w:left="1260" w:leftChars="600" w:firstLine="200" w:firstLineChars="200"/>
      <w:jc w:val="left"/>
    </w:pPr>
    <w:rPr>
      <w:rFonts w:ascii="Calibri" w:hAnsi="Calibri"/>
      <w:kern w:val="0"/>
      <w:sz w:val="28"/>
    </w:rPr>
  </w:style>
  <w:style w:type="paragraph" w:styleId="73">
    <w:name w:val="index 1"/>
    <w:basedOn w:val="1"/>
    <w:next w:val="1"/>
    <w:semiHidden/>
    <w:unhideWhenUsed/>
    <w:qFormat/>
    <w:uiPriority w:val="0"/>
    <w:pPr>
      <w:spacing w:line="220" w:lineRule="exact"/>
      <w:jc w:val="center"/>
    </w:pPr>
    <w:rPr>
      <w:rFonts w:ascii="仿宋_GB2312" w:eastAsia="仿宋_GB2312"/>
      <w:szCs w:val="21"/>
    </w:rPr>
  </w:style>
  <w:style w:type="paragraph" w:styleId="74">
    <w:name w:val="Title"/>
    <w:basedOn w:val="1"/>
    <w:next w:val="1"/>
    <w:link w:val="126"/>
    <w:qFormat/>
    <w:uiPriority w:val="99"/>
    <w:pPr>
      <w:spacing w:before="240" w:after="60"/>
      <w:jc w:val="center"/>
      <w:outlineLvl w:val="0"/>
    </w:pPr>
    <w:rPr>
      <w:rFonts w:ascii="Cambria" w:hAnsi="Cambria"/>
      <w:b/>
      <w:bCs/>
      <w:sz w:val="32"/>
      <w:szCs w:val="32"/>
    </w:rPr>
  </w:style>
  <w:style w:type="paragraph" w:styleId="75">
    <w:name w:val="annotation subject"/>
    <w:basedOn w:val="24"/>
    <w:next w:val="24"/>
    <w:link w:val="117"/>
    <w:qFormat/>
    <w:uiPriority w:val="99"/>
    <w:rPr>
      <w:b/>
      <w:bCs/>
      <w:szCs w:val="20"/>
    </w:rPr>
  </w:style>
  <w:style w:type="paragraph" w:styleId="76">
    <w:name w:val="Body Text First Indent"/>
    <w:basedOn w:val="29"/>
    <w:link w:val="172"/>
    <w:qFormat/>
    <w:uiPriority w:val="99"/>
    <w:pPr>
      <w:ind w:firstLine="420" w:firstLineChars="100"/>
    </w:pPr>
  </w:style>
  <w:style w:type="paragraph" w:styleId="77">
    <w:name w:val="Body Text First Indent 2"/>
    <w:basedOn w:val="30"/>
    <w:next w:val="76"/>
    <w:link w:val="173"/>
    <w:qFormat/>
    <w:uiPriority w:val="0"/>
    <w:pPr>
      <w:ind w:left="0" w:firstLine="210"/>
    </w:pPr>
  </w:style>
  <w:style w:type="table" w:styleId="79">
    <w:name w:val="Table Grid"/>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1">
    <w:name w:val="Strong"/>
    <w:qFormat/>
    <w:uiPriority w:val="22"/>
    <w:rPr>
      <w:b/>
      <w:bCs/>
    </w:rPr>
  </w:style>
  <w:style w:type="character" w:styleId="82">
    <w:name w:val="endnote reference"/>
    <w:unhideWhenUsed/>
    <w:qFormat/>
    <w:uiPriority w:val="99"/>
    <w:rPr>
      <w:vertAlign w:val="superscript"/>
    </w:rPr>
  </w:style>
  <w:style w:type="character" w:styleId="83">
    <w:name w:val="page number"/>
    <w:basedOn w:val="80"/>
    <w:qFormat/>
    <w:uiPriority w:val="0"/>
  </w:style>
  <w:style w:type="character" w:styleId="84">
    <w:name w:val="FollowedHyperlink"/>
    <w:qFormat/>
    <w:uiPriority w:val="0"/>
    <w:rPr>
      <w:color w:val="800080"/>
      <w:u w:val="single"/>
    </w:rPr>
  </w:style>
  <w:style w:type="character" w:styleId="85">
    <w:name w:val="Emphasis"/>
    <w:basedOn w:val="80"/>
    <w:qFormat/>
    <w:uiPriority w:val="0"/>
  </w:style>
  <w:style w:type="character" w:styleId="86">
    <w:name w:val="line number"/>
    <w:basedOn w:val="80"/>
    <w:qFormat/>
    <w:uiPriority w:val="0"/>
  </w:style>
  <w:style w:type="character" w:styleId="87">
    <w:name w:val="HTML Definition"/>
    <w:basedOn w:val="80"/>
    <w:unhideWhenUsed/>
    <w:qFormat/>
    <w:uiPriority w:val="0"/>
    <w:rPr>
      <w:i/>
      <w:iCs/>
    </w:rPr>
  </w:style>
  <w:style w:type="character" w:styleId="88">
    <w:name w:val="HTML Typewriter"/>
    <w:qFormat/>
    <w:uiPriority w:val="0"/>
    <w:rPr>
      <w:rFonts w:ascii="Courier New" w:hAnsi="Courier New" w:cs="Courier New"/>
      <w:sz w:val="20"/>
      <w:szCs w:val="20"/>
    </w:rPr>
  </w:style>
  <w:style w:type="character" w:styleId="89">
    <w:name w:val="HTML Acronym"/>
    <w:basedOn w:val="80"/>
    <w:qFormat/>
    <w:uiPriority w:val="0"/>
  </w:style>
  <w:style w:type="character" w:styleId="90">
    <w:name w:val="HTML Variable"/>
    <w:qFormat/>
    <w:uiPriority w:val="0"/>
    <w:rPr>
      <w:rFonts w:ascii="Tahoma" w:hAnsi="Tahoma"/>
      <w:sz w:val="24"/>
    </w:rPr>
  </w:style>
  <w:style w:type="character" w:styleId="91">
    <w:name w:val="Hyperlink"/>
    <w:qFormat/>
    <w:uiPriority w:val="99"/>
    <w:rPr>
      <w:color w:val="0000FF"/>
      <w:u w:val="single"/>
    </w:rPr>
  </w:style>
  <w:style w:type="character" w:styleId="92">
    <w:name w:val="HTML Code"/>
    <w:basedOn w:val="80"/>
    <w:unhideWhenUsed/>
    <w:qFormat/>
    <w:uiPriority w:val="0"/>
    <w:rPr>
      <w:rFonts w:ascii="Consolas" w:hAnsi="Consolas" w:eastAsia="Consolas" w:cs="Consolas"/>
      <w:color w:val="C7254E"/>
      <w:sz w:val="21"/>
      <w:szCs w:val="21"/>
      <w:shd w:val="clear" w:color="auto" w:fill="F9F2F4"/>
    </w:rPr>
  </w:style>
  <w:style w:type="character" w:styleId="93">
    <w:name w:val="annotation reference"/>
    <w:qFormat/>
    <w:uiPriority w:val="99"/>
    <w:rPr>
      <w:sz w:val="21"/>
      <w:szCs w:val="21"/>
    </w:rPr>
  </w:style>
  <w:style w:type="character" w:styleId="94">
    <w:name w:val="HTML Cite"/>
    <w:qFormat/>
    <w:uiPriority w:val="0"/>
    <w:rPr>
      <w:rFonts w:ascii="Tahoma" w:hAnsi="Tahoma"/>
      <w:sz w:val="24"/>
    </w:rPr>
  </w:style>
  <w:style w:type="character" w:styleId="95">
    <w:name w:val="footnote reference"/>
    <w:qFormat/>
    <w:uiPriority w:val="0"/>
    <w:rPr>
      <w:vertAlign w:val="superscript"/>
    </w:rPr>
  </w:style>
  <w:style w:type="character" w:styleId="96">
    <w:name w:val="HTML Keyboard"/>
    <w:basedOn w:val="80"/>
    <w:unhideWhenUsed/>
    <w:qFormat/>
    <w:uiPriority w:val="0"/>
    <w:rPr>
      <w:rFonts w:hint="default" w:ascii="Consolas" w:hAnsi="Consolas" w:eastAsia="Consolas" w:cs="Consolas"/>
      <w:color w:val="FFFFFF"/>
      <w:sz w:val="21"/>
      <w:szCs w:val="21"/>
      <w:shd w:val="clear" w:color="auto" w:fill="333333"/>
    </w:rPr>
  </w:style>
  <w:style w:type="character" w:styleId="97">
    <w:name w:val="HTML Sample"/>
    <w:basedOn w:val="80"/>
    <w:unhideWhenUsed/>
    <w:qFormat/>
    <w:uiPriority w:val="0"/>
    <w:rPr>
      <w:rFonts w:hint="default" w:ascii="Consolas" w:hAnsi="Consolas" w:eastAsia="Consolas" w:cs="Consolas"/>
      <w:sz w:val="21"/>
      <w:szCs w:val="21"/>
    </w:rPr>
  </w:style>
  <w:style w:type="character" w:customStyle="1" w:styleId="98">
    <w:name w:val="标题 3 字符"/>
    <w:qFormat/>
    <w:uiPriority w:val="0"/>
    <w:rPr>
      <w:rFonts w:eastAsia="仿宋_GB2312"/>
      <w:b/>
      <w:bCs/>
      <w:kern w:val="2"/>
      <w:sz w:val="32"/>
      <w:szCs w:val="32"/>
    </w:rPr>
  </w:style>
  <w:style w:type="character" w:customStyle="1" w:styleId="99">
    <w:name w:val="标题 2 字符"/>
    <w:qFormat/>
    <w:uiPriority w:val="0"/>
    <w:rPr>
      <w:rFonts w:ascii="Arial" w:hAnsi="Arial"/>
      <w:b/>
      <w:bCs/>
      <w:kern w:val="2"/>
      <w:sz w:val="32"/>
      <w:szCs w:val="32"/>
    </w:rPr>
  </w:style>
  <w:style w:type="paragraph" w:customStyle="1" w:styleId="100">
    <w:name w:val="正文缩进1"/>
    <w:basedOn w:val="1"/>
    <w:qFormat/>
    <w:uiPriority w:val="99"/>
    <w:pPr>
      <w:ind w:firstLine="200" w:firstLineChars="200"/>
    </w:pPr>
    <w:rPr>
      <w:rFonts w:asciiTheme="minorHAnsi" w:hAnsiTheme="minorHAnsi" w:eastAsiaTheme="minorEastAsia" w:cstheme="minorBidi"/>
      <w:szCs w:val="22"/>
    </w:rPr>
  </w:style>
  <w:style w:type="paragraph" w:customStyle="1" w:styleId="101">
    <w:name w:val="bt1bt1"/>
    <w:basedOn w:val="2"/>
    <w:qFormat/>
    <w:uiPriority w:val="0"/>
    <w:pPr>
      <w:spacing w:line="240" w:lineRule="auto"/>
      <w:jc w:val="center"/>
    </w:pPr>
    <w:rPr>
      <w:rFonts w:ascii="黑体" w:eastAsia="黑体"/>
      <w:b w:val="0"/>
      <w:sz w:val="36"/>
      <w:szCs w:val="36"/>
    </w:rPr>
  </w:style>
  <w:style w:type="paragraph" w:styleId="102">
    <w:name w:val="List Paragraph"/>
    <w:basedOn w:val="1"/>
    <w:link w:val="161"/>
    <w:unhideWhenUsed/>
    <w:qFormat/>
    <w:uiPriority w:val="34"/>
    <w:pPr>
      <w:ind w:firstLine="420" w:firstLineChars="200"/>
    </w:pPr>
  </w:style>
  <w:style w:type="character" w:customStyle="1" w:styleId="103">
    <w:name w:val="标题 1 Char"/>
    <w:basedOn w:val="80"/>
    <w:link w:val="2"/>
    <w:qFormat/>
    <w:uiPriority w:val="0"/>
    <w:rPr>
      <w:rFonts w:ascii="Times New Roman" w:hAnsi="Times New Roman" w:eastAsia="宋体" w:cs="Times New Roman"/>
      <w:b/>
      <w:bCs/>
      <w:kern w:val="44"/>
      <w:sz w:val="44"/>
      <w:szCs w:val="44"/>
    </w:rPr>
  </w:style>
  <w:style w:type="character" w:customStyle="1" w:styleId="104">
    <w:name w:val="批注框文本 Char"/>
    <w:basedOn w:val="80"/>
    <w:link w:val="49"/>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0"/>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6">
    <w:name w:val="标题 2 Char"/>
    <w:basedOn w:val="80"/>
    <w:link w:val="3"/>
    <w:qFormat/>
    <w:uiPriority w:val="99"/>
    <w:rPr>
      <w:rFonts w:ascii="Arial" w:hAnsi="Arial" w:eastAsia="黑体" w:cs="Times New Roman"/>
      <w:b/>
      <w:bCs/>
      <w:sz w:val="32"/>
      <w:szCs w:val="32"/>
    </w:rPr>
  </w:style>
  <w:style w:type="character" w:customStyle="1" w:styleId="107">
    <w:name w:val="标题 3 Char"/>
    <w:basedOn w:val="80"/>
    <w:link w:val="4"/>
    <w:qFormat/>
    <w:uiPriority w:val="99"/>
    <w:rPr>
      <w:rFonts w:ascii="黑体" w:hAnsi="Times New Roman" w:eastAsia="黑体" w:cs="Times New Roman"/>
      <w:kern w:val="0"/>
      <w:sz w:val="28"/>
      <w:szCs w:val="20"/>
    </w:rPr>
  </w:style>
  <w:style w:type="character" w:customStyle="1" w:styleId="108">
    <w:name w:val="标题 4 Char"/>
    <w:basedOn w:val="80"/>
    <w:link w:val="6"/>
    <w:qFormat/>
    <w:uiPriority w:val="0"/>
    <w:rPr>
      <w:rFonts w:ascii="Times New Roman" w:hAnsi="Times New Roman" w:eastAsia="宋体" w:cs="Times New Roman"/>
      <w:sz w:val="28"/>
      <w:szCs w:val="20"/>
    </w:rPr>
  </w:style>
  <w:style w:type="character" w:customStyle="1" w:styleId="109">
    <w:name w:val="标题 5 Char"/>
    <w:basedOn w:val="80"/>
    <w:link w:val="7"/>
    <w:qFormat/>
    <w:uiPriority w:val="0"/>
    <w:rPr>
      <w:rFonts w:ascii="Times New Roman" w:hAnsi="Times New Roman" w:eastAsia="宋体" w:cs="Times New Roman"/>
      <w:b/>
      <w:bCs/>
      <w:sz w:val="28"/>
      <w:szCs w:val="28"/>
    </w:rPr>
  </w:style>
  <w:style w:type="character" w:customStyle="1" w:styleId="110">
    <w:name w:val="标题 6 Char"/>
    <w:basedOn w:val="80"/>
    <w:link w:val="8"/>
    <w:qFormat/>
    <w:uiPriority w:val="0"/>
    <w:rPr>
      <w:rFonts w:ascii="Arial" w:hAnsi="Arial" w:eastAsia="黑体" w:cs="Times New Roman"/>
      <w:b/>
      <w:bCs/>
      <w:sz w:val="24"/>
      <w:szCs w:val="24"/>
    </w:rPr>
  </w:style>
  <w:style w:type="character" w:customStyle="1" w:styleId="111">
    <w:name w:val="标题 7 Char"/>
    <w:basedOn w:val="80"/>
    <w:link w:val="9"/>
    <w:qFormat/>
    <w:uiPriority w:val="0"/>
    <w:rPr>
      <w:rFonts w:ascii="Times New Roman" w:hAnsi="Times New Roman" w:eastAsia="宋体" w:cs="Times New Roman"/>
      <w:b/>
      <w:bCs/>
      <w:sz w:val="24"/>
      <w:szCs w:val="24"/>
    </w:rPr>
  </w:style>
  <w:style w:type="character" w:customStyle="1" w:styleId="112">
    <w:name w:val="标题 8 Char"/>
    <w:basedOn w:val="80"/>
    <w:link w:val="10"/>
    <w:qFormat/>
    <w:uiPriority w:val="0"/>
    <w:rPr>
      <w:rFonts w:ascii="Arial" w:hAnsi="Arial" w:eastAsia="黑体" w:cs="Times New Roman"/>
      <w:sz w:val="24"/>
      <w:szCs w:val="24"/>
    </w:rPr>
  </w:style>
  <w:style w:type="character" w:customStyle="1" w:styleId="113">
    <w:name w:val="标题 9 Char"/>
    <w:basedOn w:val="80"/>
    <w:link w:val="11"/>
    <w:qFormat/>
    <w:uiPriority w:val="0"/>
    <w:rPr>
      <w:rFonts w:ascii="Arial" w:hAnsi="Arial" w:eastAsia="黑体" w:cs="Times New Roman"/>
      <w:szCs w:val="21"/>
    </w:rPr>
  </w:style>
  <w:style w:type="character" w:customStyle="1" w:styleId="114">
    <w:name w:val="页眉 Char"/>
    <w:basedOn w:val="80"/>
    <w:link w:val="51"/>
    <w:qFormat/>
    <w:uiPriority w:val="99"/>
    <w:rPr>
      <w:rFonts w:ascii="Times New Roman" w:hAnsi="Times New Roman" w:eastAsia="宋体" w:cs="Times New Roman"/>
      <w:sz w:val="18"/>
      <w:szCs w:val="18"/>
    </w:rPr>
  </w:style>
  <w:style w:type="character" w:customStyle="1" w:styleId="115">
    <w:name w:val="页脚 Char"/>
    <w:basedOn w:val="80"/>
    <w:link w:val="50"/>
    <w:qFormat/>
    <w:uiPriority w:val="99"/>
    <w:rPr>
      <w:rFonts w:ascii="Times New Roman" w:hAnsi="Times New Roman" w:eastAsia="宋体" w:cs="Times New Roman"/>
      <w:sz w:val="18"/>
      <w:szCs w:val="18"/>
    </w:rPr>
  </w:style>
  <w:style w:type="character" w:customStyle="1" w:styleId="116">
    <w:name w:val="批注文字 Char"/>
    <w:basedOn w:val="80"/>
    <w:link w:val="24"/>
    <w:qFormat/>
    <w:uiPriority w:val="99"/>
    <w:rPr>
      <w:rFonts w:ascii="Times New Roman" w:hAnsi="Times New Roman" w:eastAsia="宋体" w:cs="Times New Roman"/>
      <w:szCs w:val="24"/>
    </w:rPr>
  </w:style>
  <w:style w:type="character" w:customStyle="1" w:styleId="117">
    <w:name w:val="批注主题 Char"/>
    <w:basedOn w:val="116"/>
    <w:link w:val="75"/>
    <w:qFormat/>
    <w:uiPriority w:val="99"/>
    <w:rPr>
      <w:rFonts w:ascii="Times New Roman" w:hAnsi="Times New Roman" w:eastAsia="宋体" w:cs="Times New Roman"/>
      <w:b/>
      <w:bCs/>
      <w:szCs w:val="20"/>
    </w:rPr>
  </w:style>
  <w:style w:type="character" w:customStyle="1" w:styleId="118">
    <w:name w:val="文档结构图 Char"/>
    <w:basedOn w:val="80"/>
    <w:link w:val="23"/>
    <w:qFormat/>
    <w:uiPriority w:val="0"/>
    <w:rPr>
      <w:rFonts w:ascii="宋体" w:hAnsi="Times New Roman" w:eastAsia="宋体" w:cs="Times New Roman"/>
      <w:sz w:val="18"/>
      <w:szCs w:val="18"/>
    </w:rPr>
  </w:style>
  <w:style w:type="character" w:customStyle="1" w:styleId="119">
    <w:name w:val="正文文本 Char"/>
    <w:basedOn w:val="80"/>
    <w:link w:val="29"/>
    <w:qFormat/>
    <w:uiPriority w:val="0"/>
    <w:rPr>
      <w:rFonts w:ascii="Times New Roman" w:hAnsi="Times New Roman" w:eastAsia="宋体" w:cs="Times New Roman"/>
      <w:sz w:val="28"/>
      <w:szCs w:val="20"/>
    </w:rPr>
  </w:style>
  <w:style w:type="character" w:customStyle="1" w:styleId="120">
    <w:name w:val="正文文本缩进 Char"/>
    <w:basedOn w:val="80"/>
    <w:link w:val="30"/>
    <w:qFormat/>
    <w:uiPriority w:val="0"/>
    <w:rPr>
      <w:rFonts w:ascii="楷体_GB2312" w:hAnsi="Times New Roman" w:eastAsia="楷体_GB2312" w:cs="Times New Roman"/>
      <w:kern w:val="0"/>
      <w:sz w:val="28"/>
      <w:szCs w:val="20"/>
    </w:rPr>
  </w:style>
  <w:style w:type="character" w:customStyle="1" w:styleId="121">
    <w:name w:val="纯文本 Char"/>
    <w:basedOn w:val="80"/>
    <w:link w:val="40"/>
    <w:qFormat/>
    <w:uiPriority w:val="0"/>
    <w:rPr>
      <w:rFonts w:ascii="宋体" w:hAnsi="Courier New" w:eastAsia="宋体" w:cs="Times New Roman"/>
      <w:szCs w:val="20"/>
    </w:rPr>
  </w:style>
  <w:style w:type="character" w:customStyle="1" w:styleId="122">
    <w:name w:val="日期 Char"/>
    <w:basedOn w:val="80"/>
    <w:link w:val="45"/>
    <w:qFormat/>
    <w:uiPriority w:val="99"/>
    <w:rPr>
      <w:rFonts w:ascii="Times New Roman" w:hAnsi="Times New Roman" w:eastAsia="宋体" w:cs="Times New Roman"/>
      <w:szCs w:val="20"/>
    </w:rPr>
  </w:style>
  <w:style w:type="character" w:customStyle="1" w:styleId="123">
    <w:name w:val="正文文本缩进 2 Char"/>
    <w:basedOn w:val="80"/>
    <w:link w:val="46"/>
    <w:qFormat/>
    <w:uiPriority w:val="0"/>
    <w:rPr>
      <w:rFonts w:ascii="仿宋_GB2312" w:hAnsi="宋体" w:eastAsia="仿宋_GB2312" w:cs="Times New Roman"/>
      <w:sz w:val="24"/>
      <w:szCs w:val="24"/>
    </w:rPr>
  </w:style>
  <w:style w:type="character" w:customStyle="1" w:styleId="124">
    <w:name w:val="副标题 Char"/>
    <w:basedOn w:val="80"/>
    <w:link w:val="56"/>
    <w:qFormat/>
    <w:uiPriority w:val="0"/>
    <w:rPr>
      <w:rFonts w:ascii="Cambria" w:hAnsi="Cambria" w:eastAsia="宋体" w:cs="黑体"/>
      <w:b/>
      <w:bCs/>
      <w:kern w:val="28"/>
      <w:sz w:val="32"/>
      <w:szCs w:val="32"/>
    </w:rPr>
  </w:style>
  <w:style w:type="character" w:customStyle="1" w:styleId="125">
    <w:name w:val="正文文本缩进 3 Char"/>
    <w:basedOn w:val="80"/>
    <w:link w:val="62"/>
    <w:qFormat/>
    <w:uiPriority w:val="0"/>
    <w:rPr>
      <w:rFonts w:ascii="Times New Roman" w:hAnsi="Times New Roman" w:eastAsia="宋体" w:cs="Times New Roman"/>
      <w:sz w:val="24"/>
      <w:szCs w:val="20"/>
    </w:rPr>
  </w:style>
  <w:style w:type="character" w:customStyle="1" w:styleId="126">
    <w:name w:val="标题 Char"/>
    <w:basedOn w:val="80"/>
    <w:link w:val="74"/>
    <w:qFormat/>
    <w:uiPriority w:val="99"/>
    <w:rPr>
      <w:rFonts w:ascii="Cambria" w:hAnsi="Cambria" w:eastAsia="宋体" w:cs="Times New Roman"/>
      <w:b/>
      <w:bCs/>
      <w:sz w:val="32"/>
      <w:szCs w:val="32"/>
    </w:rPr>
  </w:style>
  <w:style w:type="paragraph" w:customStyle="1" w:styleId="127">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8">
    <w:name w:val="_Style 36"/>
    <w:basedOn w:val="1"/>
    <w:qFormat/>
    <w:uiPriority w:val="34"/>
    <w:pPr>
      <w:ind w:firstLine="420" w:firstLineChars="200"/>
    </w:pPr>
    <w:rPr>
      <w:szCs w:val="20"/>
    </w:rPr>
  </w:style>
  <w:style w:type="paragraph" w:customStyle="1" w:styleId="129">
    <w:name w:val="Char Char Char Char Char Char Char Char Char Char Char Char Char"/>
    <w:basedOn w:val="23"/>
    <w:qFormat/>
    <w:uiPriority w:val="0"/>
    <w:pPr>
      <w:shd w:val="clear" w:color="auto" w:fill="000080"/>
    </w:pPr>
    <w:rPr>
      <w:rFonts w:ascii="Tahoma" w:hAnsi="Tahoma"/>
      <w:sz w:val="24"/>
      <w:szCs w:val="24"/>
    </w:rPr>
  </w:style>
  <w:style w:type="paragraph" w:customStyle="1" w:styleId="130">
    <w:name w:val="Default"/>
    <w:link w:val="516"/>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32">
    <w:name w:val="新定义正文"/>
    <w:basedOn w:val="1"/>
    <w:qFormat/>
    <w:uiPriority w:val="0"/>
    <w:pPr>
      <w:widowControl/>
    </w:pPr>
    <w:rPr>
      <w:color w:val="000000"/>
      <w:szCs w:val="21"/>
    </w:rPr>
  </w:style>
  <w:style w:type="paragraph" w:customStyle="1" w:styleId="133">
    <w:name w:val="节"/>
    <w:basedOn w:val="3"/>
    <w:qFormat/>
    <w:uiPriority w:val="0"/>
    <w:pPr>
      <w:numPr>
        <w:ilvl w:val="1"/>
        <w:numId w:val="6"/>
      </w:numPr>
      <w:tabs>
        <w:tab w:val="left" w:pos="432"/>
      </w:tabs>
      <w:spacing w:line="240" w:lineRule="auto"/>
    </w:pPr>
    <w:rPr>
      <w:rFonts w:ascii="黑体"/>
      <w:b w:val="0"/>
      <w:sz w:val="28"/>
      <w:szCs w:val="28"/>
    </w:rPr>
  </w:style>
  <w:style w:type="paragraph" w:customStyle="1" w:styleId="134">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5">
    <w:name w:val="列出段落1"/>
    <w:basedOn w:val="1"/>
    <w:qFormat/>
    <w:uiPriority w:val="0"/>
    <w:pPr>
      <w:ind w:firstLine="420" w:firstLineChars="200"/>
    </w:pPr>
    <w:rPr>
      <w:szCs w:val="20"/>
    </w:rPr>
  </w:style>
  <w:style w:type="paragraph" w:customStyle="1" w:styleId="13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37">
    <w:name w:val="Char Char1"/>
    <w:qFormat/>
    <w:uiPriority w:val="0"/>
    <w:rPr>
      <w:rFonts w:ascii="楷体_GB2312" w:eastAsia="楷体_GB2312"/>
      <w:sz w:val="28"/>
    </w:rPr>
  </w:style>
  <w:style w:type="character" w:customStyle="1" w:styleId="138">
    <w:name w:val="Char Char"/>
    <w:qFormat/>
    <w:uiPriority w:val="0"/>
    <w:rPr>
      <w:rFonts w:ascii="宋体"/>
      <w:kern w:val="2"/>
      <w:sz w:val="18"/>
      <w:szCs w:val="18"/>
    </w:rPr>
  </w:style>
  <w:style w:type="paragraph" w:customStyle="1" w:styleId="139">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0">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141">
    <w:name w:val="批注文字 Char1"/>
    <w:qFormat/>
    <w:uiPriority w:val="99"/>
    <w:rPr>
      <w:kern w:val="2"/>
      <w:sz w:val="21"/>
    </w:rPr>
  </w:style>
  <w:style w:type="character" w:customStyle="1" w:styleId="142">
    <w:name w:val="正文文本 3 Char"/>
    <w:basedOn w:val="80"/>
    <w:link w:val="26"/>
    <w:qFormat/>
    <w:uiPriority w:val="99"/>
    <w:rPr>
      <w:rFonts w:ascii="Times New Roman" w:hAnsi="Times New Roman" w:eastAsia="宋体" w:cs="Times New Roman"/>
      <w:sz w:val="16"/>
      <w:szCs w:val="16"/>
    </w:rPr>
  </w:style>
  <w:style w:type="paragraph" w:customStyle="1" w:styleId="14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44">
    <w:name w:val="正文00"/>
    <w:basedOn w:val="1"/>
    <w:qFormat/>
    <w:uiPriority w:val="0"/>
    <w:pPr>
      <w:topLinePunct/>
      <w:spacing w:line="360" w:lineRule="auto"/>
      <w:ind w:firstLine="200" w:firstLineChars="200"/>
    </w:pPr>
    <w:rPr>
      <w:sz w:val="24"/>
      <w:szCs w:val="21"/>
    </w:rPr>
  </w:style>
  <w:style w:type="paragraph" w:customStyle="1" w:styleId="145">
    <w:name w:val="修订2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正文1"/>
    <w:link w:val="4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7">
    <w:name w:val="脚注文本 Char"/>
    <w:basedOn w:val="80"/>
    <w:link w:val="59"/>
    <w:qFormat/>
    <w:uiPriority w:val="0"/>
    <w:rPr>
      <w:rFonts w:ascii="Times New Roman" w:hAnsi="Times New Roman" w:eastAsia="宋体" w:cs="Times New Roman"/>
      <w:kern w:val="0"/>
      <w:sz w:val="18"/>
      <w:szCs w:val="20"/>
    </w:rPr>
  </w:style>
  <w:style w:type="paragraph" w:styleId="148">
    <w:name w:val="No Spacing"/>
    <w:qFormat/>
    <w:uiPriority w:val="0"/>
    <w:pPr>
      <w:widowControl w:val="0"/>
      <w:spacing w:line="288" w:lineRule="auto"/>
      <w:contextualSpacing/>
      <w:jc w:val="both"/>
    </w:pPr>
    <w:rPr>
      <w:rFonts w:ascii="Calibri" w:hAnsi="Calibri" w:eastAsia="宋体" w:cs="Times New Roman"/>
      <w:kern w:val="2"/>
      <w:sz w:val="21"/>
      <w:szCs w:val="22"/>
      <w:lang w:val="en-US" w:eastAsia="zh-CN" w:bidi="ar-SA"/>
    </w:rPr>
  </w:style>
  <w:style w:type="paragraph" w:customStyle="1" w:styleId="149">
    <w:name w:val="表格"/>
    <w:basedOn w:val="1"/>
    <w:qFormat/>
    <w:uiPriority w:val="0"/>
    <w:pPr>
      <w:jc w:val="center"/>
    </w:pPr>
    <w:rPr>
      <w:rFonts w:ascii="华文细黑" w:hAnsi="华文细黑"/>
      <w:kern w:val="0"/>
      <w:szCs w:val="20"/>
    </w:rPr>
  </w:style>
  <w:style w:type="paragraph" w:customStyle="1" w:styleId="150">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51">
    <w:name w:val="1"/>
    <w:basedOn w:val="1"/>
    <w:next w:val="1"/>
    <w:qFormat/>
    <w:uiPriority w:val="0"/>
  </w:style>
  <w:style w:type="paragraph" w:customStyle="1" w:styleId="152">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153">
    <w:name w:val="表格文字"/>
    <w:basedOn w:val="1"/>
    <w:qFormat/>
    <w:uiPriority w:val="0"/>
    <w:pPr>
      <w:adjustRightInd w:val="0"/>
      <w:spacing w:line="420" w:lineRule="atLeast"/>
      <w:jc w:val="left"/>
    </w:pPr>
    <w:rPr>
      <w:kern w:val="0"/>
      <w:szCs w:val="20"/>
    </w:rPr>
  </w:style>
  <w:style w:type="character" w:customStyle="1" w:styleId="154">
    <w:name w:val="正文文本 3 Char1"/>
    <w:basedOn w:val="80"/>
    <w:semiHidden/>
    <w:qFormat/>
    <w:uiPriority w:val="99"/>
    <w:rPr>
      <w:kern w:val="2"/>
      <w:sz w:val="16"/>
      <w:szCs w:val="16"/>
    </w:rPr>
  </w:style>
  <w:style w:type="character" w:customStyle="1" w:styleId="155">
    <w:name w:val="批注主题 Char1"/>
    <w:basedOn w:val="116"/>
    <w:qFormat/>
    <w:uiPriority w:val="99"/>
    <w:rPr>
      <w:rFonts w:ascii="Times New Roman" w:hAnsi="Times New Roman" w:eastAsia="宋体" w:cs="Times New Roman"/>
      <w:b/>
      <w:bCs/>
      <w:kern w:val="2"/>
      <w:sz w:val="21"/>
      <w:szCs w:val="24"/>
    </w:rPr>
  </w:style>
  <w:style w:type="character" w:customStyle="1" w:styleId="156">
    <w:name w:val="font161"/>
    <w:qFormat/>
    <w:uiPriority w:val="0"/>
    <w:rPr>
      <w:b/>
      <w:bCs/>
      <w:sz w:val="32"/>
      <w:szCs w:val="32"/>
    </w:rPr>
  </w:style>
  <w:style w:type="character" w:customStyle="1" w:styleId="157">
    <w:name w:val="10"/>
    <w:basedOn w:val="80"/>
    <w:qFormat/>
    <w:uiPriority w:val="0"/>
    <w:rPr>
      <w:rFonts w:hint="default" w:ascii="Wingdings" w:hAnsi="Wingdings" w:cs="Wingdings"/>
    </w:rPr>
  </w:style>
  <w:style w:type="character" w:customStyle="1" w:styleId="158">
    <w:name w:val="15"/>
    <w:basedOn w:val="80"/>
    <w:qFormat/>
    <w:uiPriority w:val="0"/>
    <w:rPr>
      <w:rFonts w:hint="default" w:ascii="Wingdings" w:hAnsi="Wingdings" w:cs="Wingdings"/>
      <w:color w:val="0000FF"/>
      <w:u w:val="single"/>
    </w:rPr>
  </w:style>
  <w:style w:type="character" w:customStyle="1" w:styleId="159">
    <w:name w:val="16"/>
    <w:basedOn w:val="80"/>
    <w:qFormat/>
    <w:uiPriority w:val="0"/>
    <w:rPr>
      <w:rFonts w:hint="default" w:ascii="Wingdings" w:hAnsi="Wingdings" w:cs="Wingdings"/>
    </w:rPr>
  </w:style>
  <w:style w:type="paragraph" w:customStyle="1" w:styleId="160">
    <w:name w:val="文档正文"/>
    <w:basedOn w:val="1"/>
    <w:link w:val="403"/>
    <w:qFormat/>
    <w:uiPriority w:val="0"/>
    <w:pPr>
      <w:adjustRightInd w:val="0"/>
      <w:spacing w:line="480" w:lineRule="atLeast"/>
      <w:ind w:firstLine="567"/>
      <w:textAlignment w:val="baseline"/>
    </w:pPr>
    <w:rPr>
      <w:rFonts w:ascii="长城仿宋"/>
      <w:kern w:val="0"/>
      <w:sz w:val="24"/>
    </w:rPr>
  </w:style>
  <w:style w:type="character" w:customStyle="1" w:styleId="161">
    <w:name w:val="列出段落 Char"/>
    <w:link w:val="102"/>
    <w:qFormat/>
    <w:uiPriority w:val="1"/>
    <w:rPr>
      <w:kern w:val="2"/>
      <w:sz w:val="21"/>
      <w:szCs w:val="24"/>
    </w:rPr>
  </w:style>
  <w:style w:type="character" w:customStyle="1" w:styleId="162">
    <w:name w:val="注释标题 Char"/>
    <w:basedOn w:val="80"/>
    <w:link w:val="16"/>
    <w:qFormat/>
    <w:uiPriority w:val="0"/>
    <w:rPr>
      <w:rFonts w:asciiTheme="minorHAnsi" w:hAnsiTheme="minorHAnsi" w:eastAsiaTheme="minorEastAsia" w:cstheme="minorBidi"/>
      <w:kern w:val="2"/>
      <w:sz w:val="28"/>
      <w:szCs w:val="24"/>
    </w:rPr>
  </w:style>
  <w:style w:type="character" w:customStyle="1" w:styleId="163">
    <w:name w:val="电子邮件签名 Char"/>
    <w:basedOn w:val="80"/>
    <w:link w:val="18"/>
    <w:qFormat/>
    <w:uiPriority w:val="0"/>
    <w:rPr>
      <w:rFonts w:asciiTheme="minorHAnsi" w:hAnsiTheme="minorHAnsi" w:eastAsiaTheme="minorEastAsia" w:cstheme="minorBidi"/>
      <w:kern w:val="2"/>
      <w:sz w:val="28"/>
      <w:szCs w:val="24"/>
    </w:rPr>
  </w:style>
  <w:style w:type="character" w:customStyle="1" w:styleId="164">
    <w:name w:val="称呼 Char"/>
    <w:basedOn w:val="80"/>
    <w:link w:val="25"/>
    <w:qFormat/>
    <w:uiPriority w:val="0"/>
    <w:rPr>
      <w:rFonts w:asciiTheme="minorHAnsi" w:hAnsiTheme="minorHAnsi" w:eastAsiaTheme="minorEastAsia" w:cstheme="minorBidi"/>
      <w:kern w:val="2"/>
      <w:sz w:val="28"/>
      <w:szCs w:val="24"/>
    </w:rPr>
  </w:style>
  <w:style w:type="character" w:customStyle="1" w:styleId="165">
    <w:name w:val="结束语 Char"/>
    <w:basedOn w:val="80"/>
    <w:link w:val="27"/>
    <w:qFormat/>
    <w:uiPriority w:val="0"/>
    <w:rPr>
      <w:rFonts w:asciiTheme="minorHAnsi" w:hAnsiTheme="minorHAnsi" w:eastAsiaTheme="minorEastAsia" w:cstheme="minorBidi"/>
      <w:kern w:val="2"/>
      <w:sz w:val="28"/>
      <w:szCs w:val="24"/>
    </w:rPr>
  </w:style>
  <w:style w:type="character" w:customStyle="1" w:styleId="166">
    <w:name w:val="HTML 地址 Char"/>
    <w:basedOn w:val="80"/>
    <w:link w:val="37"/>
    <w:qFormat/>
    <w:uiPriority w:val="0"/>
    <w:rPr>
      <w:rFonts w:asciiTheme="minorHAnsi" w:hAnsiTheme="minorHAnsi" w:eastAsiaTheme="minorEastAsia" w:cstheme="minorBidi"/>
      <w:i/>
      <w:iCs/>
      <w:kern w:val="2"/>
      <w:sz w:val="28"/>
      <w:szCs w:val="24"/>
    </w:rPr>
  </w:style>
  <w:style w:type="character" w:customStyle="1" w:styleId="167">
    <w:name w:val="尾注文本 Char"/>
    <w:basedOn w:val="80"/>
    <w:link w:val="47"/>
    <w:qFormat/>
    <w:uiPriority w:val="99"/>
    <w:rPr>
      <w:rFonts w:asciiTheme="minorHAnsi" w:hAnsiTheme="minorHAnsi" w:eastAsiaTheme="minorEastAsia" w:cstheme="minorBidi"/>
      <w:kern w:val="2"/>
      <w:sz w:val="21"/>
      <w:szCs w:val="22"/>
    </w:rPr>
  </w:style>
  <w:style w:type="character" w:customStyle="1" w:styleId="168">
    <w:name w:val="签名 Char"/>
    <w:basedOn w:val="80"/>
    <w:link w:val="52"/>
    <w:qFormat/>
    <w:uiPriority w:val="0"/>
    <w:rPr>
      <w:rFonts w:asciiTheme="minorHAnsi" w:hAnsiTheme="minorHAnsi" w:eastAsiaTheme="minorEastAsia" w:cstheme="minorBidi"/>
      <w:kern w:val="2"/>
      <w:sz w:val="28"/>
      <w:szCs w:val="24"/>
    </w:rPr>
  </w:style>
  <w:style w:type="character" w:customStyle="1" w:styleId="169">
    <w:name w:val="正文文本 2 Char"/>
    <w:basedOn w:val="80"/>
    <w:link w:val="66"/>
    <w:qFormat/>
    <w:uiPriority w:val="0"/>
    <w:rPr>
      <w:kern w:val="2"/>
      <w:sz w:val="21"/>
      <w:szCs w:val="24"/>
    </w:rPr>
  </w:style>
  <w:style w:type="character" w:customStyle="1" w:styleId="170">
    <w:name w:val="信息标题 Char"/>
    <w:basedOn w:val="80"/>
    <w:link w:val="69"/>
    <w:qFormat/>
    <w:uiPriority w:val="0"/>
    <w:rPr>
      <w:rFonts w:ascii="Arial" w:hAnsi="Arial" w:cs="Arial" w:eastAsiaTheme="minorEastAsia"/>
      <w:kern w:val="2"/>
      <w:sz w:val="28"/>
      <w:szCs w:val="24"/>
      <w:shd w:val="pct20" w:color="auto" w:fill="auto"/>
    </w:rPr>
  </w:style>
  <w:style w:type="character" w:customStyle="1" w:styleId="171">
    <w:name w:val="HTML 预设格式 Char"/>
    <w:basedOn w:val="80"/>
    <w:link w:val="70"/>
    <w:qFormat/>
    <w:uiPriority w:val="0"/>
    <w:rPr>
      <w:rFonts w:ascii="Courier New" w:hAnsi="Courier New" w:cs="Courier New" w:eastAsiaTheme="minorEastAsia"/>
      <w:kern w:val="2"/>
      <w:sz w:val="21"/>
      <w:szCs w:val="22"/>
    </w:rPr>
  </w:style>
  <w:style w:type="character" w:customStyle="1" w:styleId="172">
    <w:name w:val="正文首行缩进 Char"/>
    <w:basedOn w:val="119"/>
    <w:link w:val="76"/>
    <w:qFormat/>
    <w:uiPriority w:val="99"/>
    <w:rPr>
      <w:rFonts w:ascii="Times New Roman" w:hAnsi="Times New Roman" w:eastAsia="宋体" w:cs="Times New Roman"/>
      <w:kern w:val="2"/>
      <w:sz w:val="28"/>
      <w:szCs w:val="20"/>
    </w:rPr>
  </w:style>
  <w:style w:type="character" w:customStyle="1" w:styleId="173">
    <w:name w:val="正文首行缩进 2 Char"/>
    <w:basedOn w:val="120"/>
    <w:link w:val="77"/>
    <w:qFormat/>
    <w:uiPriority w:val="0"/>
    <w:rPr>
      <w:rFonts w:ascii="楷体_GB2312" w:hAnsi="Times New Roman" w:eastAsia="楷体_GB2312" w:cs="Times New Roman"/>
      <w:kern w:val="0"/>
      <w:sz w:val="28"/>
      <w:szCs w:val="20"/>
    </w:rPr>
  </w:style>
  <w:style w:type="character" w:customStyle="1" w:styleId="174">
    <w:name w:val="Unresolved Mention"/>
    <w:basedOn w:val="80"/>
    <w:semiHidden/>
    <w:unhideWhenUsed/>
    <w:qFormat/>
    <w:uiPriority w:val="99"/>
    <w:rPr>
      <w:color w:val="605E5C"/>
      <w:shd w:val="clear" w:color="auto" w:fill="E1DFDD"/>
    </w:rPr>
  </w:style>
  <w:style w:type="character" w:customStyle="1" w:styleId="175">
    <w:name w:val="font11"/>
    <w:basedOn w:val="80"/>
    <w:qFormat/>
    <w:uiPriority w:val="0"/>
    <w:rPr>
      <w:rFonts w:hint="eastAsia" w:ascii="宋体" w:hAnsi="宋体" w:eastAsia="宋体" w:cs="宋体"/>
      <w:color w:val="000000"/>
      <w:sz w:val="20"/>
      <w:szCs w:val="20"/>
      <w:u w:val="none"/>
    </w:rPr>
  </w:style>
  <w:style w:type="paragraph" w:customStyle="1" w:styleId="176">
    <w:name w:val="彩色列表 - 强调文字颜色 11"/>
    <w:basedOn w:val="1"/>
    <w:qFormat/>
    <w:uiPriority w:val="99"/>
    <w:pPr>
      <w:ind w:firstLine="420" w:firstLineChars="200"/>
    </w:pPr>
    <w:rPr>
      <w:rFonts w:ascii="Calibri" w:hAnsi="Calibri"/>
      <w:szCs w:val="22"/>
    </w:rPr>
  </w:style>
  <w:style w:type="character" w:customStyle="1" w:styleId="177">
    <w:name w:val="font01"/>
    <w:basedOn w:val="80"/>
    <w:qFormat/>
    <w:uiPriority w:val="0"/>
    <w:rPr>
      <w:rFonts w:hint="eastAsia" w:ascii="宋体" w:hAnsi="宋体" w:eastAsia="宋体" w:cs="宋体"/>
      <w:color w:val="000000"/>
      <w:sz w:val="20"/>
      <w:szCs w:val="20"/>
      <w:u w:val="none"/>
    </w:rPr>
  </w:style>
  <w:style w:type="paragraph" w:customStyle="1" w:styleId="178">
    <w:name w:val="正文文本缩进 31"/>
    <w:basedOn w:val="1"/>
    <w:qFormat/>
    <w:uiPriority w:val="99"/>
    <w:pPr>
      <w:ind w:firstLine="480"/>
    </w:pPr>
    <w:rPr>
      <w:rFonts w:eastAsia="仿宋_GB2312"/>
      <w:szCs w:val="20"/>
    </w:rPr>
  </w:style>
  <w:style w:type="character" w:customStyle="1" w:styleId="179">
    <w:name w:val="font31"/>
    <w:basedOn w:val="80"/>
    <w:qFormat/>
    <w:uiPriority w:val="0"/>
    <w:rPr>
      <w:rFonts w:hint="eastAsia" w:ascii="宋体" w:hAnsi="宋体" w:eastAsia="宋体" w:cs="宋体"/>
      <w:b/>
      <w:color w:val="FF0000"/>
      <w:sz w:val="20"/>
      <w:szCs w:val="20"/>
      <w:u w:val="none"/>
    </w:rPr>
  </w:style>
  <w:style w:type="character" w:customStyle="1" w:styleId="180">
    <w:name w:val="font41"/>
    <w:basedOn w:val="80"/>
    <w:qFormat/>
    <w:uiPriority w:val="0"/>
    <w:rPr>
      <w:rFonts w:hint="eastAsia" w:ascii="宋体" w:hAnsi="宋体" w:eastAsia="宋体" w:cs="宋体"/>
      <w:b/>
      <w:color w:val="FF0000"/>
      <w:sz w:val="20"/>
      <w:szCs w:val="20"/>
      <w:u w:val="none"/>
    </w:rPr>
  </w:style>
  <w:style w:type="character" w:customStyle="1" w:styleId="181">
    <w:name w:val="font21"/>
    <w:basedOn w:val="80"/>
    <w:qFormat/>
    <w:uiPriority w:val="0"/>
    <w:rPr>
      <w:rFonts w:hint="eastAsia" w:ascii="宋体" w:hAnsi="宋体" w:eastAsia="宋体" w:cs="宋体"/>
      <w:color w:val="000000"/>
      <w:sz w:val="20"/>
      <w:szCs w:val="20"/>
      <w:u w:val="none"/>
    </w:rPr>
  </w:style>
  <w:style w:type="paragraph" w:customStyle="1" w:styleId="182">
    <w:name w:val="正文文本缩进1"/>
    <w:basedOn w:val="1"/>
    <w:qFormat/>
    <w:uiPriority w:val="0"/>
    <w:pPr>
      <w:spacing w:line="360" w:lineRule="auto"/>
      <w:ind w:firstLine="560" w:firstLineChars="200"/>
    </w:pPr>
    <w:rPr>
      <w:rFonts w:ascii="宋体" w:hAnsi="宋体"/>
      <w:sz w:val="28"/>
      <w:szCs w:val="28"/>
    </w:rPr>
  </w:style>
  <w:style w:type="character" w:customStyle="1" w:styleId="183">
    <w:name w:val="font51"/>
    <w:basedOn w:val="80"/>
    <w:qFormat/>
    <w:uiPriority w:val="0"/>
    <w:rPr>
      <w:rFonts w:hint="eastAsia" w:ascii="宋体" w:hAnsi="宋体" w:eastAsia="宋体" w:cs="宋体"/>
      <w:color w:val="000000"/>
      <w:sz w:val="20"/>
      <w:szCs w:val="20"/>
      <w:u w:val="none"/>
    </w:rPr>
  </w:style>
  <w:style w:type="paragraph" w:customStyle="1" w:styleId="184">
    <w:name w:val="样式5"/>
    <w:basedOn w:val="185"/>
    <w:qFormat/>
    <w:uiPriority w:val="0"/>
  </w:style>
  <w:style w:type="paragraph" w:customStyle="1" w:styleId="185">
    <w:name w:val="文件标题1"/>
    <w:basedOn w:val="1"/>
    <w:qFormat/>
    <w:uiPriority w:val="0"/>
    <w:pPr>
      <w:numPr>
        <w:ilvl w:val="0"/>
        <w:numId w:val="7"/>
      </w:numPr>
      <w:jc w:val="left"/>
      <w:outlineLvl w:val="0"/>
    </w:pPr>
    <w:rPr>
      <w:b/>
    </w:rPr>
  </w:style>
  <w:style w:type="paragraph" w:customStyle="1" w:styleId="186">
    <w:name w:val="文件标题1.1"/>
    <w:basedOn w:val="1"/>
    <w:qFormat/>
    <w:uiPriority w:val="0"/>
    <w:pPr>
      <w:numPr>
        <w:ilvl w:val="1"/>
        <w:numId w:val="7"/>
      </w:numPr>
      <w:jc w:val="left"/>
      <w:outlineLvl w:val="1"/>
    </w:pPr>
    <w:rPr>
      <w:b/>
    </w:rPr>
  </w:style>
  <w:style w:type="paragraph" w:customStyle="1" w:styleId="187">
    <w:name w:val="样式7"/>
    <w:basedOn w:val="188"/>
    <w:qFormat/>
    <w:uiPriority w:val="0"/>
  </w:style>
  <w:style w:type="paragraph" w:customStyle="1" w:styleId="188">
    <w:name w:val="文件标题1.1.1"/>
    <w:basedOn w:val="186"/>
    <w:qFormat/>
    <w:uiPriority w:val="0"/>
    <w:pPr>
      <w:numPr>
        <w:ilvl w:val="0"/>
        <w:numId w:val="0"/>
      </w:numPr>
      <w:outlineLvl w:val="2"/>
    </w:pPr>
    <w:rPr>
      <w:b w:val="0"/>
    </w:rPr>
  </w:style>
  <w:style w:type="paragraph" w:customStyle="1" w:styleId="189">
    <w:name w:val="列表段落1"/>
    <w:basedOn w:val="1"/>
    <w:link w:val="688"/>
    <w:qFormat/>
    <w:uiPriority w:val="34"/>
    <w:pPr>
      <w:ind w:firstLine="420" w:firstLineChars="200"/>
    </w:pPr>
    <w:rPr>
      <w:rFonts w:asciiTheme="minorHAnsi" w:hAnsiTheme="minorHAnsi" w:cstheme="minorBidi"/>
      <w:szCs w:val="22"/>
    </w:rPr>
  </w:style>
  <w:style w:type="paragraph" w:customStyle="1" w:styleId="190">
    <w:name w:val="样式1"/>
    <w:basedOn w:val="1"/>
    <w:qFormat/>
    <w:uiPriority w:val="0"/>
    <w:pPr>
      <w:widowControl/>
      <w:overflowPunct w:val="0"/>
      <w:autoSpaceDE w:val="0"/>
      <w:autoSpaceDN w:val="0"/>
      <w:adjustRightInd w:val="0"/>
      <w:spacing w:after="80"/>
      <w:ind w:firstLine="570"/>
      <w:textAlignment w:val="baseline"/>
    </w:pPr>
    <w:rPr>
      <w:kern w:val="0"/>
      <w:sz w:val="28"/>
      <w:szCs w:val="20"/>
    </w:rPr>
  </w:style>
  <w:style w:type="paragraph" w:customStyle="1" w:styleId="191">
    <w:name w:val="表内文字"/>
    <w:qFormat/>
    <w:uiPriority w:val="0"/>
    <w:pPr>
      <w:spacing w:before="60" w:after="60"/>
    </w:pPr>
    <w:rPr>
      <w:rFonts w:ascii="Times New Roman" w:hAnsi="Times New Roman" w:eastAsia="宋体" w:cs="Times New Roman"/>
      <w:kern w:val="2"/>
      <w:sz w:val="21"/>
      <w:szCs w:val="21"/>
      <w:lang w:val="en-US" w:eastAsia="zh-CN" w:bidi="ar-SA"/>
    </w:rPr>
  </w:style>
  <w:style w:type="paragraph" w:customStyle="1" w:styleId="192">
    <w:name w:val="石墨文档正文"/>
    <w:qFormat/>
    <w:uiPriority w:val="0"/>
    <w:pPr>
      <w:spacing w:line="398" w:lineRule="auto"/>
      <w:ind w:firstLine="200" w:firstLineChars="200"/>
      <w:jc w:val="both"/>
    </w:pPr>
    <w:rPr>
      <w:rFonts w:ascii="Times New Roman" w:hAnsi="Times New Roman" w:cs="微软雅黑" w:eastAsiaTheme="minorEastAsia"/>
      <w:sz w:val="21"/>
      <w:szCs w:val="24"/>
      <w:lang w:val="en-US" w:eastAsia="zh-CN" w:bidi="ar-SA"/>
    </w:rPr>
  </w:style>
  <w:style w:type="character" w:customStyle="1" w:styleId="193">
    <w:name w:val="fontstyle01"/>
    <w:qFormat/>
    <w:uiPriority w:val="0"/>
    <w:rPr>
      <w:rFonts w:hint="eastAsia" w:ascii="仿宋" w:hAnsi="仿宋" w:eastAsia="仿宋"/>
      <w:color w:val="000000"/>
      <w:sz w:val="24"/>
      <w:szCs w:val="24"/>
    </w:rPr>
  </w:style>
  <w:style w:type="paragraph" w:customStyle="1" w:styleId="194">
    <w:name w:val="表头文字"/>
    <w:basedOn w:val="1"/>
    <w:qFormat/>
    <w:uiPriority w:val="0"/>
    <w:pPr>
      <w:keepNext/>
      <w:widowControl/>
      <w:spacing w:before="40" w:after="40"/>
      <w:jc w:val="center"/>
    </w:pPr>
    <w:rPr>
      <w:rFonts w:ascii="Arial" w:hAnsi="Arial" w:cs="Arial"/>
      <w:b/>
      <w:sz w:val="18"/>
      <w:szCs w:val="20"/>
    </w:rPr>
  </w:style>
  <w:style w:type="paragraph" w:customStyle="1" w:styleId="195">
    <w:name w:val="表格内文字"/>
    <w:basedOn w:val="1"/>
    <w:qFormat/>
    <w:uiPriority w:val="0"/>
    <w:pPr>
      <w:keepNext/>
      <w:keepLines/>
      <w:widowControl/>
      <w:spacing w:before="40" w:after="40"/>
    </w:pPr>
    <w:rPr>
      <w:rFonts w:ascii="Arial" w:hAnsi="Arial" w:cs="Arial"/>
      <w:sz w:val="18"/>
      <w:szCs w:val="18"/>
    </w:rPr>
  </w:style>
  <w:style w:type="paragraph" w:customStyle="1" w:styleId="196">
    <w:name w:val="样式17"/>
    <w:basedOn w:val="20"/>
    <w:qFormat/>
    <w:uiPriority w:val="0"/>
    <w:pPr>
      <w:widowControl/>
      <w:numPr>
        <w:ilvl w:val="0"/>
        <w:numId w:val="8"/>
      </w:numPr>
      <w:tabs>
        <w:tab w:val="left" w:pos="360"/>
        <w:tab w:val="left" w:pos="2000"/>
      </w:tabs>
      <w:spacing w:before="120" w:after="360"/>
      <w:ind w:left="1259" w:firstLine="0"/>
      <w:jc w:val="center"/>
    </w:pPr>
    <w:rPr>
      <w:rFonts w:ascii="Arial" w:hAnsi="Arial" w:eastAsia="宋体" w:cs="Arial"/>
      <w:bCs/>
      <w:sz w:val="18"/>
      <w:lang w:eastAsia="en-US"/>
    </w:rPr>
  </w:style>
  <w:style w:type="paragraph" w:customStyle="1" w:styleId="197">
    <w:name w:val="赵继军正文"/>
    <w:basedOn w:val="1"/>
    <w:qFormat/>
    <w:uiPriority w:val="0"/>
    <w:pPr>
      <w:spacing w:line="560" w:lineRule="exact"/>
      <w:ind w:firstLine="200" w:firstLineChars="200"/>
      <w:jc w:val="left"/>
    </w:pPr>
    <w:rPr>
      <w:rFonts w:ascii="仿宋_GB2312" w:eastAsia="仿宋_GB2312" w:hAnsiTheme="minorHAnsi" w:cstheme="minorBidi"/>
      <w:sz w:val="32"/>
    </w:rPr>
  </w:style>
  <w:style w:type="paragraph" w:customStyle="1" w:styleId="198">
    <w:name w:val="封面表格文本"/>
    <w:basedOn w:val="1"/>
    <w:qFormat/>
    <w:uiPriority w:val="0"/>
    <w:pPr>
      <w:autoSpaceDE w:val="0"/>
      <w:autoSpaceDN w:val="0"/>
      <w:adjustRightInd w:val="0"/>
      <w:jc w:val="center"/>
    </w:pPr>
    <w:rPr>
      <w:b/>
      <w:bCs/>
      <w:kern w:val="0"/>
      <w:sz w:val="24"/>
    </w:rPr>
  </w:style>
  <w:style w:type="paragraph" w:customStyle="1" w:styleId="199">
    <w:name w:val="封面文档标题"/>
    <w:basedOn w:val="1"/>
    <w:qFormat/>
    <w:uiPriority w:val="0"/>
    <w:pPr>
      <w:autoSpaceDE w:val="0"/>
      <w:autoSpaceDN w:val="0"/>
      <w:adjustRightInd w:val="0"/>
      <w:spacing w:line="360" w:lineRule="auto"/>
      <w:jc w:val="center"/>
    </w:pPr>
    <w:rPr>
      <w:rFonts w:ascii="Arial" w:hAnsi="Arial" w:cs="Arial"/>
      <w:b/>
      <w:bCs/>
      <w:kern w:val="0"/>
      <w:sz w:val="56"/>
      <w:szCs w:val="56"/>
    </w:rPr>
  </w:style>
  <w:style w:type="paragraph" w:customStyle="1" w:styleId="200">
    <w:name w:val="表头样式"/>
    <w:basedOn w:val="1"/>
    <w:qFormat/>
    <w:uiPriority w:val="0"/>
    <w:pPr>
      <w:autoSpaceDE w:val="0"/>
      <w:autoSpaceDN w:val="0"/>
      <w:adjustRightInd w:val="0"/>
      <w:jc w:val="center"/>
    </w:pPr>
    <w:rPr>
      <w:b/>
      <w:bCs/>
      <w:kern w:val="0"/>
      <w:szCs w:val="21"/>
    </w:rPr>
  </w:style>
  <w:style w:type="paragraph" w:customStyle="1" w:styleId="201">
    <w:name w:val="表格文本"/>
    <w:basedOn w:val="1"/>
    <w:qFormat/>
    <w:uiPriority w:val="0"/>
    <w:pPr>
      <w:tabs>
        <w:tab w:val="decimal" w:pos="0"/>
      </w:tabs>
      <w:autoSpaceDE w:val="0"/>
      <w:autoSpaceDN w:val="0"/>
      <w:adjustRightInd w:val="0"/>
      <w:jc w:val="left"/>
    </w:pPr>
    <w:rPr>
      <w:kern w:val="0"/>
      <w:szCs w:val="21"/>
    </w:rPr>
  </w:style>
  <w:style w:type="paragraph" w:customStyle="1" w:styleId="202">
    <w:name w:val="目录"/>
    <w:basedOn w:val="1"/>
    <w:qFormat/>
    <w:uiPriority w:val="99"/>
    <w:pPr>
      <w:pageBreakBefore/>
      <w:autoSpaceDE w:val="0"/>
      <w:autoSpaceDN w:val="0"/>
      <w:adjustRightInd w:val="0"/>
      <w:spacing w:before="300" w:after="150" w:line="360" w:lineRule="auto"/>
      <w:jc w:val="center"/>
    </w:pPr>
    <w:rPr>
      <w:rFonts w:ascii="黑体" w:eastAsia="黑体"/>
      <w:kern w:val="0"/>
      <w:sz w:val="30"/>
      <w:szCs w:val="30"/>
    </w:rPr>
  </w:style>
  <w:style w:type="character" w:customStyle="1" w:styleId="203">
    <w:name w:val="color-green"/>
    <w:basedOn w:val="80"/>
    <w:qFormat/>
    <w:uiPriority w:val="0"/>
    <w:rPr>
      <w:color w:val="02B202"/>
      <w:sz w:val="19"/>
      <w:szCs w:val="19"/>
      <w:bdr w:val="single" w:color="02B202" w:sz="6" w:space="0"/>
      <w:shd w:val="clear" w:color="auto" w:fill="FFFFFF"/>
    </w:rPr>
  </w:style>
  <w:style w:type="character" w:customStyle="1" w:styleId="204">
    <w:name w:val="tit"/>
    <w:basedOn w:val="80"/>
    <w:qFormat/>
    <w:uiPriority w:val="0"/>
    <w:rPr>
      <w:color w:val="FFFFFF"/>
    </w:rPr>
  </w:style>
  <w:style w:type="character" w:customStyle="1" w:styleId="205">
    <w:name w:val="color-blue"/>
    <w:basedOn w:val="80"/>
    <w:qFormat/>
    <w:uiPriority w:val="0"/>
    <w:rPr>
      <w:color w:val="2272DE"/>
      <w:sz w:val="19"/>
      <w:szCs w:val="19"/>
      <w:bdr w:val="single" w:color="2272DE" w:sz="6" w:space="0"/>
      <w:shd w:val="clear" w:color="auto" w:fill="FFFFFF"/>
    </w:rPr>
  </w:style>
  <w:style w:type="character" w:customStyle="1" w:styleId="206">
    <w:name w:val="color-red"/>
    <w:basedOn w:val="80"/>
    <w:qFormat/>
    <w:uiPriority w:val="0"/>
    <w:rPr>
      <w:color w:val="FF6E40"/>
      <w:sz w:val="19"/>
      <w:szCs w:val="19"/>
      <w:bdr w:val="single" w:color="FF6E40" w:sz="6" w:space="0"/>
      <w:shd w:val="clear" w:color="auto" w:fill="FFFFFF"/>
    </w:rPr>
  </w:style>
  <w:style w:type="character" w:customStyle="1" w:styleId="207">
    <w:name w:val="btn_xlxz"/>
    <w:basedOn w:val="80"/>
    <w:qFormat/>
    <w:uiPriority w:val="0"/>
  </w:style>
  <w:style w:type="character" w:customStyle="1" w:styleId="208">
    <w:name w:val="first-child"/>
    <w:basedOn w:val="80"/>
    <w:qFormat/>
    <w:uiPriority w:val="0"/>
  </w:style>
  <w:style w:type="paragraph" w:customStyle="1" w:styleId="209">
    <w:name w:val="注"/>
    <w:basedOn w:val="144"/>
    <w:qFormat/>
    <w:uiPriority w:val="0"/>
    <w:pPr>
      <w:spacing w:line="288" w:lineRule="auto"/>
      <w:ind w:firstLine="0" w:firstLineChars="0"/>
    </w:pPr>
    <w:rPr>
      <w:sz w:val="20"/>
    </w:rPr>
  </w:style>
  <w:style w:type="paragraph" w:customStyle="1" w:styleId="210">
    <w:name w:val="ZB5"/>
    <w:basedOn w:val="1"/>
    <w:qFormat/>
    <w:uiPriority w:val="99"/>
    <w:pPr>
      <w:spacing w:line="400" w:lineRule="exact"/>
      <w:ind w:firstLine="200" w:firstLineChars="200"/>
    </w:pPr>
    <w:rPr>
      <w:rFonts w:ascii="Consolas" w:hAnsi="Consolas"/>
      <w:kern w:val="0"/>
      <w:sz w:val="22"/>
      <w:szCs w:val="20"/>
    </w:rPr>
  </w:style>
  <w:style w:type="paragraph" w:customStyle="1" w:styleId="211">
    <w:name w:val="ZB3"/>
    <w:basedOn w:val="1"/>
    <w:qFormat/>
    <w:uiPriority w:val="99"/>
    <w:pPr>
      <w:spacing w:before="120" w:after="120" w:line="400" w:lineRule="exact"/>
      <w:ind w:left="440" w:hanging="440" w:hangingChars="200"/>
      <w:outlineLvl w:val="2"/>
    </w:pPr>
    <w:rPr>
      <w:rFonts w:ascii="Consolas" w:hAnsi="Consolas" w:cs="TimesNewRomanPSMT"/>
      <w:kern w:val="0"/>
      <w:sz w:val="22"/>
      <w:szCs w:val="20"/>
    </w:rPr>
  </w:style>
  <w:style w:type="paragraph" w:customStyle="1" w:styleId="212">
    <w:name w:val="msolistparagraph"/>
    <w:basedOn w:val="1"/>
    <w:qFormat/>
    <w:uiPriority w:val="0"/>
    <w:pPr>
      <w:ind w:firstLine="420" w:firstLineChars="200"/>
    </w:pPr>
  </w:style>
  <w:style w:type="paragraph" w:customStyle="1" w:styleId="213">
    <w:name w:val="正文文本缩进 21"/>
    <w:basedOn w:val="1"/>
    <w:qFormat/>
    <w:uiPriority w:val="99"/>
    <w:pPr>
      <w:spacing w:line="360" w:lineRule="auto"/>
      <w:ind w:firstLine="420" w:firstLineChars="200"/>
    </w:pPr>
  </w:style>
  <w:style w:type="paragraph" w:customStyle="1" w:styleId="214">
    <w:name w:val="Table Paragraph"/>
    <w:basedOn w:val="1"/>
    <w:qFormat/>
    <w:uiPriority w:val="1"/>
    <w:rPr>
      <w:rFonts w:ascii="宋体" w:hAnsi="宋体" w:cs="宋体"/>
      <w:lang w:val="zh-CN" w:bidi="zh-CN"/>
    </w:rPr>
  </w:style>
  <w:style w:type="paragraph" w:customStyle="1" w:styleId="215">
    <w:name w:val="p0"/>
    <w:basedOn w:val="1"/>
    <w:qFormat/>
    <w:uiPriority w:val="0"/>
    <w:pPr>
      <w:widowControl/>
    </w:pPr>
    <w:rPr>
      <w:kern w:val="0"/>
      <w:szCs w:val="21"/>
    </w:rPr>
  </w:style>
  <w:style w:type="table" w:customStyle="1" w:styleId="216">
    <w:name w:val="网格型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7">
    <w:name w:val="标题 1 Char1"/>
    <w:basedOn w:val="80"/>
    <w:qFormat/>
    <w:uiPriority w:val="0"/>
    <w:rPr>
      <w:rFonts w:ascii="Times New Roman" w:hAnsi="Times New Roman" w:eastAsia="宋体" w:cs="Times New Roman"/>
      <w:b/>
      <w:bCs/>
      <w:kern w:val="44"/>
      <w:sz w:val="44"/>
      <w:szCs w:val="44"/>
    </w:rPr>
  </w:style>
  <w:style w:type="character" w:customStyle="1" w:styleId="218">
    <w:name w:val="批注框文本 Char1"/>
    <w:basedOn w:val="80"/>
    <w:semiHidden/>
    <w:qFormat/>
    <w:uiPriority w:val="0"/>
    <w:rPr>
      <w:rFonts w:ascii="Times New Roman" w:hAnsi="Times New Roman" w:eastAsia="宋体" w:cs="Times New Roman"/>
      <w:sz w:val="18"/>
      <w:szCs w:val="18"/>
    </w:rPr>
  </w:style>
  <w:style w:type="character" w:customStyle="1" w:styleId="219">
    <w:name w:val="标题 2 Char1"/>
    <w:basedOn w:val="80"/>
    <w:qFormat/>
    <w:uiPriority w:val="9"/>
    <w:rPr>
      <w:rFonts w:ascii="Arial" w:hAnsi="Arial" w:eastAsia="黑体" w:cs="Times New Roman"/>
      <w:b/>
      <w:bCs/>
      <w:sz w:val="32"/>
      <w:szCs w:val="32"/>
    </w:rPr>
  </w:style>
  <w:style w:type="character" w:customStyle="1" w:styleId="220">
    <w:name w:val="标题 3 Char1"/>
    <w:basedOn w:val="80"/>
    <w:qFormat/>
    <w:uiPriority w:val="0"/>
    <w:rPr>
      <w:rFonts w:ascii="黑体" w:hAnsi="Times New Roman" w:eastAsia="黑体" w:cs="Times New Roman"/>
      <w:kern w:val="0"/>
      <w:sz w:val="28"/>
      <w:szCs w:val="20"/>
    </w:rPr>
  </w:style>
  <w:style w:type="character" w:customStyle="1" w:styleId="221">
    <w:name w:val="标题 4 Char1"/>
    <w:basedOn w:val="80"/>
    <w:qFormat/>
    <w:uiPriority w:val="0"/>
    <w:rPr>
      <w:rFonts w:ascii="Times New Roman" w:hAnsi="Times New Roman" w:eastAsia="宋体" w:cs="Times New Roman"/>
      <w:sz w:val="28"/>
      <w:szCs w:val="20"/>
    </w:rPr>
  </w:style>
  <w:style w:type="character" w:customStyle="1" w:styleId="222">
    <w:name w:val="标题 5 Char1"/>
    <w:basedOn w:val="80"/>
    <w:qFormat/>
    <w:uiPriority w:val="0"/>
    <w:rPr>
      <w:rFonts w:ascii="Times New Roman" w:hAnsi="Times New Roman" w:eastAsia="宋体" w:cs="Times New Roman"/>
      <w:b/>
      <w:bCs/>
      <w:sz w:val="28"/>
      <w:szCs w:val="28"/>
    </w:rPr>
  </w:style>
  <w:style w:type="character" w:customStyle="1" w:styleId="223">
    <w:name w:val="标题 6 Char1"/>
    <w:basedOn w:val="80"/>
    <w:qFormat/>
    <w:uiPriority w:val="0"/>
    <w:rPr>
      <w:rFonts w:ascii="Arial" w:hAnsi="Arial" w:eastAsia="黑体" w:cs="Times New Roman"/>
      <w:b/>
      <w:bCs/>
      <w:sz w:val="24"/>
      <w:szCs w:val="24"/>
    </w:rPr>
  </w:style>
  <w:style w:type="character" w:customStyle="1" w:styleId="224">
    <w:name w:val="标题 7 Char1"/>
    <w:basedOn w:val="80"/>
    <w:qFormat/>
    <w:uiPriority w:val="0"/>
    <w:rPr>
      <w:rFonts w:ascii="Times New Roman" w:hAnsi="Times New Roman" w:eastAsia="宋体" w:cs="Times New Roman"/>
      <w:b/>
      <w:bCs/>
      <w:sz w:val="24"/>
      <w:szCs w:val="24"/>
    </w:rPr>
  </w:style>
  <w:style w:type="character" w:customStyle="1" w:styleId="225">
    <w:name w:val="标题 8 Char1"/>
    <w:basedOn w:val="80"/>
    <w:qFormat/>
    <w:uiPriority w:val="0"/>
    <w:rPr>
      <w:rFonts w:ascii="Arial" w:hAnsi="Arial" w:eastAsia="黑体" w:cs="Times New Roman"/>
      <w:sz w:val="24"/>
      <w:szCs w:val="24"/>
    </w:rPr>
  </w:style>
  <w:style w:type="character" w:customStyle="1" w:styleId="226">
    <w:name w:val="标题 9 Char1"/>
    <w:basedOn w:val="80"/>
    <w:qFormat/>
    <w:uiPriority w:val="0"/>
    <w:rPr>
      <w:rFonts w:ascii="Arial" w:hAnsi="Arial" w:eastAsia="黑体" w:cs="Times New Roman"/>
      <w:szCs w:val="21"/>
    </w:rPr>
  </w:style>
  <w:style w:type="character" w:customStyle="1" w:styleId="227">
    <w:name w:val="页眉 Char1"/>
    <w:basedOn w:val="80"/>
    <w:qFormat/>
    <w:uiPriority w:val="99"/>
    <w:rPr>
      <w:rFonts w:ascii="Times New Roman" w:hAnsi="Times New Roman" w:eastAsia="宋体" w:cs="Times New Roman"/>
      <w:sz w:val="18"/>
      <w:szCs w:val="18"/>
    </w:rPr>
  </w:style>
  <w:style w:type="character" w:customStyle="1" w:styleId="228">
    <w:name w:val="页脚 Char1"/>
    <w:basedOn w:val="80"/>
    <w:qFormat/>
    <w:uiPriority w:val="99"/>
    <w:rPr>
      <w:rFonts w:ascii="Times New Roman" w:hAnsi="Times New Roman" w:eastAsia="宋体" w:cs="Times New Roman"/>
      <w:sz w:val="18"/>
      <w:szCs w:val="18"/>
    </w:rPr>
  </w:style>
  <w:style w:type="character" w:customStyle="1" w:styleId="229">
    <w:name w:val="批注文字 Char2"/>
    <w:basedOn w:val="80"/>
    <w:qFormat/>
    <w:uiPriority w:val="0"/>
    <w:rPr>
      <w:rFonts w:ascii="Times New Roman" w:hAnsi="Times New Roman" w:eastAsia="宋体" w:cs="Times New Roman"/>
      <w:szCs w:val="24"/>
    </w:rPr>
  </w:style>
  <w:style w:type="character" w:customStyle="1" w:styleId="230">
    <w:name w:val="文档结构图 Char1"/>
    <w:basedOn w:val="80"/>
    <w:semiHidden/>
    <w:qFormat/>
    <w:uiPriority w:val="99"/>
    <w:rPr>
      <w:rFonts w:ascii="宋体" w:hAnsi="Times New Roman" w:eastAsia="宋体" w:cs="Times New Roman"/>
      <w:sz w:val="18"/>
      <w:szCs w:val="18"/>
    </w:rPr>
  </w:style>
  <w:style w:type="character" w:customStyle="1" w:styleId="231">
    <w:name w:val="正文文本 Char1"/>
    <w:basedOn w:val="80"/>
    <w:qFormat/>
    <w:uiPriority w:val="99"/>
    <w:rPr>
      <w:rFonts w:ascii="Times New Roman" w:hAnsi="Times New Roman" w:eastAsia="宋体" w:cs="Times New Roman"/>
      <w:sz w:val="28"/>
      <w:szCs w:val="20"/>
    </w:rPr>
  </w:style>
  <w:style w:type="character" w:customStyle="1" w:styleId="232">
    <w:name w:val="正文文本缩进 Char1"/>
    <w:basedOn w:val="80"/>
    <w:qFormat/>
    <w:uiPriority w:val="99"/>
    <w:rPr>
      <w:rFonts w:ascii="楷体_GB2312" w:hAnsi="Times New Roman" w:eastAsia="楷体_GB2312" w:cs="Times New Roman"/>
      <w:kern w:val="0"/>
      <w:sz w:val="28"/>
      <w:szCs w:val="20"/>
    </w:rPr>
  </w:style>
  <w:style w:type="character" w:customStyle="1" w:styleId="233">
    <w:name w:val="纯文本 Char1"/>
    <w:basedOn w:val="80"/>
    <w:qFormat/>
    <w:uiPriority w:val="99"/>
    <w:rPr>
      <w:rFonts w:ascii="宋体" w:hAnsi="Courier New" w:eastAsia="宋体" w:cs="Times New Roman"/>
      <w:szCs w:val="20"/>
    </w:rPr>
  </w:style>
  <w:style w:type="character" w:customStyle="1" w:styleId="234">
    <w:name w:val="日期 Char1"/>
    <w:basedOn w:val="80"/>
    <w:qFormat/>
    <w:uiPriority w:val="99"/>
    <w:rPr>
      <w:rFonts w:ascii="Times New Roman" w:hAnsi="Times New Roman" w:eastAsia="宋体" w:cs="Times New Roman"/>
      <w:szCs w:val="20"/>
    </w:rPr>
  </w:style>
  <w:style w:type="character" w:customStyle="1" w:styleId="235">
    <w:name w:val="正文文本缩进 2 Char1"/>
    <w:basedOn w:val="80"/>
    <w:qFormat/>
    <w:uiPriority w:val="99"/>
    <w:rPr>
      <w:rFonts w:ascii="仿宋_GB2312" w:hAnsi="宋体" w:eastAsia="仿宋_GB2312" w:cs="Times New Roman"/>
      <w:sz w:val="24"/>
      <w:szCs w:val="24"/>
    </w:rPr>
  </w:style>
  <w:style w:type="character" w:customStyle="1" w:styleId="236">
    <w:name w:val="副标题 Char1"/>
    <w:basedOn w:val="80"/>
    <w:qFormat/>
    <w:uiPriority w:val="11"/>
    <w:rPr>
      <w:rFonts w:ascii="Cambria" w:hAnsi="Cambria" w:eastAsia="宋体" w:cs="黑体"/>
      <w:b/>
      <w:bCs/>
      <w:kern w:val="28"/>
      <w:sz w:val="32"/>
      <w:szCs w:val="32"/>
    </w:rPr>
  </w:style>
  <w:style w:type="character" w:customStyle="1" w:styleId="237">
    <w:name w:val="正文文本缩进 3 Char1"/>
    <w:basedOn w:val="80"/>
    <w:qFormat/>
    <w:uiPriority w:val="99"/>
    <w:rPr>
      <w:rFonts w:ascii="Times New Roman" w:hAnsi="Times New Roman" w:eastAsia="宋体" w:cs="Times New Roman"/>
      <w:sz w:val="24"/>
      <w:szCs w:val="20"/>
    </w:rPr>
  </w:style>
  <w:style w:type="character" w:customStyle="1" w:styleId="238">
    <w:name w:val="标题 Char1"/>
    <w:basedOn w:val="80"/>
    <w:qFormat/>
    <w:uiPriority w:val="10"/>
    <w:rPr>
      <w:rFonts w:ascii="Cambria" w:hAnsi="Cambria" w:eastAsia="宋体" w:cs="Times New Roman"/>
      <w:b/>
      <w:bCs/>
      <w:sz w:val="32"/>
      <w:szCs w:val="32"/>
    </w:rPr>
  </w:style>
  <w:style w:type="character" w:customStyle="1" w:styleId="239">
    <w:name w:val="未处理的提及1"/>
    <w:basedOn w:val="80"/>
    <w:semiHidden/>
    <w:unhideWhenUsed/>
    <w:qFormat/>
    <w:uiPriority w:val="99"/>
    <w:rPr>
      <w:color w:val="605E5C"/>
      <w:shd w:val="clear" w:color="auto" w:fill="E1DFDD"/>
    </w:rPr>
  </w:style>
  <w:style w:type="paragraph" w:customStyle="1" w:styleId="240">
    <w:name w:val="标题 55"/>
    <w:basedOn w:val="7"/>
    <w:qFormat/>
    <w:uiPriority w:val="0"/>
    <w:pPr>
      <w:topLinePunct/>
    </w:pPr>
    <w:rPr>
      <w:rFonts w:ascii="方正黑体简体" w:eastAsia="方正黑体简体"/>
      <w:b w:val="0"/>
      <w:bCs w:val="0"/>
    </w:rPr>
  </w:style>
  <w:style w:type="paragraph" w:customStyle="1" w:styleId="241">
    <w:name w:val="标题 10"/>
    <w:basedOn w:val="3"/>
    <w:qFormat/>
    <w:uiPriority w:val="0"/>
    <w:pPr>
      <w:keepNext w:val="0"/>
      <w:keepLines w:val="0"/>
      <w:topLinePunct/>
      <w:spacing w:before="0" w:after="0" w:line="377" w:lineRule="auto"/>
      <w:jc w:val="center"/>
    </w:pPr>
    <w:rPr>
      <w:rFonts w:ascii="Times New Roman" w:hAnsi="Times New Roman" w:eastAsia="宋体"/>
      <w:bCs w:val="0"/>
      <w:kern w:val="0"/>
      <w:sz w:val="24"/>
      <w:szCs w:val="24"/>
    </w:rPr>
  </w:style>
  <w:style w:type="paragraph" w:customStyle="1" w:styleId="242">
    <w:name w:val="ml2"/>
    <w:basedOn w:val="53"/>
    <w:qFormat/>
    <w:uiPriority w:val="0"/>
    <w:pPr>
      <w:topLinePunct/>
      <w:ind w:left="420" w:leftChars="200"/>
    </w:pPr>
    <w:rPr>
      <w:rFonts w:ascii="Times New Roman" w:hAnsi="Times New Roman"/>
      <w:sz w:val="24"/>
    </w:rPr>
  </w:style>
  <w:style w:type="paragraph" w:customStyle="1" w:styleId="243">
    <w:name w:val="正文0"/>
    <w:basedOn w:val="1"/>
    <w:qFormat/>
    <w:uiPriority w:val="0"/>
    <w:pPr>
      <w:topLinePunct/>
      <w:adjustRightInd w:val="0"/>
      <w:snapToGrid w:val="0"/>
      <w:spacing w:line="440" w:lineRule="exact"/>
      <w:ind w:left="420" w:leftChars="200" w:firstLine="428" w:firstLineChars="200"/>
    </w:pPr>
    <w:rPr>
      <w:spacing w:val="2"/>
      <w:sz w:val="24"/>
      <w:szCs w:val="21"/>
      <w:u w:val="single"/>
    </w:rPr>
  </w:style>
  <w:style w:type="paragraph" w:customStyle="1" w:styleId="244">
    <w:name w:val="ml"/>
    <w:basedOn w:val="53"/>
    <w:qFormat/>
    <w:uiPriority w:val="0"/>
    <w:pPr>
      <w:topLinePunct/>
    </w:pPr>
    <w:rPr>
      <w:rFonts w:ascii="Times New Roman" w:hAnsi="Times New Roman" w:eastAsia="黑体"/>
      <w:bCs/>
      <w:kern w:val="0"/>
      <w:sz w:val="24"/>
    </w:rPr>
  </w:style>
  <w:style w:type="paragraph" w:customStyle="1" w:styleId="245">
    <w:name w:val="列表段落2"/>
    <w:basedOn w:val="1"/>
    <w:unhideWhenUsed/>
    <w:qFormat/>
    <w:uiPriority w:val="34"/>
    <w:pPr>
      <w:topLinePunct/>
      <w:ind w:firstLine="420" w:firstLineChars="200"/>
    </w:pPr>
    <w:rPr>
      <w:sz w:val="24"/>
    </w:rPr>
  </w:style>
  <w:style w:type="paragraph" w:customStyle="1" w:styleId="246">
    <w:name w:val="标题 60"/>
    <w:basedOn w:val="8"/>
    <w:qFormat/>
    <w:uiPriority w:val="0"/>
    <w:pPr>
      <w:topLinePunct/>
      <w:spacing w:line="319" w:lineRule="auto"/>
      <w:ind w:firstLine="200" w:firstLineChars="200"/>
    </w:pPr>
    <w:rPr>
      <w:b w:val="0"/>
      <w:bCs w:val="0"/>
    </w:rPr>
  </w:style>
  <w:style w:type="paragraph" w:customStyle="1" w:styleId="247">
    <w:name w:val="ml3"/>
    <w:basedOn w:val="53"/>
    <w:qFormat/>
    <w:uiPriority w:val="0"/>
    <w:pPr>
      <w:topLinePunct/>
      <w:ind w:left="840" w:leftChars="400"/>
    </w:pPr>
    <w:rPr>
      <w:rFonts w:ascii="Times New Roman" w:hAnsi="Times New Roman"/>
      <w:sz w:val="24"/>
    </w:rPr>
  </w:style>
  <w:style w:type="paragraph" w:customStyle="1" w:styleId="248">
    <w:name w:val="myp4"/>
    <w:basedOn w:val="1"/>
    <w:qFormat/>
    <w:uiPriority w:val="0"/>
    <w:pPr>
      <w:topLinePunct/>
      <w:spacing w:before="100" w:beforeAutospacing="1" w:after="100" w:afterAutospacing="1"/>
      <w:jc w:val="center"/>
    </w:pPr>
    <w:rPr>
      <w:b/>
      <w:bCs/>
      <w:sz w:val="40"/>
      <w:szCs w:val="40"/>
    </w:rPr>
  </w:style>
  <w:style w:type="paragraph" w:customStyle="1" w:styleId="249">
    <w:name w:val="二层"/>
    <w:basedOn w:val="3"/>
    <w:qFormat/>
    <w:uiPriority w:val="0"/>
    <w:pPr>
      <w:keepLines w:val="0"/>
      <w:autoSpaceDE w:val="0"/>
      <w:autoSpaceDN w:val="0"/>
      <w:adjustRightInd w:val="0"/>
      <w:spacing w:before="120" w:after="120" w:line="360" w:lineRule="auto"/>
      <w:jc w:val="left"/>
    </w:pPr>
    <w:rPr>
      <w:rFonts w:ascii="黑体" w:hAnsi="Times New Roman"/>
    </w:rPr>
  </w:style>
  <w:style w:type="paragraph" w:customStyle="1" w:styleId="250">
    <w:name w:val="正文格式1"/>
    <w:basedOn w:val="1"/>
    <w:qFormat/>
    <w:uiPriority w:val="0"/>
    <w:pPr>
      <w:widowControl/>
      <w:ind w:firstLine="340"/>
    </w:pPr>
    <w:rPr>
      <w:rFonts w:ascii="宋体" w:hAnsi="宋体"/>
      <w:kern w:val="0"/>
      <w:sz w:val="28"/>
      <w:szCs w:val="28"/>
    </w:rPr>
  </w:style>
  <w:style w:type="paragraph" w:customStyle="1" w:styleId="251">
    <w:name w:val="p15"/>
    <w:basedOn w:val="1"/>
    <w:qFormat/>
    <w:uiPriority w:val="0"/>
    <w:pPr>
      <w:widowControl/>
      <w:spacing w:line="360" w:lineRule="auto"/>
      <w:ind w:firstLine="420"/>
      <w:jc w:val="left"/>
    </w:pPr>
    <w:rPr>
      <w:color w:val="000000"/>
      <w:kern w:val="0"/>
      <w:sz w:val="24"/>
    </w:rPr>
  </w:style>
  <w:style w:type="paragraph" w:customStyle="1" w:styleId="252">
    <w:name w:val="4级标题"/>
    <w:basedOn w:val="6"/>
    <w:qFormat/>
    <w:uiPriority w:val="0"/>
    <w:pPr>
      <w:adjustRightInd w:val="0"/>
      <w:snapToGrid w:val="0"/>
      <w:spacing w:line="360" w:lineRule="auto"/>
      <w:ind w:left="1986" w:firstLine="200" w:firstLineChars="200"/>
    </w:pPr>
    <w:rPr>
      <w:rFonts w:ascii="宋体" w:hAnsi="宋体"/>
    </w:rPr>
  </w:style>
  <w:style w:type="paragraph" w:customStyle="1" w:styleId="253">
    <w:name w:val="编号"/>
    <w:basedOn w:val="1"/>
    <w:next w:val="1"/>
    <w:qFormat/>
    <w:uiPriority w:val="0"/>
    <w:pPr>
      <w:ind w:firstLine="420" w:firstLineChars="200"/>
    </w:pPr>
  </w:style>
  <w:style w:type="table" w:customStyle="1" w:styleId="254">
    <w:name w:val="网格型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5">
    <w:name w:val="font71"/>
    <w:basedOn w:val="80"/>
    <w:qFormat/>
    <w:uiPriority w:val="0"/>
    <w:rPr>
      <w:rFonts w:hint="eastAsia" w:ascii="宋体" w:hAnsi="宋体" w:eastAsia="宋体"/>
      <w:b/>
      <w:bCs/>
      <w:color w:val="FF0000"/>
      <w:sz w:val="20"/>
      <w:szCs w:val="20"/>
      <w:u w:val="none"/>
    </w:rPr>
  </w:style>
  <w:style w:type="character" w:customStyle="1" w:styleId="256">
    <w:name w:val="font81"/>
    <w:basedOn w:val="80"/>
    <w:qFormat/>
    <w:uiPriority w:val="0"/>
    <w:rPr>
      <w:rFonts w:hint="eastAsia" w:ascii="宋体" w:hAnsi="宋体" w:eastAsia="宋体"/>
      <w:color w:val="FF0000"/>
      <w:sz w:val="20"/>
      <w:szCs w:val="20"/>
      <w:u w:val="none"/>
    </w:rPr>
  </w:style>
  <w:style w:type="table" w:customStyle="1" w:styleId="257">
    <w:name w:val="网格型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
    <w:name w:val="网格型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网格型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
    <w:name w:val="网格型3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61">
    <w:name w:val="文档结构图 字符"/>
    <w:qFormat/>
    <w:uiPriority w:val="0"/>
    <w:rPr>
      <w:rFonts w:ascii="宋体"/>
      <w:kern w:val="2"/>
      <w:sz w:val="18"/>
      <w:szCs w:val="18"/>
    </w:rPr>
  </w:style>
  <w:style w:type="character" w:customStyle="1" w:styleId="262">
    <w:name w:val="页脚 字符"/>
    <w:qFormat/>
    <w:uiPriority w:val="0"/>
    <w:rPr>
      <w:kern w:val="2"/>
      <w:sz w:val="18"/>
      <w:szCs w:val="18"/>
    </w:rPr>
  </w:style>
  <w:style w:type="character" w:customStyle="1" w:styleId="263">
    <w:name w:val="正文缩进 Char"/>
    <w:qFormat/>
    <w:locked/>
    <w:uiPriority w:val="0"/>
  </w:style>
  <w:style w:type="character" w:customStyle="1" w:styleId="264">
    <w:name w:val="页眉 字符"/>
    <w:qFormat/>
    <w:uiPriority w:val="99"/>
    <w:rPr>
      <w:sz w:val="18"/>
      <w:szCs w:val="18"/>
    </w:rPr>
  </w:style>
  <w:style w:type="character" w:customStyle="1" w:styleId="265">
    <w:name w:val="页脚 字符1"/>
    <w:qFormat/>
    <w:uiPriority w:val="0"/>
    <w:rPr>
      <w:sz w:val="18"/>
      <w:szCs w:val="18"/>
    </w:rPr>
  </w:style>
  <w:style w:type="character" w:customStyle="1" w:styleId="266">
    <w:name w:val="批注框文本 字符"/>
    <w:qFormat/>
    <w:uiPriority w:val="0"/>
    <w:rPr>
      <w:sz w:val="18"/>
      <w:szCs w:val="18"/>
    </w:rPr>
  </w:style>
  <w:style w:type="character" w:customStyle="1" w:styleId="267">
    <w:name w:val="文档结构图 字符1"/>
    <w:qFormat/>
    <w:uiPriority w:val="0"/>
    <w:rPr>
      <w:rFonts w:ascii="宋体"/>
      <w:kern w:val="2"/>
      <w:sz w:val="18"/>
      <w:szCs w:val="18"/>
    </w:rPr>
  </w:style>
  <w:style w:type="character" w:customStyle="1" w:styleId="268">
    <w:name w:val="标题 字符"/>
    <w:qFormat/>
    <w:uiPriority w:val="0"/>
    <w:rPr>
      <w:rFonts w:ascii="Cambria" w:hAnsi="Cambria" w:cs="Times New Roman"/>
      <w:b/>
      <w:bCs/>
      <w:kern w:val="2"/>
      <w:sz w:val="32"/>
      <w:szCs w:val="32"/>
    </w:rPr>
  </w:style>
  <w:style w:type="character" w:customStyle="1" w:styleId="269">
    <w:name w:val="标题 2 字符1"/>
    <w:qFormat/>
    <w:uiPriority w:val="0"/>
    <w:rPr>
      <w:rFonts w:ascii="Cambria" w:hAnsi="Cambria" w:eastAsia="宋体" w:cs="Times New Roman"/>
      <w:b/>
      <w:bCs/>
      <w:kern w:val="2"/>
      <w:sz w:val="32"/>
      <w:szCs w:val="32"/>
    </w:rPr>
  </w:style>
  <w:style w:type="character" w:customStyle="1" w:styleId="270">
    <w:name w:val="标题 1 字符"/>
    <w:qFormat/>
    <w:uiPriority w:val="0"/>
    <w:rPr>
      <w:b/>
      <w:bCs/>
      <w:kern w:val="44"/>
      <w:sz w:val="44"/>
      <w:szCs w:val="44"/>
    </w:rPr>
  </w:style>
  <w:style w:type="character" w:customStyle="1" w:styleId="271">
    <w:name w:val="正文缩进 字符"/>
    <w:qFormat/>
    <w:uiPriority w:val="0"/>
    <w:rPr>
      <w:kern w:val="2"/>
      <w:sz w:val="21"/>
      <w:szCs w:val="22"/>
    </w:rPr>
  </w:style>
  <w:style w:type="character" w:customStyle="1" w:styleId="272">
    <w:name w:val="明显参考1"/>
    <w:qFormat/>
    <w:uiPriority w:val="0"/>
    <w:rPr>
      <w:b/>
      <w:bCs/>
      <w:smallCaps/>
      <w:color w:val="5B9BD5"/>
      <w:spacing w:val="5"/>
    </w:rPr>
  </w:style>
  <w:style w:type="character" w:customStyle="1" w:styleId="273">
    <w:name w:val="页眉 字符1"/>
    <w:qFormat/>
    <w:uiPriority w:val="0"/>
    <w:rPr>
      <w:kern w:val="2"/>
      <w:sz w:val="18"/>
      <w:szCs w:val="18"/>
    </w:rPr>
  </w:style>
  <w:style w:type="character" w:customStyle="1" w:styleId="274">
    <w:name w:val="页脚 字符2"/>
    <w:qFormat/>
    <w:uiPriority w:val="0"/>
    <w:rPr>
      <w:kern w:val="2"/>
      <w:sz w:val="18"/>
      <w:szCs w:val="18"/>
    </w:rPr>
  </w:style>
  <w:style w:type="character" w:customStyle="1" w:styleId="275">
    <w:name w:val="正文缩进 Char1"/>
    <w:link w:val="5"/>
    <w:qFormat/>
    <w:uiPriority w:val="99"/>
    <w:rPr>
      <w:rFonts w:ascii="楷体_GB2312" w:eastAsia="楷体_GB2312"/>
      <w:sz w:val="28"/>
    </w:rPr>
  </w:style>
  <w:style w:type="character" w:customStyle="1" w:styleId="276">
    <w:name w:val="日期 字符"/>
    <w:qFormat/>
    <w:locked/>
    <w:uiPriority w:val="99"/>
    <w:rPr>
      <w:rFonts w:ascii="Times New Roman" w:hAnsi="Times New Roman"/>
      <w:sz w:val="21"/>
      <w:szCs w:val="21"/>
    </w:rPr>
  </w:style>
  <w:style w:type="character" w:customStyle="1" w:styleId="277">
    <w:name w:val="正文文本缩进 2 字符"/>
    <w:qFormat/>
    <w:locked/>
    <w:uiPriority w:val="0"/>
    <w:rPr>
      <w:rFonts w:ascii="Times New Roman" w:hAnsi="Times New Roman"/>
      <w:sz w:val="21"/>
      <w:szCs w:val="21"/>
    </w:rPr>
  </w:style>
  <w:style w:type="character" w:customStyle="1" w:styleId="278">
    <w:name w:val="纯文本 字符"/>
    <w:qFormat/>
    <w:locked/>
    <w:uiPriority w:val="0"/>
    <w:rPr>
      <w:rFonts w:ascii="宋体" w:hAnsi="Courier New" w:cs="宋体"/>
      <w:sz w:val="21"/>
      <w:szCs w:val="21"/>
    </w:rPr>
  </w:style>
  <w:style w:type="character" w:customStyle="1" w:styleId="279">
    <w:name w:val="标题 字符1"/>
    <w:qFormat/>
    <w:locked/>
    <w:uiPriority w:val="0"/>
    <w:rPr>
      <w:rFonts w:ascii="Cambria" w:hAnsi="Cambria" w:cs="Cambria"/>
      <w:b/>
      <w:bCs/>
      <w:sz w:val="32"/>
      <w:szCs w:val="32"/>
    </w:rPr>
  </w:style>
  <w:style w:type="character" w:customStyle="1" w:styleId="280">
    <w:name w:val="纯文本 Char11"/>
    <w:qFormat/>
    <w:uiPriority w:val="0"/>
    <w:rPr>
      <w:rFonts w:ascii="宋体" w:hAnsi="Courier New" w:cs="Courier New"/>
      <w:kern w:val="2"/>
      <w:sz w:val="21"/>
      <w:szCs w:val="21"/>
    </w:rPr>
  </w:style>
  <w:style w:type="character" w:customStyle="1" w:styleId="281">
    <w:name w:val="批注主题 Char2"/>
    <w:qFormat/>
    <w:locked/>
    <w:uiPriority w:val="0"/>
    <w:rPr>
      <w:rFonts w:ascii="Times New Roman" w:hAnsi="Times New Roman" w:eastAsia="宋体" w:cs="Times New Roman"/>
      <w:b/>
      <w:bCs/>
      <w:sz w:val="24"/>
      <w:szCs w:val="24"/>
    </w:rPr>
  </w:style>
  <w:style w:type="character" w:customStyle="1" w:styleId="282">
    <w:name w:val="正文缩进 字符1"/>
    <w:qFormat/>
    <w:uiPriority w:val="0"/>
    <w:rPr>
      <w:kern w:val="2"/>
      <w:sz w:val="21"/>
      <w:szCs w:val="22"/>
    </w:rPr>
  </w:style>
  <w:style w:type="character" w:customStyle="1" w:styleId="283">
    <w:name w:val="标题 1 字符1"/>
    <w:qFormat/>
    <w:uiPriority w:val="0"/>
    <w:rPr>
      <w:b/>
      <w:bCs/>
      <w:kern w:val="44"/>
      <w:sz w:val="44"/>
      <w:szCs w:val="44"/>
    </w:rPr>
  </w:style>
  <w:style w:type="character" w:customStyle="1" w:styleId="284">
    <w:name w:val="标题 2 字符2"/>
    <w:qFormat/>
    <w:uiPriority w:val="0"/>
    <w:rPr>
      <w:rFonts w:ascii="Arial" w:hAnsi="Arial" w:eastAsia="宋体"/>
      <w:b/>
      <w:kern w:val="2"/>
      <w:sz w:val="28"/>
      <w:lang w:val="en-US" w:eastAsia="zh-CN" w:bidi="ar-SA"/>
    </w:rPr>
  </w:style>
  <w:style w:type="character" w:customStyle="1" w:styleId="285">
    <w:name w:val="正文文本缩进 字符"/>
    <w:qFormat/>
    <w:uiPriority w:val="0"/>
    <w:rPr>
      <w:rFonts w:eastAsia="楷体_GB2312"/>
      <w:kern w:val="2"/>
      <w:sz w:val="30"/>
    </w:rPr>
  </w:style>
  <w:style w:type="paragraph" w:customStyle="1" w:styleId="286">
    <w:name w:val="Char"/>
    <w:basedOn w:val="1"/>
    <w:qFormat/>
    <w:uiPriority w:val="0"/>
    <w:rPr>
      <w:rFonts w:ascii="Tahoma" w:hAnsi="Tahoma"/>
      <w:sz w:val="24"/>
      <w:szCs w:val="20"/>
    </w:rPr>
  </w:style>
  <w:style w:type="character" w:customStyle="1" w:styleId="287">
    <w:name w:val="页眉 字符2"/>
    <w:qFormat/>
    <w:uiPriority w:val="0"/>
    <w:rPr>
      <w:kern w:val="2"/>
      <w:sz w:val="18"/>
      <w:szCs w:val="18"/>
    </w:rPr>
  </w:style>
  <w:style w:type="character" w:customStyle="1" w:styleId="288">
    <w:name w:val="页脚 字符3"/>
    <w:qFormat/>
    <w:uiPriority w:val="0"/>
    <w:rPr>
      <w:kern w:val="2"/>
      <w:sz w:val="18"/>
      <w:szCs w:val="18"/>
    </w:rPr>
  </w:style>
  <w:style w:type="character" w:customStyle="1" w:styleId="289">
    <w:name w:val="正文缩进 字符2"/>
    <w:qFormat/>
    <w:uiPriority w:val="0"/>
    <w:rPr>
      <w:rFonts w:ascii="Calibri" w:hAnsi="Calibri"/>
      <w:kern w:val="2"/>
      <w:sz w:val="21"/>
      <w:szCs w:val="22"/>
    </w:rPr>
  </w:style>
  <w:style w:type="character" w:customStyle="1" w:styleId="290">
    <w:name w:val="文档结构图 字符2"/>
    <w:qFormat/>
    <w:uiPriority w:val="0"/>
    <w:rPr>
      <w:rFonts w:ascii="宋体"/>
      <w:kern w:val="2"/>
      <w:sz w:val="18"/>
      <w:szCs w:val="18"/>
    </w:rPr>
  </w:style>
  <w:style w:type="character" w:customStyle="1" w:styleId="291">
    <w:name w:val="纯文本 字符1"/>
    <w:qFormat/>
    <w:uiPriority w:val="0"/>
    <w:rPr>
      <w:rFonts w:ascii="宋体" w:hAnsi="Courier New" w:eastAsia="宋体" w:cs="Courier New"/>
      <w:kern w:val="2"/>
      <w:sz w:val="21"/>
      <w:szCs w:val="21"/>
    </w:rPr>
  </w:style>
  <w:style w:type="character" w:customStyle="1" w:styleId="292">
    <w:name w:val="明显强调1"/>
    <w:qFormat/>
    <w:uiPriority w:val="0"/>
    <w:rPr>
      <w:i/>
      <w:iCs/>
      <w:color w:val="5B9BD5"/>
    </w:rPr>
  </w:style>
  <w:style w:type="character" w:customStyle="1" w:styleId="293">
    <w:name w:val="日期 字符1"/>
    <w:qFormat/>
    <w:uiPriority w:val="0"/>
    <w:rPr>
      <w:rFonts w:ascii="Calibri" w:hAnsi="Calibri"/>
      <w:kern w:val="2"/>
      <w:sz w:val="21"/>
      <w:szCs w:val="21"/>
    </w:rPr>
  </w:style>
  <w:style w:type="character" w:customStyle="1" w:styleId="294">
    <w:name w:val="批注框文本 字符1"/>
    <w:qFormat/>
    <w:uiPriority w:val="99"/>
    <w:rPr>
      <w:rFonts w:ascii="Calibri" w:hAnsi="Calibri"/>
      <w:kern w:val="2"/>
      <w:sz w:val="18"/>
      <w:szCs w:val="18"/>
    </w:rPr>
  </w:style>
  <w:style w:type="character" w:customStyle="1" w:styleId="295">
    <w:name w:val="weby11"/>
    <w:qFormat/>
    <w:uiPriority w:val="0"/>
    <w:rPr>
      <w:sz w:val="18"/>
      <w:szCs w:val="18"/>
    </w:rPr>
  </w:style>
  <w:style w:type="paragraph" w:customStyle="1" w:styleId="296">
    <w:name w:val="样式 首行缩进:  2 字符"/>
    <w:basedOn w:val="1"/>
    <w:qFormat/>
    <w:uiPriority w:val="0"/>
    <w:pPr>
      <w:widowControl/>
    </w:pPr>
    <w:rPr>
      <w:rFonts w:ascii="宋体" w:hAnsi="宋体" w:cs="宋体"/>
      <w:bCs/>
      <w:kern w:val="0"/>
      <w:sz w:val="24"/>
    </w:rPr>
  </w:style>
  <w:style w:type="character" w:customStyle="1" w:styleId="297">
    <w:name w:val="纯文本 Char12"/>
    <w:qFormat/>
    <w:uiPriority w:val="0"/>
    <w:rPr>
      <w:rFonts w:ascii="宋体" w:hAnsi="Courier New" w:eastAsia="宋体" w:cs="Courier New"/>
      <w:kern w:val="2"/>
      <w:sz w:val="21"/>
      <w:szCs w:val="21"/>
      <w:lang w:val="en-US" w:eastAsia="zh-CN" w:bidi="ar-SA"/>
    </w:rPr>
  </w:style>
  <w:style w:type="paragraph" w:customStyle="1" w:styleId="298">
    <w:name w:val="方案正文"/>
    <w:basedOn w:val="1"/>
    <w:link w:val="299"/>
    <w:qFormat/>
    <w:uiPriority w:val="0"/>
    <w:pPr>
      <w:spacing w:before="156" w:line="360" w:lineRule="auto"/>
      <w:ind w:firstLine="359" w:firstLineChars="171"/>
      <w:jc w:val="left"/>
    </w:pPr>
    <w:rPr>
      <w:rFonts w:ascii="Arial" w:hAnsi="Arial" w:cs="宋体"/>
      <w:sz w:val="24"/>
      <w:szCs w:val="21"/>
    </w:rPr>
  </w:style>
  <w:style w:type="character" w:customStyle="1" w:styleId="299">
    <w:name w:val="方案正文 Char"/>
    <w:basedOn w:val="80"/>
    <w:link w:val="298"/>
    <w:qFormat/>
    <w:uiPriority w:val="0"/>
    <w:rPr>
      <w:rFonts w:ascii="Arial" w:hAnsi="Arial" w:cs="宋体"/>
      <w:kern w:val="2"/>
      <w:sz w:val="24"/>
      <w:szCs w:val="21"/>
    </w:rPr>
  </w:style>
  <w:style w:type="character" w:customStyle="1" w:styleId="300">
    <w:name w:val="unnamed11"/>
    <w:qFormat/>
    <w:uiPriority w:val="0"/>
  </w:style>
  <w:style w:type="character" w:customStyle="1" w:styleId="301">
    <w:name w:val="copyright"/>
    <w:basedOn w:val="80"/>
    <w:qFormat/>
    <w:uiPriority w:val="0"/>
    <w:rPr>
      <w:rFonts w:ascii="Tahoma" w:hAnsi="Tahoma"/>
      <w:sz w:val="24"/>
    </w:rPr>
  </w:style>
  <w:style w:type="character" w:customStyle="1" w:styleId="302">
    <w:name w:val="num2"/>
    <w:qFormat/>
    <w:uiPriority w:val="0"/>
    <w:rPr>
      <w:rFonts w:hint="default" w:ascii="Arial" w:hAnsi="Arial" w:cs="Arial"/>
      <w:color w:val="FF6600"/>
      <w:sz w:val="16"/>
      <w:szCs w:val="16"/>
    </w:rPr>
  </w:style>
  <w:style w:type="character" w:customStyle="1" w:styleId="303">
    <w:name w:val="arrow2"/>
    <w:basedOn w:val="80"/>
    <w:qFormat/>
    <w:uiPriority w:val="0"/>
    <w:rPr>
      <w:rFonts w:ascii="Tahoma" w:hAnsi="Tahoma"/>
      <w:sz w:val="24"/>
    </w:rPr>
  </w:style>
  <w:style w:type="character" w:customStyle="1" w:styleId="304">
    <w:name w:val="Char Char4"/>
    <w:qFormat/>
    <w:uiPriority w:val="0"/>
    <w:rPr>
      <w:rFonts w:ascii="Tahoma" w:hAnsi="Tahoma" w:eastAsia="宋体"/>
      <w:kern w:val="2"/>
      <w:sz w:val="18"/>
      <w:szCs w:val="18"/>
      <w:lang w:val="en-US" w:eastAsia="zh-CN" w:bidi="ar-SA"/>
    </w:rPr>
  </w:style>
  <w:style w:type="character" w:customStyle="1" w:styleId="305">
    <w:name w:val="arrow4"/>
    <w:basedOn w:val="80"/>
    <w:qFormat/>
    <w:uiPriority w:val="0"/>
    <w:rPr>
      <w:rFonts w:ascii="Tahoma" w:hAnsi="Tahoma"/>
      <w:sz w:val="24"/>
    </w:rPr>
  </w:style>
  <w:style w:type="character" w:customStyle="1" w:styleId="306">
    <w:name w:val="para1"/>
    <w:qFormat/>
    <w:uiPriority w:val="0"/>
    <w:rPr>
      <w:rFonts w:hint="default" w:ascii="Arial" w:hAnsi="Arial" w:cs="Arial"/>
      <w:sz w:val="18"/>
      <w:szCs w:val="18"/>
    </w:rPr>
  </w:style>
  <w:style w:type="character" w:customStyle="1" w:styleId="307">
    <w:name w:val="Char Char2"/>
    <w:qFormat/>
    <w:uiPriority w:val="0"/>
    <w:rPr>
      <w:rFonts w:ascii="华文仿宋" w:hAnsi="华文仿宋" w:eastAsia="华文仿宋"/>
      <w:color w:val="000000"/>
      <w:sz w:val="32"/>
      <w:szCs w:val="32"/>
      <w:lang w:val="en-US" w:eastAsia="zh-CN" w:bidi="ar-SA"/>
    </w:rPr>
  </w:style>
  <w:style w:type="character" w:customStyle="1" w:styleId="308">
    <w:name w:val="tmpztreemove_arrow"/>
    <w:basedOn w:val="80"/>
    <w:qFormat/>
    <w:uiPriority w:val="0"/>
    <w:rPr>
      <w:rFonts w:ascii="Tahoma" w:hAnsi="Tahoma"/>
      <w:sz w:val="24"/>
    </w:rPr>
  </w:style>
  <w:style w:type="character" w:customStyle="1" w:styleId="309">
    <w:name w:val="selected"/>
    <w:qFormat/>
    <w:uiPriority w:val="0"/>
    <w:rPr>
      <w:rFonts w:ascii="Tahoma" w:hAnsi="Tahoma"/>
      <w:sz w:val="24"/>
      <w:shd w:val="clear" w:color="auto" w:fill="B00006"/>
    </w:rPr>
  </w:style>
  <w:style w:type="character" w:customStyle="1" w:styleId="310">
    <w:name w:val="arrow3"/>
    <w:basedOn w:val="80"/>
    <w:qFormat/>
    <w:uiPriority w:val="0"/>
    <w:rPr>
      <w:rFonts w:ascii="Tahoma" w:hAnsi="Tahoma"/>
      <w:sz w:val="24"/>
    </w:rPr>
  </w:style>
  <w:style w:type="character" w:customStyle="1" w:styleId="311">
    <w:name w:val="button16"/>
    <w:basedOn w:val="80"/>
    <w:qFormat/>
    <w:uiPriority w:val="0"/>
    <w:rPr>
      <w:rFonts w:ascii="Tahoma" w:hAnsi="Tahoma"/>
      <w:sz w:val="24"/>
    </w:rPr>
  </w:style>
  <w:style w:type="character" w:customStyle="1" w:styleId="312">
    <w:name w:val="Char Char Char Char Char"/>
    <w:link w:val="313"/>
    <w:qFormat/>
    <w:uiPriority w:val="0"/>
    <w:rPr>
      <w:rFonts w:ascii="Verdana" w:hAnsi="Verdana"/>
      <w:sz w:val="24"/>
      <w:lang w:eastAsia="en-US"/>
    </w:rPr>
  </w:style>
  <w:style w:type="paragraph" w:customStyle="1" w:styleId="313">
    <w:name w:val="Char Char Char Char"/>
    <w:basedOn w:val="1"/>
    <w:link w:val="312"/>
    <w:qFormat/>
    <w:uiPriority w:val="0"/>
    <w:pPr>
      <w:widowControl/>
      <w:spacing w:after="160" w:line="240" w:lineRule="exact"/>
      <w:jc w:val="left"/>
    </w:pPr>
    <w:rPr>
      <w:rFonts w:ascii="Verdana" w:hAnsi="Verdana"/>
      <w:kern w:val="0"/>
      <w:sz w:val="24"/>
      <w:szCs w:val="20"/>
      <w:lang w:eastAsia="en-US"/>
    </w:rPr>
  </w:style>
  <w:style w:type="character" w:customStyle="1" w:styleId="314">
    <w:name w:val="custext1"/>
    <w:basedOn w:val="80"/>
    <w:qFormat/>
    <w:uiPriority w:val="0"/>
    <w:rPr>
      <w:rFonts w:ascii="Tahoma" w:hAnsi="Tahoma"/>
      <w:sz w:val="24"/>
    </w:rPr>
  </w:style>
  <w:style w:type="character" w:customStyle="1" w:styleId="315">
    <w:name w:val="unnamed1"/>
    <w:qFormat/>
    <w:uiPriority w:val="0"/>
  </w:style>
  <w:style w:type="character" w:customStyle="1" w:styleId="316">
    <w:name w:val="num3"/>
    <w:qFormat/>
    <w:uiPriority w:val="0"/>
    <w:rPr>
      <w:rFonts w:ascii="Tahoma" w:hAnsi="Tahoma"/>
      <w:color w:val="FFFFFF"/>
      <w:sz w:val="24"/>
      <w:shd w:val="clear" w:color="auto" w:fill="FF6600"/>
    </w:rPr>
  </w:style>
  <w:style w:type="character" w:customStyle="1" w:styleId="317">
    <w:name w:val="Char Char7"/>
    <w:qFormat/>
    <w:uiPriority w:val="0"/>
    <w:rPr>
      <w:rFonts w:ascii="Tahoma" w:hAnsi="Tahoma" w:eastAsia="宋体"/>
      <w:b/>
      <w:bCs/>
      <w:kern w:val="44"/>
      <w:sz w:val="44"/>
      <w:szCs w:val="44"/>
      <w:lang w:val="en-US" w:eastAsia="zh-CN" w:bidi="ar-SA"/>
    </w:rPr>
  </w:style>
  <w:style w:type="character" w:customStyle="1" w:styleId="318">
    <w:name w:val="custext"/>
    <w:basedOn w:val="80"/>
    <w:qFormat/>
    <w:uiPriority w:val="0"/>
    <w:rPr>
      <w:rFonts w:ascii="Tahoma" w:hAnsi="Tahoma"/>
      <w:sz w:val="24"/>
    </w:rPr>
  </w:style>
  <w:style w:type="character" w:customStyle="1" w:styleId="319">
    <w:name w:val="Char Char3"/>
    <w:semiHidden/>
    <w:qFormat/>
    <w:uiPriority w:val="0"/>
    <w:rPr>
      <w:rFonts w:ascii="Tahoma" w:hAnsi="Tahoma" w:eastAsia="宋体"/>
      <w:kern w:val="2"/>
      <w:sz w:val="18"/>
      <w:szCs w:val="18"/>
      <w:lang w:val="en-US" w:eastAsia="zh-CN" w:bidi="ar-SA"/>
    </w:rPr>
  </w:style>
  <w:style w:type="character" w:customStyle="1" w:styleId="320">
    <w:name w:val="标题 1.1 Char"/>
    <w:qFormat/>
    <w:uiPriority w:val="0"/>
    <w:rPr>
      <w:rFonts w:ascii="仿宋_GB2312" w:hAnsi="Arial" w:eastAsia="仿宋_GB2312" w:cs="Arial"/>
      <w:b/>
      <w:bCs/>
      <w:kern w:val="2"/>
      <w:sz w:val="24"/>
      <w:szCs w:val="24"/>
      <w:lang w:val="en-US" w:eastAsia="zh-CN" w:bidi="ar-SA"/>
    </w:rPr>
  </w:style>
  <w:style w:type="character" w:customStyle="1" w:styleId="321">
    <w:name w:val="普通文字 Char2"/>
    <w:qFormat/>
    <w:uiPriority w:val="0"/>
    <w:rPr>
      <w:rFonts w:ascii="宋体" w:hAnsi="Courier New" w:eastAsia="楷体_GB2312"/>
      <w:snapToGrid w:val="0"/>
      <w:color w:val="000000"/>
      <w:sz w:val="32"/>
      <w:szCs w:val="21"/>
      <w:lang w:val="en-US" w:eastAsia="zh-CN" w:bidi="ar-SA"/>
    </w:rPr>
  </w:style>
  <w:style w:type="character" w:customStyle="1" w:styleId="322">
    <w:name w:val="style51"/>
    <w:qFormat/>
    <w:uiPriority w:val="0"/>
    <w:rPr>
      <w:rFonts w:ascii="Tahoma" w:hAnsi="Tahoma"/>
      <w:b/>
      <w:bCs/>
      <w:color w:val="814107"/>
      <w:sz w:val="21"/>
      <w:szCs w:val="21"/>
    </w:rPr>
  </w:style>
  <w:style w:type="character" w:customStyle="1" w:styleId="323">
    <w:name w:val="num"/>
    <w:qFormat/>
    <w:uiPriority w:val="0"/>
    <w:rPr>
      <w:rFonts w:ascii="Arial" w:hAnsi="Arial" w:cs="Arial"/>
      <w:color w:val="FF6600"/>
      <w:sz w:val="16"/>
      <w:szCs w:val="16"/>
    </w:rPr>
  </w:style>
  <w:style w:type="character" w:customStyle="1" w:styleId="324">
    <w:name w:val="style111"/>
    <w:qFormat/>
    <w:uiPriority w:val="0"/>
    <w:rPr>
      <w:rFonts w:ascii="Tahoma" w:hAnsi="Tahoma"/>
      <w:sz w:val="22"/>
      <w:szCs w:val="22"/>
    </w:rPr>
  </w:style>
  <w:style w:type="character" w:customStyle="1" w:styleId="325">
    <w:name w:val="Header Char"/>
    <w:qFormat/>
    <w:locked/>
    <w:uiPriority w:val="0"/>
    <w:rPr>
      <w:rFonts w:ascii="Tahoma" w:hAnsi="Tahoma" w:cs="Times New Roman"/>
      <w:sz w:val="18"/>
      <w:szCs w:val="18"/>
    </w:rPr>
  </w:style>
  <w:style w:type="character" w:customStyle="1" w:styleId="326">
    <w:name w:val="Char Char5"/>
    <w:qFormat/>
    <w:uiPriority w:val="0"/>
    <w:rPr>
      <w:rFonts w:ascii="Tahoma" w:hAnsi="Tahoma" w:eastAsia="宋体"/>
      <w:kern w:val="2"/>
      <w:sz w:val="18"/>
      <w:szCs w:val="18"/>
      <w:lang w:val="en-US" w:eastAsia="zh-CN" w:bidi="ar-SA"/>
    </w:rPr>
  </w:style>
  <w:style w:type="character" w:customStyle="1" w:styleId="327">
    <w:name w:val="普通文字 Char Char Char Char Char Char Char Char Char Char Char Char Char Char Char Char Char Char Char"/>
    <w:qFormat/>
    <w:uiPriority w:val="0"/>
    <w:rPr>
      <w:rFonts w:ascii="宋体" w:hAnsi="Courier New" w:eastAsia="宋体"/>
      <w:kern w:val="2"/>
      <w:sz w:val="21"/>
      <w:szCs w:val="21"/>
      <w:lang w:val="en-US" w:eastAsia="zh-CN" w:bidi="ar-SA"/>
    </w:rPr>
  </w:style>
  <w:style w:type="character" w:customStyle="1" w:styleId="328">
    <w:name w:val="arrow5"/>
    <w:basedOn w:val="80"/>
    <w:qFormat/>
    <w:uiPriority w:val="0"/>
    <w:rPr>
      <w:rFonts w:ascii="Tahoma" w:hAnsi="Tahoma"/>
      <w:sz w:val="24"/>
    </w:rPr>
  </w:style>
  <w:style w:type="character" w:customStyle="1" w:styleId="329">
    <w:name w:val="gpa"/>
    <w:qFormat/>
    <w:uiPriority w:val="0"/>
    <w:rPr>
      <w:rFonts w:ascii="Arial" w:hAnsi="Arial" w:cs="Arial"/>
      <w:sz w:val="15"/>
      <w:szCs w:val="15"/>
    </w:rPr>
  </w:style>
  <w:style w:type="character" w:customStyle="1" w:styleId="330">
    <w:name w:val="标题 1.1 Char1"/>
    <w:qFormat/>
    <w:uiPriority w:val="0"/>
    <w:rPr>
      <w:rFonts w:ascii="Arial" w:hAnsi="Arial" w:eastAsia="黑体"/>
      <w:b/>
      <w:bCs/>
      <w:kern w:val="2"/>
      <w:sz w:val="32"/>
      <w:szCs w:val="32"/>
      <w:lang w:val="en-US" w:eastAsia="zh-CN" w:bidi="ar-SA"/>
    </w:rPr>
  </w:style>
  <w:style w:type="character" w:customStyle="1" w:styleId="331">
    <w:name w:val="style4"/>
    <w:qFormat/>
    <w:uiPriority w:val="0"/>
  </w:style>
  <w:style w:type="character" w:customStyle="1" w:styleId="332">
    <w:name w:val="ar_item"/>
    <w:basedOn w:val="80"/>
    <w:qFormat/>
    <w:uiPriority w:val="0"/>
    <w:rPr>
      <w:rFonts w:ascii="Tahoma" w:hAnsi="Tahoma"/>
      <w:sz w:val="24"/>
    </w:rPr>
  </w:style>
  <w:style w:type="character" w:customStyle="1" w:styleId="333">
    <w:name w:val="num1"/>
    <w:qFormat/>
    <w:uiPriority w:val="0"/>
    <w:rPr>
      <w:rFonts w:ascii="Tahoma" w:hAnsi="Tahoma"/>
      <w:color w:val="FFFFFF"/>
      <w:sz w:val="24"/>
      <w:shd w:val="clear" w:color="auto" w:fill="FF6600"/>
    </w:rPr>
  </w:style>
  <w:style w:type="character" w:customStyle="1" w:styleId="334">
    <w:name w:val="profont1"/>
    <w:qFormat/>
    <w:uiPriority w:val="0"/>
    <w:rPr>
      <w:rFonts w:hint="default" w:ascii="Verdana" w:hAnsi="Verdana"/>
      <w:b/>
      <w:bCs/>
      <w:color w:val="333333"/>
      <w:sz w:val="24"/>
      <w:szCs w:val="24"/>
      <w:u w:val="none"/>
    </w:rPr>
  </w:style>
  <w:style w:type="character" w:customStyle="1" w:styleId="335">
    <w:name w:val="small"/>
    <w:qFormat/>
    <w:uiPriority w:val="0"/>
  </w:style>
  <w:style w:type="character" w:customStyle="1" w:styleId="336">
    <w:name w:val="displayarti"/>
    <w:qFormat/>
    <w:uiPriority w:val="0"/>
    <w:rPr>
      <w:rFonts w:ascii="Tahoma" w:hAnsi="Tahoma"/>
      <w:color w:val="FFFFFF"/>
      <w:sz w:val="24"/>
      <w:shd w:val="clear" w:color="auto" w:fill="A00000"/>
    </w:rPr>
  </w:style>
  <w:style w:type="character" w:customStyle="1" w:styleId="337">
    <w:name w:val="Char Char6"/>
    <w:qFormat/>
    <w:uiPriority w:val="0"/>
    <w:rPr>
      <w:rFonts w:ascii="Tahoma" w:hAnsi="Tahoma" w:eastAsia="宋体"/>
      <w:b/>
      <w:bCs/>
      <w:kern w:val="2"/>
      <w:sz w:val="32"/>
      <w:szCs w:val="32"/>
      <w:lang w:val="en-US" w:eastAsia="zh-CN" w:bidi="ar-SA"/>
    </w:rPr>
  </w:style>
  <w:style w:type="character" w:customStyle="1" w:styleId="338">
    <w:name w:val="sign"/>
    <w:qFormat/>
    <w:uiPriority w:val="0"/>
    <w:rPr>
      <w:rFonts w:ascii="Tahoma" w:hAnsi="Tahoma"/>
      <w:color w:val="D40000"/>
      <w:sz w:val="24"/>
    </w:rPr>
  </w:style>
  <w:style w:type="paragraph" w:customStyle="1" w:styleId="339">
    <w:name w:val="三级条标题"/>
    <w:basedOn w:val="340"/>
    <w:next w:val="1"/>
    <w:qFormat/>
    <w:uiPriority w:val="0"/>
    <w:pPr>
      <w:numPr>
        <w:ilvl w:val="4"/>
      </w:numPr>
      <w:outlineLvl w:val="4"/>
    </w:pPr>
  </w:style>
  <w:style w:type="paragraph" w:customStyle="1" w:styleId="340">
    <w:name w:val="二级条标题"/>
    <w:basedOn w:val="341"/>
    <w:next w:val="1"/>
    <w:qFormat/>
    <w:uiPriority w:val="0"/>
    <w:pPr>
      <w:numPr>
        <w:ilvl w:val="3"/>
      </w:numPr>
      <w:outlineLvl w:val="3"/>
    </w:pPr>
  </w:style>
  <w:style w:type="paragraph" w:customStyle="1" w:styleId="341">
    <w:name w:val="一级条标题"/>
    <w:basedOn w:val="342"/>
    <w:next w:val="1"/>
    <w:qFormat/>
    <w:uiPriority w:val="0"/>
    <w:pPr>
      <w:numPr>
        <w:ilvl w:val="2"/>
      </w:numPr>
      <w:spacing w:before="0" w:beforeLines="0" w:after="0" w:afterLines="0"/>
      <w:outlineLvl w:val="2"/>
    </w:pPr>
  </w:style>
  <w:style w:type="paragraph" w:customStyle="1" w:styleId="342">
    <w:name w:val="章标题"/>
    <w:next w:val="1"/>
    <w:qFormat/>
    <w:uiPriority w:val="0"/>
    <w:pPr>
      <w:numPr>
        <w:ilvl w:val="1"/>
        <w:numId w:val="9"/>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343">
    <w:name w:val="样式9"/>
    <w:basedOn w:val="1"/>
    <w:qFormat/>
    <w:uiPriority w:val="0"/>
  </w:style>
  <w:style w:type="paragraph" w:customStyle="1" w:styleId="344">
    <w:name w:val="四级条标题"/>
    <w:basedOn w:val="339"/>
    <w:next w:val="1"/>
    <w:qFormat/>
    <w:uiPriority w:val="0"/>
    <w:pPr>
      <w:numPr>
        <w:ilvl w:val="5"/>
      </w:numPr>
      <w:outlineLvl w:val="5"/>
    </w:pPr>
  </w:style>
  <w:style w:type="paragraph" w:customStyle="1" w:styleId="345">
    <w:name w:val="样式 宋体 三号 加粗 居中 行距: 最小值 12 磅"/>
    <w:basedOn w:val="1"/>
    <w:qFormat/>
    <w:uiPriority w:val="0"/>
    <w:pPr>
      <w:spacing w:line="240" w:lineRule="atLeast"/>
      <w:jc w:val="center"/>
    </w:pPr>
    <w:rPr>
      <w:rFonts w:ascii="宋体" w:hAnsi="宋体" w:cs="宋体"/>
      <w:b/>
      <w:bCs/>
      <w:szCs w:val="20"/>
    </w:rPr>
  </w:style>
  <w:style w:type="paragraph" w:customStyle="1" w:styleId="346">
    <w:name w:val="正文+四号"/>
    <w:basedOn w:val="1"/>
    <w:qFormat/>
    <w:uiPriority w:val="0"/>
    <w:pPr>
      <w:widowControl/>
      <w:shd w:val="clear" w:color="auto" w:fill="FFFFFF"/>
      <w:spacing w:line="360" w:lineRule="atLeast"/>
      <w:jc w:val="left"/>
    </w:pPr>
    <w:rPr>
      <w:rFonts w:ascii="Arial" w:hAnsi="Arial" w:cs="Arial"/>
      <w:color w:val="333333"/>
      <w:kern w:val="0"/>
      <w:sz w:val="28"/>
      <w:szCs w:val="28"/>
    </w:rPr>
  </w:style>
  <w:style w:type="paragraph" w:customStyle="1" w:styleId="347">
    <w:name w:val="彩色列表1"/>
    <w:basedOn w:val="1"/>
    <w:qFormat/>
    <w:uiPriority w:val="34"/>
    <w:pPr>
      <w:ind w:firstLine="420" w:firstLineChars="200"/>
    </w:pPr>
    <w:rPr>
      <w:sz w:val="28"/>
    </w:rPr>
  </w:style>
  <w:style w:type="paragraph" w:customStyle="1" w:styleId="348">
    <w:name w:val="样式 标题 2 + 宋体 五号 非加粗 黑色"/>
    <w:basedOn w:val="3"/>
    <w:qFormat/>
    <w:uiPriority w:val="99"/>
    <w:rPr>
      <w:rFonts w:ascii="宋体" w:hAnsi="宋体" w:eastAsia="宋体" w:cs="宋体"/>
      <w:b w:val="0"/>
      <w:bCs w:val="0"/>
      <w:color w:val="000000"/>
      <w:sz w:val="21"/>
      <w:szCs w:val="21"/>
    </w:rPr>
  </w:style>
  <w:style w:type="paragraph" w:customStyle="1" w:styleId="349">
    <w:name w:val="tx1"/>
    <w:basedOn w:val="1"/>
    <w:qFormat/>
    <w:uiPriority w:val="0"/>
    <w:pPr>
      <w:widowControl/>
      <w:spacing w:after="120"/>
      <w:ind w:left="274"/>
      <w:jc w:val="left"/>
    </w:pPr>
    <w:rPr>
      <w:rFonts w:ascii="Arial" w:hAnsi="Arial"/>
      <w:kern w:val="0"/>
      <w:sz w:val="22"/>
      <w:szCs w:val="20"/>
      <w:lang w:eastAsia="en-US"/>
    </w:rPr>
  </w:style>
  <w:style w:type="paragraph" w:customStyle="1" w:styleId="350">
    <w:name w:val="批注框文本 Char Char"/>
    <w:basedOn w:val="1"/>
    <w:qFormat/>
    <w:uiPriority w:val="0"/>
    <w:rPr>
      <w:sz w:val="18"/>
      <w:szCs w:val="20"/>
    </w:rPr>
  </w:style>
  <w:style w:type="paragraph" w:customStyle="1" w:styleId="351">
    <w:name w:val="前言、引言标题"/>
    <w:next w:val="1"/>
    <w:qFormat/>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2">
    <w:name w:val="px12black"/>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53">
    <w:name w:val="Char Char Char"/>
    <w:basedOn w:val="1"/>
    <w:qFormat/>
    <w:uiPriority w:val="0"/>
    <w:rPr>
      <w:rFonts w:ascii="Tahoma" w:hAnsi="Tahoma"/>
      <w:sz w:val="24"/>
      <w:szCs w:val="20"/>
    </w:rPr>
  </w:style>
  <w:style w:type="paragraph" w:customStyle="1" w:styleId="354">
    <w:name w:val="样式4"/>
    <w:basedOn w:val="1"/>
    <w:qFormat/>
    <w:uiPriority w:val="0"/>
    <w:pPr>
      <w:tabs>
        <w:tab w:val="left" w:pos="432"/>
      </w:tabs>
      <w:spacing w:before="50" w:beforeLines="50"/>
      <w:ind w:left="432" w:hanging="432"/>
      <w:outlineLvl w:val="2"/>
    </w:pPr>
    <w:rPr>
      <w:rFonts w:ascii="宋体" w:hAnsi="宋体" w:cs="MS Shell Dlg"/>
      <w:b/>
      <w:kern w:val="0"/>
      <w:szCs w:val="21"/>
    </w:rPr>
  </w:style>
  <w:style w:type="paragraph" w:customStyle="1" w:styleId="355">
    <w:name w:val="Char Char Char Char Char Char"/>
    <w:basedOn w:val="1"/>
    <w:qFormat/>
    <w:uiPriority w:val="0"/>
    <w:rPr>
      <w:rFonts w:ascii="Tahoma" w:hAnsi="Tahoma"/>
      <w:sz w:val="24"/>
    </w:rPr>
  </w:style>
  <w:style w:type="paragraph" w:customStyle="1" w:styleId="356">
    <w:name w:val="_Style 54"/>
    <w:basedOn w:val="1"/>
    <w:next w:val="1"/>
    <w:qFormat/>
    <w:uiPriority w:val="0"/>
  </w:style>
  <w:style w:type="paragraph" w:customStyle="1" w:styleId="357">
    <w:name w:val="样式8"/>
    <w:basedOn w:val="1"/>
    <w:qFormat/>
    <w:uiPriority w:val="0"/>
    <w:pPr>
      <w:numPr>
        <w:ilvl w:val="3"/>
        <w:numId w:val="10"/>
      </w:numPr>
      <w:tabs>
        <w:tab w:val="left" w:pos="1838"/>
        <w:tab w:val="clear" w:pos="1271"/>
      </w:tabs>
      <w:ind w:left="1838"/>
      <w:outlineLvl w:val="2"/>
    </w:pPr>
    <w:rPr>
      <w:rFonts w:ascii="宋体" w:hAnsi="宋体" w:cs="MS Shell Dlg"/>
      <w:kern w:val="0"/>
      <w:szCs w:val="21"/>
    </w:rPr>
  </w:style>
  <w:style w:type="paragraph" w:customStyle="1" w:styleId="358">
    <w:name w:val="正文字缩2字"/>
    <w:basedOn w:val="1"/>
    <w:qFormat/>
    <w:uiPriority w:val="99"/>
    <w:pPr>
      <w:spacing w:before="60" w:after="60" w:line="360" w:lineRule="auto"/>
      <w:ind w:left="200" w:leftChars="200" w:firstLine="200" w:firstLineChars="200"/>
    </w:pPr>
  </w:style>
  <w:style w:type="paragraph" w:customStyle="1" w:styleId="359">
    <w:name w:val="排版"/>
    <w:basedOn w:val="1"/>
    <w:next w:val="29"/>
    <w:qFormat/>
    <w:uiPriority w:val="0"/>
    <w:pPr>
      <w:spacing w:line="600" w:lineRule="exact"/>
    </w:pPr>
    <w:rPr>
      <w:rFonts w:eastAsia="华文仿宋"/>
      <w:spacing w:val="6"/>
      <w:sz w:val="32"/>
    </w:rPr>
  </w:style>
  <w:style w:type="paragraph" w:customStyle="1" w:styleId="360">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61">
    <w:name w:val="_Style 2"/>
    <w:basedOn w:val="1"/>
    <w:qFormat/>
    <w:uiPriority w:val="34"/>
    <w:pPr>
      <w:ind w:firstLine="420" w:firstLineChars="200"/>
    </w:pPr>
  </w:style>
  <w:style w:type="paragraph" w:customStyle="1" w:styleId="36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63">
    <w:name w:val="Char1 Char Char Char"/>
    <w:basedOn w:val="1"/>
    <w:qFormat/>
    <w:uiPriority w:val="0"/>
    <w:pPr>
      <w:adjustRightInd w:val="0"/>
      <w:spacing w:line="360" w:lineRule="auto"/>
    </w:pPr>
    <w:rPr>
      <w:kern w:val="0"/>
      <w:sz w:val="24"/>
      <w:szCs w:val="20"/>
    </w:rPr>
  </w:style>
  <w:style w:type="paragraph" w:customStyle="1" w:styleId="364">
    <w:name w:val="文"/>
    <w:basedOn w:val="40"/>
    <w:qFormat/>
    <w:uiPriority w:val="0"/>
    <w:pPr>
      <w:spacing w:line="360" w:lineRule="auto"/>
      <w:ind w:firstLine="480" w:firstLineChars="200"/>
    </w:pPr>
    <w:rPr>
      <w:rFonts w:ascii="黑体" w:hAnsi="Times New Roman" w:eastAsia="黑体"/>
      <w:sz w:val="24"/>
    </w:rPr>
  </w:style>
  <w:style w:type="paragraph" w:customStyle="1" w:styleId="365">
    <w:name w:val="五级条标题"/>
    <w:basedOn w:val="344"/>
    <w:next w:val="1"/>
    <w:qFormat/>
    <w:uiPriority w:val="0"/>
    <w:pPr>
      <w:numPr>
        <w:ilvl w:val="6"/>
      </w:numPr>
      <w:outlineLvl w:val="6"/>
    </w:pPr>
  </w:style>
  <w:style w:type="paragraph" w:customStyle="1" w:styleId="366">
    <w:name w:val="样式6"/>
    <w:basedOn w:val="354"/>
    <w:qFormat/>
    <w:uiPriority w:val="0"/>
    <w:pPr>
      <w:tabs>
        <w:tab w:val="left" w:pos="720"/>
        <w:tab w:val="clear" w:pos="432"/>
      </w:tabs>
      <w:spacing w:before="156"/>
      <w:ind w:left="720" w:hanging="153"/>
      <w:outlineLvl w:val="4"/>
    </w:pPr>
    <w:rPr>
      <w:rFonts w:ascii="MS Shell Dlg" w:hAnsi="MS Shell Dlg"/>
    </w:rPr>
  </w:style>
  <w:style w:type="paragraph" w:customStyle="1" w:styleId="367">
    <w:name w:val="Char Char Char Char Char Char Char"/>
    <w:basedOn w:val="1"/>
    <w:qFormat/>
    <w:uiPriority w:val="0"/>
    <w:rPr>
      <w:rFonts w:ascii="Tahoma" w:hAnsi="Tahoma" w:cs="Arial"/>
      <w:szCs w:val="21"/>
    </w:rPr>
  </w:style>
  <w:style w:type="table" w:customStyle="1" w:styleId="368">
    <w:name w:val="网格型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69">
    <w:name w:val="正文2"/>
    <w:basedOn w:val="1"/>
    <w:link w:val="370"/>
    <w:qFormat/>
    <w:uiPriority w:val="0"/>
    <w:pPr>
      <w:spacing w:line="360" w:lineRule="auto"/>
      <w:ind w:left="200" w:leftChars="200"/>
    </w:pPr>
    <w:rPr>
      <w:sz w:val="24"/>
      <w:szCs w:val="22"/>
    </w:rPr>
  </w:style>
  <w:style w:type="character" w:customStyle="1" w:styleId="370">
    <w:name w:val="正文2 Char"/>
    <w:link w:val="369"/>
    <w:qFormat/>
    <w:uiPriority w:val="0"/>
    <w:rPr>
      <w:kern w:val="2"/>
      <w:sz w:val="24"/>
      <w:szCs w:val="22"/>
    </w:rPr>
  </w:style>
  <w:style w:type="paragraph" w:customStyle="1" w:styleId="371">
    <w:name w:val="小标题1"/>
    <w:basedOn w:val="1"/>
    <w:link w:val="373"/>
    <w:qFormat/>
    <w:uiPriority w:val="0"/>
    <w:pPr>
      <w:numPr>
        <w:ilvl w:val="0"/>
        <w:numId w:val="11"/>
      </w:numPr>
      <w:spacing w:line="360" w:lineRule="auto"/>
      <w:ind w:firstLine="0"/>
    </w:pPr>
    <w:rPr>
      <w:rFonts w:eastAsia="黑体"/>
      <w:sz w:val="24"/>
    </w:rPr>
  </w:style>
  <w:style w:type="paragraph" w:customStyle="1" w:styleId="372">
    <w:name w:val="小标题2"/>
    <w:basedOn w:val="1"/>
    <w:link w:val="375"/>
    <w:qFormat/>
    <w:uiPriority w:val="0"/>
    <w:pPr>
      <w:numPr>
        <w:ilvl w:val="0"/>
        <w:numId w:val="12"/>
      </w:numPr>
      <w:spacing w:line="360" w:lineRule="auto"/>
      <w:ind w:left="839" w:firstLine="0"/>
    </w:pPr>
    <w:rPr>
      <w:rFonts w:hAnsi="新宋体"/>
      <w:b/>
      <w:sz w:val="24"/>
    </w:rPr>
  </w:style>
  <w:style w:type="character" w:customStyle="1" w:styleId="373">
    <w:name w:val="小标题1 Char"/>
    <w:link w:val="371"/>
    <w:qFormat/>
    <w:uiPriority w:val="0"/>
    <w:rPr>
      <w:rFonts w:eastAsia="黑体"/>
      <w:kern w:val="2"/>
      <w:sz w:val="24"/>
      <w:szCs w:val="24"/>
    </w:rPr>
  </w:style>
  <w:style w:type="paragraph" w:customStyle="1" w:styleId="374">
    <w:name w:val="小标题3"/>
    <w:basedOn w:val="1"/>
    <w:link w:val="376"/>
    <w:qFormat/>
    <w:uiPriority w:val="0"/>
    <w:pPr>
      <w:numPr>
        <w:ilvl w:val="0"/>
        <w:numId w:val="13"/>
      </w:numPr>
      <w:spacing w:line="360" w:lineRule="auto"/>
      <w:ind w:firstLine="0"/>
    </w:pPr>
    <w:rPr>
      <w:rFonts w:hAnsi="新宋体"/>
      <w:sz w:val="24"/>
    </w:rPr>
  </w:style>
  <w:style w:type="character" w:customStyle="1" w:styleId="375">
    <w:name w:val="小标题2 Char"/>
    <w:link w:val="372"/>
    <w:qFormat/>
    <w:uiPriority w:val="0"/>
    <w:rPr>
      <w:rFonts w:hAnsi="新宋体"/>
      <w:b/>
      <w:kern w:val="2"/>
      <w:sz w:val="24"/>
      <w:szCs w:val="24"/>
    </w:rPr>
  </w:style>
  <w:style w:type="character" w:customStyle="1" w:styleId="376">
    <w:name w:val="小标题3 Char"/>
    <w:link w:val="374"/>
    <w:qFormat/>
    <w:uiPriority w:val="0"/>
    <w:rPr>
      <w:rFonts w:hAnsi="新宋体"/>
      <w:kern w:val="2"/>
      <w:sz w:val="24"/>
      <w:szCs w:val="24"/>
    </w:rPr>
  </w:style>
  <w:style w:type="paragraph" w:customStyle="1" w:styleId="377">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378">
    <w:name w:val="题注4"/>
    <w:basedOn w:val="1"/>
    <w:next w:val="20"/>
    <w:qFormat/>
    <w:uiPriority w:val="0"/>
    <w:pPr>
      <w:ind w:left="-132" w:leftChars="-64" w:right="-105" w:rightChars="-50" w:hanging="2"/>
      <w:jc w:val="center"/>
    </w:pPr>
    <w:rPr>
      <w:b/>
      <w:color w:val="FF0000"/>
      <w:szCs w:val="21"/>
      <w:lang w:val="en-GB"/>
    </w:rPr>
  </w:style>
  <w:style w:type="character" w:customStyle="1" w:styleId="379">
    <w:name w:val="不明显强调1"/>
    <w:qFormat/>
    <w:uiPriority w:val="19"/>
    <w:rPr>
      <w:i/>
      <w:iCs/>
      <w:color w:val="808080"/>
    </w:rPr>
  </w:style>
  <w:style w:type="paragraph" w:customStyle="1" w:styleId="380">
    <w:name w:val="标准正文"/>
    <w:basedOn w:val="1"/>
    <w:link w:val="499"/>
    <w:qFormat/>
    <w:uiPriority w:val="0"/>
    <w:pPr>
      <w:spacing w:beforeLines="50" w:afterLines="50" w:line="360" w:lineRule="auto"/>
      <w:ind w:firstLine="480" w:firstLineChars="200"/>
      <w:jc w:val="left"/>
    </w:pPr>
    <w:rPr>
      <w:kern w:val="0"/>
      <w:sz w:val="24"/>
    </w:rPr>
  </w:style>
  <w:style w:type="character" w:customStyle="1" w:styleId="381">
    <w:name w:val="标题 1 Char Char"/>
    <w:qFormat/>
    <w:uiPriority w:val="0"/>
    <w:rPr>
      <w:rFonts w:eastAsia="宋体"/>
      <w:b/>
      <w:bCs/>
      <w:kern w:val="44"/>
      <w:sz w:val="44"/>
      <w:szCs w:val="44"/>
      <w:lang w:val="en-US" w:eastAsia="zh-CN" w:bidi="ar-SA"/>
    </w:rPr>
  </w:style>
  <w:style w:type="character" w:customStyle="1" w:styleId="382">
    <w:name w:val="apple-converted-space"/>
    <w:qFormat/>
    <w:uiPriority w:val="0"/>
  </w:style>
  <w:style w:type="paragraph" w:customStyle="1" w:styleId="383">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正文"/>
    <w:basedOn w:val="1"/>
    <w:link w:val="385"/>
    <w:qFormat/>
    <w:uiPriority w:val="0"/>
    <w:pPr>
      <w:spacing w:line="360" w:lineRule="auto"/>
      <w:ind w:firstLine="200" w:firstLineChars="200"/>
    </w:pPr>
    <w:rPr>
      <w:rFonts w:ascii="宋体" w:hAnsi="宋体"/>
      <w:sz w:val="22"/>
    </w:rPr>
  </w:style>
  <w:style w:type="character" w:customStyle="1" w:styleId="385">
    <w:name w:val="*正文 Char"/>
    <w:link w:val="384"/>
    <w:qFormat/>
    <w:uiPriority w:val="0"/>
    <w:rPr>
      <w:rFonts w:ascii="宋体" w:hAnsi="宋体"/>
      <w:kern w:val="2"/>
      <w:sz w:val="22"/>
      <w:szCs w:val="24"/>
    </w:rPr>
  </w:style>
  <w:style w:type="character" w:customStyle="1" w:styleId="386">
    <w:name w:val="明显参考2"/>
    <w:qFormat/>
    <w:uiPriority w:val="32"/>
    <w:rPr>
      <w:b/>
      <w:bCs/>
      <w:smallCaps/>
      <w:color w:val="C0504D"/>
      <w:spacing w:val="5"/>
      <w:u w:val="single"/>
    </w:rPr>
  </w:style>
  <w:style w:type="character" w:customStyle="1" w:styleId="387">
    <w:name w:val="题注 Char"/>
    <w:link w:val="20"/>
    <w:qFormat/>
    <w:uiPriority w:val="0"/>
    <w:rPr>
      <w:rFonts w:ascii="Cambria" w:hAnsi="Cambria" w:eastAsia="黑体"/>
      <w:kern w:val="2"/>
    </w:rPr>
  </w:style>
  <w:style w:type="character" w:customStyle="1" w:styleId="388">
    <w:name w:val="def正文 Char"/>
    <w:link w:val="389"/>
    <w:qFormat/>
    <w:uiPriority w:val="0"/>
    <w:rPr>
      <w:szCs w:val="21"/>
    </w:rPr>
  </w:style>
  <w:style w:type="paragraph" w:customStyle="1" w:styleId="389">
    <w:name w:val="def正文"/>
    <w:basedOn w:val="29"/>
    <w:link w:val="388"/>
    <w:qFormat/>
    <w:uiPriority w:val="0"/>
    <w:pPr>
      <w:widowControl/>
      <w:spacing w:line="276" w:lineRule="auto"/>
      <w:jc w:val="center"/>
    </w:pPr>
    <w:rPr>
      <w:kern w:val="0"/>
      <w:sz w:val="20"/>
      <w:szCs w:val="21"/>
    </w:rPr>
  </w:style>
  <w:style w:type="character" w:customStyle="1" w:styleId="390">
    <w:name w:val="文字 Char"/>
    <w:link w:val="391"/>
    <w:qFormat/>
    <w:locked/>
    <w:uiPriority w:val="0"/>
    <w:rPr>
      <w:rFonts w:ascii="宋体" w:hAnsi="宋体"/>
      <w:sz w:val="28"/>
    </w:rPr>
  </w:style>
  <w:style w:type="paragraph" w:customStyle="1" w:styleId="391">
    <w:name w:val="文字"/>
    <w:basedOn w:val="1"/>
    <w:link w:val="390"/>
    <w:qFormat/>
    <w:uiPriority w:val="0"/>
    <w:pPr>
      <w:tabs>
        <w:tab w:val="left" w:pos="8520"/>
      </w:tabs>
      <w:spacing w:line="312" w:lineRule="auto"/>
      <w:ind w:right="-210" w:firstLine="556"/>
    </w:pPr>
    <w:rPr>
      <w:rFonts w:ascii="宋体" w:hAnsi="宋体"/>
      <w:kern w:val="0"/>
      <w:sz w:val="28"/>
      <w:szCs w:val="20"/>
    </w:rPr>
  </w:style>
  <w:style w:type="paragraph" w:customStyle="1" w:styleId="392">
    <w:name w:val="附录章标题"/>
    <w:next w:val="1"/>
    <w:qFormat/>
    <w:uiPriority w:val="0"/>
    <w:pPr>
      <w:numPr>
        <w:ilvl w:val="1"/>
        <w:numId w:val="14"/>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93">
    <w:name w:val="Style First line:  1.71 ch"/>
    <w:basedOn w:val="1"/>
    <w:qFormat/>
    <w:uiPriority w:val="0"/>
    <w:pPr>
      <w:spacing w:line="360" w:lineRule="auto"/>
      <w:ind w:firstLine="171" w:firstLineChars="171"/>
    </w:pPr>
    <w:rPr>
      <w:sz w:val="24"/>
      <w:szCs w:val="20"/>
    </w:rPr>
  </w:style>
  <w:style w:type="paragraph" w:customStyle="1" w:styleId="394">
    <w:name w:val="样式 首行缩进:  0 字符"/>
    <w:basedOn w:val="1"/>
    <w:link w:val="421"/>
    <w:qFormat/>
    <w:uiPriority w:val="0"/>
    <w:pPr>
      <w:spacing w:line="360" w:lineRule="auto"/>
      <w:ind w:firstLine="200" w:firstLineChars="200"/>
    </w:pPr>
    <w:rPr>
      <w:rFonts w:cs="宋体"/>
      <w:sz w:val="24"/>
      <w:szCs w:val="20"/>
    </w:rPr>
  </w:style>
  <w:style w:type="character" w:customStyle="1" w:styleId="395">
    <w:name w:val="info4"/>
    <w:qFormat/>
    <w:uiPriority w:val="0"/>
  </w:style>
  <w:style w:type="paragraph" w:customStyle="1" w:styleId="396">
    <w:name w:val="Style1"/>
    <w:basedOn w:val="1"/>
    <w:qFormat/>
    <w:uiPriority w:val="0"/>
    <w:pPr>
      <w:numPr>
        <w:ilvl w:val="3"/>
        <w:numId w:val="15"/>
      </w:numPr>
      <w:ind w:right="100" w:rightChars="100" w:firstLine="0"/>
      <w:jc w:val="left"/>
    </w:pPr>
    <w:rPr>
      <w:rFonts w:ascii="Arial" w:hAnsi="Arial" w:eastAsia="Arial" w:cs="Arial"/>
      <w:kern w:val="0"/>
      <w:sz w:val="20"/>
      <w:szCs w:val="20"/>
    </w:rPr>
  </w:style>
  <w:style w:type="paragraph" w:customStyle="1" w:styleId="397">
    <w:name w:val="正文要点 Char"/>
    <w:basedOn w:val="1"/>
    <w:next w:val="1"/>
    <w:qFormat/>
    <w:uiPriority w:val="0"/>
    <w:pPr>
      <w:numPr>
        <w:ilvl w:val="0"/>
        <w:numId w:val="16"/>
      </w:numPr>
      <w:tabs>
        <w:tab w:val="left" w:pos="420"/>
      </w:tabs>
      <w:spacing w:line="360" w:lineRule="auto"/>
      <w:ind w:firstLine="0"/>
    </w:pPr>
  </w:style>
  <w:style w:type="paragraph" w:customStyle="1" w:styleId="398">
    <w:name w:val="普通(网站)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9">
    <w:name w:val="样式 样式 (中文) 仿宋_GB2312 四号 行距: 多倍行距 1.25 字行2 + 首行缩进:  2 字符"/>
    <w:basedOn w:val="1"/>
    <w:qFormat/>
    <w:uiPriority w:val="0"/>
    <w:pPr>
      <w:autoSpaceDE w:val="0"/>
      <w:autoSpaceDN w:val="0"/>
      <w:snapToGrid w:val="0"/>
      <w:spacing w:line="360" w:lineRule="auto"/>
      <w:ind w:firstLine="480" w:firstLineChars="200"/>
    </w:pPr>
    <w:rPr>
      <w:rFonts w:eastAsia="仿宋_GB2312"/>
      <w:color w:val="000000"/>
      <w:kern w:val="0"/>
      <w:sz w:val="24"/>
    </w:rPr>
  </w:style>
  <w:style w:type="paragraph" w:customStyle="1" w:styleId="400">
    <w:name w:val="Figure"/>
    <w:basedOn w:val="1"/>
    <w:qFormat/>
    <w:uiPriority w:val="0"/>
    <w:pPr>
      <w:keepNext/>
      <w:widowControl/>
      <w:pBdr>
        <w:top w:val="single" w:color="auto" w:sz="12" w:space="1"/>
        <w:left w:val="single" w:color="auto" w:sz="12" w:space="4"/>
        <w:bottom w:val="single" w:color="auto" w:sz="12" w:space="1"/>
        <w:right w:val="single" w:color="auto" w:sz="12" w:space="4"/>
      </w:pBdr>
      <w:shd w:val="clear" w:color="auto" w:fill="FFFFFF"/>
      <w:ind w:left="113" w:right="113"/>
      <w:jc w:val="center"/>
    </w:pPr>
    <w:rPr>
      <w:rFonts w:ascii="Tahoma" w:hAnsi="Tahoma" w:cs="Arial"/>
      <w:kern w:val="0"/>
      <w:sz w:val="20"/>
      <w:szCs w:val="20"/>
      <w:lang w:eastAsia="en-US"/>
    </w:rPr>
  </w:style>
  <w:style w:type="paragraph" w:customStyle="1" w:styleId="401">
    <w:name w:val="Bulleting First Indent 1"/>
    <w:basedOn w:val="76"/>
    <w:qFormat/>
    <w:uiPriority w:val="0"/>
    <w:pPr>
      <w:numPr>
        <w:ilvl w:val="0"/>
        <w:numId w:val="17"/>
      </w:numPr>
      <w:spacing w:before="20" w:after="20" w:line="300" w:lineRule="auto"/>
      <w:ind w:firstLine="0" w:firstLineChars="0"/>
    </w:pPr>
    <w:rPr>
      <w:rFonts w:ascii="Tahoma" w:hAnsi="Tahoma"/>
      <w:kern w:val="0"/>
      <w:sz w:val="21"/>
      <w:szCs w:val="21"/>
    </w:rPr>
  </w:style>
  <w:style w:type="paragraph" w:customStyle="1" w:styleId="402">
    <w:name w:val="Body Text First Indent Important"/>
    <w:basedOn w:val="76"/>
    <w:qFormat/>
    <w:uiPriority w:val="0"/>
    <w:pPr>
      <w:spacing w:before="120" w:after="120" w:line="300" w:lineRule="auto"/>
      <w:ind w:firstLine="431" w:firstLineChars="0"/>
    </w:pPr>
    <w:rPr>
      <w:rFonts w:ascii="Tahoma" w:hAnsi="Tahoma"/>
      <w:b/>
      <w:kern w:val="0"/>
      <w:sz w:val="22"/>
      <w:szCs w:val="21"/>
    </w:rPr>
  </w:style>
  <w:style w:type="character" w:customStyle="1" w:styleId="403">
    <w:name w:val="文档正文 Char"/>
    <w:link w:val="160"/>
    <w:qFormat/>
    <w:uiPriority w:val="0"/>
    <w:rPr>
      <w:rFonts w:ascii="长城仿宋"/>
      <w:sz w:val="24"/>
      <w:szCs w:val="24"/>
    </w:rPr>
  </w:style>
  <w:style w:type="paragraph" w:customStyle="1" w:styleId="404">
    <w:name w:val="正文首行缩进两字"/>
    <w:qFormat/>
    <w:uiPriority w:val="0"/>
    <w:pPr>
      <w:adjustRightInd w:val="0"/>
      <w:snapToGrid w:val="0"/>
      <w:spacing w:line="300" w:lineRule="auto"/>
      <w:ind w:firstLine="227" w:firstLineChars="108"/>
      <w:jc w:val="both"/>
    </w:pPr>
    <w:rPr>
      <w:rFonts w:ascii="Times New Roman" w:hAnsi="Times New Roman" w:eastAsia="宋体" w:cs="Times New Roman"/>
      <w:sz w:val="21"/>
      <w:szCs w:val="21"/>
      <w:lang w:val="en-US" w:eastAsia="zh-CN" w:bidi="ar-SA"/>
    </w:rPr>
  </w:style>
  <w:style w:type="character" w:customStyle="1" w:styleId="405">
    <w:name w:val="样式 宋体 加粗"/>
    <w:qFormat/>
    <w:uiPriority w:val="0"/>
    <w:rPr>
      <w:rFonts w:ascii="宋体" w:hAnsi="宋体"/>
      <w:b/>
      <w:bCs/>
      <w:sz w:val="32"/>
    </w:rPr>
  </w:style>
  <w:style w:type="paragraph" w:customStyle="1" w:styleId="406">
    <w:name w:val="正文首缩两字"/>
    <w:basedOn w:val="1"/>
    <w:link w:val="407"/>
    <w:qFormat/>
    <w:uiPriority w:val="0"/>
    <w:pPr>
      <w:spacing w:line="360" w:lineRule="auto"/>
      <w:ind w:firstLine="200" w:firstLineChars="200"/>
    </w:pPr>
    <w:rPr>
      <w:rFonts w:ascii="Verdana" w:hAnsi="Verdana"/>
      <w:sz w:val="24"/>
    </w:rPr>
  </w:style>
  <w:style w:type="character" w:customStyle="1" w:styleId="407">
    <w:name w:val="正文首缩两字 Char"/>
    <w:link w:val="406"/>
    <w:qFormat/>
    <w:uiPriority w:val="0"/>
    <w:rPr>
      <w:rFonts w:ascii="Verdana" w:hAnsi="Verdana"/>
      <w:kern w:val="2"/>
      <w:sz w:val="24"/>
      <w:szCs w:val="24"/>
    </w:rPr>
  </w:style>
  <w:style w:type="paragraph" w:customStyle="1" w:styleId="408">
    <w:name w:val="标准段"/>
    <w:basedOn w:val="1"/>
    <w:link w:val="409"/>
    <w:qFormat/>
    <w:uiPriority w:val="0"/>
    <w:pPr>
      <w:spacing w:beforeLines="50" w:line="360" w:lineRule="auto"/>
      <w:ind w:firstLine="200" w:firstLineChars="200"/>
    </w:pPr>
    <w:rPr>
      <w:rFonts w:ascii="仿宋_GB2312" w:hAnsi="宋体" w:eastAsia="仿宋_GB2312"/>
      <w:kern w:val="0"/>
      <w:sz w:val="24"/>
      <w:lang w:val="zh-CN"/>
    </w:rPr>
  </w:style>
  <w:style w:type="character" w:customStyle="1" w:styleId="409">
    <w:name w:val="标准段 Char"/>
    <w:link w:val="408"/>
    <w:qFormat/>
    <w:uiPriority w:val="0"/>
    <w:rPr>
      <w:rFonts w:ascii="仿宋_GB2312" w:hAnsi="宋体" w:eastAsia="仿宋_GB2312"/>
      <w:sz w:val="24"/>
      <w:szCs w:val="24"/>
      <w:lang w:val="zh-CN"/>
    </w:rPr>
  </w:style>
  <w:style w:type="character" w:customStyle="1" w:styleId="410">
    <w:name w:val="正文1 Char"/>
    <w:link w:val="146"/>
    <w:qFormat/>
    <w:uiPriority w:val="0"/>
    <w:rPr>
      <w:kern w:val="2"/>
      <w:sz w:val="21"/>
      <w:szCs w:val="24"/>
    </w:rPr>
  </w:style>
  <w:style w:type="character" w:customStyle="1" w:styleId="411">
    <w:name w:val="bsharetext"/>
    <w:qFormat/>
    <w:uiPriority w:val="0"/>
  </w:style>
  <w:style w:type="paragraph" w:customStyle="1" w:styleId="412">
    <w:name w:val="a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3">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415">
    <w:name w:val="p10"/>
    <w:basedOn w:val="1"/>
    <w:qFormat/>
    <w:uiPriority w:val="0"/>
    <w:pPr>
      <w:widowControl/>
      <w:spacing w:before="100" w:beforeAutospacing="1" w:after="100" w:afterAutospacing="1"/>
      <w:jc w:val="left"/>
    </w:pPr>
    <w:rPr>
      <w:rFonts w:ascii="Calibri" w:hAnsi="Calibri"/>
      <w:color w:val="000000"/>
      <w:kern w:val="0"/>
      <w:sz w:val="20"/>
      <w:szCs w:val="20"/>
    </w:rPr>
  </w:style>
  <w:style w:type="character" w:customStyle="1" w:styleId="416">
    <w:name w:val="apple-style-span"/>
    <w:basedOn w:val="80"/>
    <w:qFormat/>
    <w:uiPriority w:val="0"/>
  </w:style>
  <w:style w:type="character" w:customStyle="1" w:styleId="417">
    <w:name w:val="标题3 字符"/>
    <w:link w:val="418"/>
    <w:qFormat/>
    <w:uiPriority w:val="0"/>
    <w:rPr>
      <w:b/>
      <w:bCs/>
      <w:szCs w:val="24"/>
    </w:rPr>
  </w:style>
  <w:style w:type="paragraph" w:customStyle="1" w:styleId="418">
    <w:name w:val="标题3"/>
    <w:basedOn w:val="1"/>
    <w:link w:val="417"/>
    <w:qFormat/>
    <w:uiPriority w:val="0"/>
    <w:pPr>
      <w:jc w:val="left"/>
    </w:pPr>
    <w:rPr>
      <w:b/>
      <w:bCs/>
      <w:kern w:val="0"/>
      <w:sz w:val="20"/>
    </w:rPr>
  </w:style>
  <w:style w:type="character" w:customStyle="1" w:styleId="419">
    <w:name w:val="四级标题 Char"/>
    <w:link w:val="420"/>
    <w:qFormat/>
    <w:uiPriority w:val="0"/>
    <w:rPr>
      <w:rFonts w:ascii="微软雅黑" w:hAnsi="微软雅黑" w:eastAsia="微软雅黑"/>
      <w:b/>
      <w:sz w:val="24"/>
    </w:rPr>
  </w:style>
  <w:style w:type="paragraph" w:customStyle="1" w:styleId="420">
    <w:name w:val="四级标题"/>
    <w:basedOn w:val="1"/>
    <w:next w:val="1"/>
    <w:link w:val="419"/>
    <w:qFormat/>
    <w:uiPriority w:val="0"/>
    <w:pPr>
      <w:outlineLvl w:val="3"/>
    </w:pPr>
    <w:rPr>
      <w:rFonts w:ascii="微软雅黑" w:hAnsi="微软雅黑" w:eastAsia="微软雅黑"/>
      <w:b/>
      <w:kern w:val="0"/>
      <w:sz w:val="24"/>
      <w:szCs w:val="20"/>
    </w:rPr>
  </w:style>
  <w:style w:type="character" w:customStyle="1" w:styleId="421">
    <w:name w:val="样式 首行缩进:  0 字符 Char Char"/>
    <w:link w:val="394"/>
    <w:qFormat/>
    <w:uiPriority w:val="0"/>
    <w:rPr>
      <w:rFonts w:cs="宋体"/>
      <w:kern w:val="2"/>
      <w:sz w:val="24"/>
    </w:rPr>
  </w:style>
  <w:style w:type="character" w:customStyle="1" w:styleId="422">
    <w:name w:val="￥正文 Char"/>
    <w:qFormat/>
    <w:uiPriority w:val="0"/>
    <w:rPr>
      <w:sz w:val="28"/>
    </w:rPr>
  </w:style>
  <w:style w:type="character" w:customStyle="1" w:styleId="423">
    <w:name w:val="样式 图 字符"/>
    <w:link w:val="424"/>
    <w:qFormat/>
    <w:uiPriority w:val="0"/>
    <w:rPr>
      <w:rFonts w:eastAsia="仿宋"/>
      <w:b/>
      <w:szCs w:val="21"/>
    </w:rPr>
  </w:style>
  <w:style w:type="paragraph" w:customStyle="1" w:styleId="424">
    <w:name w:val="样式 图"/>
    <w:basedOn w:val="1"/>
    <w:link w:val="423"/>
    <w:qFormat/>
    <w:uiPriority w:val="0"/>
    <w:pPr>
      <w:spacing w:line="360" w:lineRule="auto"/>
      <w:jc w:val="center"/>
    </w:pPr>
    <w:rPr>
      <w:rFonts w:eastAsia="仿宋"/>
      <w:b/>
      <w:kern w:val="0"/>
      <w:sz w:val="20"/>
      <w:szCs w:val="21"/>
    </w:rPr>
  </w:style>
  <w:style w:type="character" w:customStyle="1" w:styleId="425">
    <w:name w:val="编号，小四 Char Char"/>
    <w:link w:val="426"/>
    <w:qFormat/>
    <w:uiPriority w:val="0"/>
    <w:rPr>
      <w:rFonts w:ascii="Verdana" w:hAnsi="Verdana" w:eastAsiaTheme="minorEastAsia" w:cstheme="minorBidi"/>
      <w:kern w:val="2"/>
      <w:sz w:val="24"/>
      <w:szCs w:val="24"/>
    </w:rPr>
  </w:style>
  <w:style w:type="paragraph" w:customStyle="1" w:styleId="426">
    <w:name w:val="编号，小四"/>
    <w:basedOn w:val="1"/>
    <w:link w:val="425"/>
    <w:qFormat/>
    <w:uiPriority w:val="0"/>
    <w:pPr>
      <w:numPr>
        <w:ilvl w:val="0"/>
        <w:numId w:val="18"/>
      </w:numPr>
      <w:tabs>
        <w:tab w:val="left" w:pos="360"/>
      </w:tabs>
      <w:ind w:firstLine="0"/>
      <w:jc w:val="left"/>
    </w:pPr>
    <w:rPr>
      <w:rFonts w:ascii="Verdana" w:hAnsi="Verdana" w:eastAsiaTheme="minorEastAsia" w:cstheme="minorBidi"/>
      <w:sz w:val="24"/>
    </w:rPr>
  </w:style>
  <w:style w:type="character" w:customStyle="1" w:styleId="427">
    <w:name w:val="正文首行缩进（绿盟科技） Char"/>
    <w:link w:val="428"/>
    <w:qFormat/>
    <w:uiPriority w:val="0"/>
    <w:rPr>
      <w:rFonts w:ascii="Arial" w:hAnsi="Arial" w:eastAsia="仿宋" w:cs="黑体"/>
      <w:sz w:val="24"/>
      <w:szCs w:val="21"/>
    </w:rPr>
  </w:style>
  <w:style w:type="paragraph" w:customStyle="1" w:styleId="428">
    <w:name w:val="正文首行缩进（绿盟科技）"/>
    <w:basedOn w:val="1"/>
    <w:link w:val="427"/>
    <w:qFormat/>
    <w:uiPriority w:val="0"/>
    <w:pPr>
      <w:widowControl/>
      <w:spacing w:after="50" w:line="300" w:lineRule="auto"/>
      <w:jc w:val="left"/>
    </w:pPr>
    <w:rPr>
      <w:rFonts w:ascii="Arial" w:hAnsi="Arial" w:eastAsia="仿宋" w:cs="黑体"/>
      <w:kern w:val="0"/>
      <w:sz w:val="24"/>
      <w:szCs w:val="21"/>
    </w:rPr>
  </w:style>
  <w:style w:type="character" w:customStyle="1" w:styleId="429">
    <w:name w:val="Ri正文 Char"/>
    <w:link w:val="430"/>
    <w:qFormat/>
    <w:uiPriority w:val="0"/>
    <w:rPr>
      <w:rFonts w:ascii="宋体" w:hAnsi="宋体"/>
      <w:sz w:val="24"/>
      <w:szCs w:val="24"/>
    </w:rPr>
  </w:style>
  <w:style w:type="paragraph" w:customStyle="1" w:styleId="430">
    <w:name w:val="Ri正文"/>
    <w:basedOn w:val="1"/>
    <w:link w:val="429"/>
    <w:qFormat/>
    <w:uiPriority w:val="0"/>
    <w:pPr>
      <w:widowControl/>
      <w:spacing w:before="120" w:after="120" w:line="360" w:lineRule="auto"/>
      <w:ind w:firstLine="480" w:firstLineChars="200"/>
      <w:jc w:val="left"/>
    </w:pPr>
    <w:rPr>
      <w:rFonts w:ascii="宋体" w:hAnsi="宋体"/>
      <w:kern w:val="0"/>
      <w:sz w:val="24"/>
    </w:rPr>
  </w:style>
  <w:style w:type="character" w:customStyle="1" w:styleId="431">
    <w:name w:val="样式 首行缩进:  0 字符 Char"/>
    <w:qFormat/>
    <w:uiPriority w:val="0"/>
    <w:rPr>
      <w:rFonts w:ascii="Times New Roman" w:hAnsi="Times New Roman" w:eastAsia="宋体" w:cs="Times New Roman"/>
      <w:kern w:val="0"/>
      <w:sz w:val="20"/>
      <w:szCs w:val="20"/>
    </w:rPr>
  </w:style>
  <w:style w:type="character" w:customStyle="1" w:styleId="432">
    <w:name w:val="MM Topic 3 Char"/>
    <w:link w:val="433"/>
    <w:qFormat/>
    <w:uiPriority w:val="0"/>
    <w:rPr>
      <w:b/>
      <w:bCs/>
      <w:sz w:val="32"/>
      <w:szCs w:val="32"/>
    </w:rPr>
  </w:style>
  <w:style w:type="paragraph" w:customStyle="1" w:styleId="433">
    <w:name w:val="MM Topic 3"/>
    <w:basedOn w:val="4"/>
    <w:link w:val="432"/>
    <w:qFormat/>
    <w:uiPriority w:val="0"/>
    <w:pPr>
      <w:autoSpaceDE/>
      <w:autoSpaceDN/>
      <w:adjustRightInd/>
      <w:spacing w:before="260" w:after="260" w:line="416" w:lineRule="auto"/>
      <w:ind w:left="425" w:hanging="425"/>
    </w:pPr>
    <w:rPr>
      <w:rFonts w:ascii="Times New Roman" w:eastAsia="宋体"/>
      <w:b/>
      <w:bCs/>
      <w:sz w:val="32"/>
      <w:szCs w:val="32"/>
    </w:rPr>
  </w:style>
  <w:style w:type="character" w:customStyle="1" w:styleId="434">
    <w:name w:val="正文加黑 Char"/>
    <w:link w:val="435"/>
    <w:qFormat/>
    <w:uiPriority w:val="0"/>
    <w:rPr>
      <w:rFonts w:ascii="仿宋" w:hAnsi="仿宋" w:eastAsia="仿宋"/>
      <w:b/>
      <w:color w:val="000000"/>
      <w:sz w:val="28"/>
      <w:szCs w:val="28"/>
    </w:rPr>
  </w:style>
  <w:style w:type="paragraph" w:customStyle="1" w:styleId="435">
    <w:name w:val="正文加黑"/>
    <w:basedOn w:val="436"/>
    <w:link w:val="434"/>
    <w:qFormat/>
    <w:uiPriority w:val="0"/>
    <w:pPr>
      <w:widowControl w:val="0"/>
      <w:spacing w:beforeLines="50" w:afterLines="50" w:line="360" w:lineRule="auto"/>
      <w:ind w:firstLine="0" w:firstLineChars="0"/>
      <w:jc w:val="both"/>
    </w:pPr>
    <w:rPr>
      <w:rFonts w:ascii="仿宋" w:hAnsi="仿宋" w:eastAsia="仿宋" w:cs="Times New Roman"/>
      <w:b/>
      <w:color w:val="000000"/>
      <w:kern w:val="0"/>
      <w:sz w:val="28"/>
      <w:szCs w:val="28"/>
    </w:rPr>
  </w:style>
  <w:style w:type="paragraph" w:customStyle="1" w:styleId="436">
    <w:name w:val="￥正文"/>
    <w:basedOn w:val="1"/>
    <w:link w:val="495"/>
    <w:qFormat/>
    <w:uiPriority w:val="0"/>
    <w:pPr>
      <w:widowControl/>
      <w:ind w:firstLine="200" w:firstLineChars="200"/>
      <w:jc w:val="left"/>
    </w:pPr>
    <w:rPr>
      <w:rFonts w:asciiTheme="minorHAnsi" w:hAnsiTheme="minorHAnsi" w:eastAsiaTheme="minorEastAsia" w:cstheme="minorBidi"/>
      <w:szCs w:val="22"/>
    </w:rPr>
  </w:style>
  <w:style w:type="character" w:customStyle="1" w:styleId="437">
    <w:name w:val="普通(网站) Char"/>
    <w:link w:val="71"/>
    <w:qFormat/>
    <w:uiPriority w:val="99"/>
    <w:rPr>
      <w:rFonts w:ascii="ˎ̥" w:hAnsi="ˎ̥" w:cs="宋体"/>
      <w:sz w:val="24"/>
      <w:szCs w:val="24"/>
    </w:rPr>
  </w:style>
  <w:style w:type="character" w:customStyle="1" w:styleId="438">
    <w:name w:val="样式 1） 字符"/>
    <w:link w:val="439"/>
    <w:qFormat/>
    <w:uiPriority w:val="0"/>
    <w:rPr>
      <w:rFonts w:eastAsia="仿宋"/>
      <w:color w:val="000000"/>
      <w:sz w:val="28"/>
    </w:rPr>
  </w:style>
  <w:style w:type="paragraph" w:customStyle="1" w:styleId="439">
    <w:name w:val="样式 1）"/>
    <w:basedOn w:val="102"/>
    <w:link w:val="438"/>
    <w:qFormat/>
    <w:uiPriority w:val="0"/>
    <w:pPr>
      <w:spacing w:line="360" w:lineRule="auto"/>
      <w:ind w:left="837" w:firstLine="0" w:firstLineChars="0"/>
    </w:pPr>
    <w:rPr>
      <w:rFonts w:eastAsia="仿宋"/>
      <w:color w:val="000000"/>
      <w:kern w:val="0"/>
      <w:sz w:val="28"/>
      <w:szCs w:val="20"/>
    </w:rPr>
  </w:style>
  <w:style w:type="character" w:customStyle="1" w:styleId="440">
    <w:name w:val="图片格式 Char"/>
    <w:link w:val="441"/>
    <w:qFormat/>
    <w:uiPriority w:val="0"/>
    <w:rPr>
      <w:rFonts w:ascii="宋体" w:hAnsi="宋体"/>
      <w:sz w:val="24"/>
      <w:szCs w:val="24"/>
      <w:lang w:eastAsia="en-US" w:bidi="en-US"/>
    </w:rPr>
  </w:style>
  <w:style w:type="paragraph" w:customStyle="1" w:styleId="441">
    <w:name w:val="图片格式"/>
    <w:basedOn w:val="1"/>
    <w:link w:val="440"/>
    <w:qFormat/>
    <w:uiPriority w:val="0"/>
    <w:pPr>
      <w:spacing w:line="360" w:lineRule="auto"/>
      <w:contextualSpacing/>
      <w:jc w:val="center"/>
    </w:pPr>
    <w:rPr>
      <w:rFonts w:ascii="宋体" w:hAnsi="宋体"/>
      <w:kern w:val="0"/>
      <w:sz w:val="24"/>
      <w:lang w:eastAsia="en-US" w:bidi="en-US"/>
    </w:rPr>
  </w:style>
  <w:style w:type="character" w:customStyle="1" w:styleId="442">
    <w:name w:val="3级标题 Char"/>
    <w:link w:val="443"/>
    <w:qFormat/>
    <w:uiPriority w:val="0"/>
    <w:rPr>
      <w:rFonts w:ascii="黑体" w:hAnsi="黑体" w:eastAsia="黑体"/>
      <w:sz w:val="28"/>
      <w:szCs w:val="36"/>
      <w:lang w:eastAsia="en-US" w:bidi="en-US"/>
    </w:rPr>
  </w:style>
  <w:style w:type="paragraph" w:customStyle="1" w:styleId="443">
    <w:name w:val="3级标题"/>
    <w:basedOn w:val="102"/>
    <w:link w:val="442"/>
    <w:qFormat/>
    <w:uiPriority w:val="0"/>
    <w:pPr>
      <w:keepLines/>
      <w:tabs>
        <w:tab w:val="left" w:pos="360"/>
      </w:tabs>
      <w:spacing w:before="120" w:after="120" w:line="360" w:lineRule="auto"/>
      <w:ind w:firstLine="0" w:firstLineChars="0"/>
      <w:contextualSpacing/>
      <w:jc w:val="left"/>
      <w:outlineLvl w:val="2"/>
    </w:pPr>
    <w:rPr>
      <w:rFonts w:ascii="黑体" w:hAnsi="黑体" w:eastAsia="黑体"/>
      <w:kern w:val="0"/>
      <w:sz w:val="28"/>
      <w:szCs w:val="36"/>
      <w:lang w:eastAsia="en-US" w:bidi="en-US"/>
    </w:rPr>
  </w:style>
  <w:style w:type="paragraph" w:customStyle="1" w:styleId="444">
    <w:name w:val="6"/>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character" w:customStyle="1" w:styleId="445">
    <w:name w:val="【正文】 Char Char"/>
    <w:link w:val="446"/>
    <w:qFormat/>
    <w:uiPriority w:val="0"/>
    <w:rPr>
      <w:sz w:val="24"/>
    </w:rPr>
  </w:style>
  <w:style w:type="paragraph" w:customStyle="1" w:styleId="446">
    <w:name w:val="【正文】"/>
    <w:basedOn w:val="1"/>
    <w:link w:val="445"/>
    <w:qFormat/>
    <w:uiPriority w:val="0"/>
    <w:pPr>
      <w:ind w:firstLine="480" w:firstLineChars="200"/>
      <w:jc w:val="left"/>
    </w:pPr>
    <w:rPr>
      <w:kern w:val="0"/>
      <w:sz w:val="24"/>
      <w:szCs w:val="20"/>
    </w:rPr>
  </w:style>
  <w:style w:type="character" w:customStyle="1" w:styleId="447">
    <w:name w:val="List Paragraph Char Char"/>
    <w:qFormat/>
    <w:locked/>
    <w:uiPriority w:val="0"/>
    <w:rPr>
      <w:rFonts w:ascii="Times New Roman" w:hAnsi="Times New Roman" w:eastAsia="宋体" w:cs="Times New Roman"/>
      <w:szCs w:val="24"/>
    </w:rPr>
  </w:style>
  <w:style w:type="character" w:customStyle="1" w:styleId="448">
    <w:name w:val="MM Title Char"/>
    <w:link w:val="449"/>
    <w:qFormat/>
    <w:uiPriority w:val="0"/>
    <w:rPr>
      <w:rFonts w:ascii="Cambria" w:hAnsi="Cambria"/>
      <w:b/>
      <w:bCs/>
      <w:sz w:val="32"/>
      <w:szCs w:val="32"/>
    </w:rPr>
  </w:style>
  <w:style w:type="paragraph" w:customStyle="1" w:styleId="449">
    <w:name w:val="MM Title"/>
    <w:basedOn w:val="74"/>
    <w:link w:val="448"/>
    <w:qFormat/>
    <w:uiPriority w:val="0"/>
    <w:pPr>
      <w:spacing w:line="360" w:lineRule="auto"/>
      <w:ind w:firstLine="200" w:firstLineChars="200"/>
    </w:pPr>
    <w:rPr>
      <w:kern w:val="0"/>
    </w:rPr>
  </w:style>
  <w:style w:type="character" w:customStyle="1" w:styleId="450">
    <w:name w:val="页码1"/>
    <w:basedOn w:val="80"/>
    <w:qFormat/>
    <w:uiPriority w:val="0"/>
  </w:style>
  <w:style w:type="character" w:customStyle="1" w:styleId="451">
    <w:name w:val="样式11 Char"/>
    <w:link w:val="452"/>
    <w:qFormat/>
    <w:uiPriority w:val="99"/>
    <w:rPr>
      <w:rFonts w:ascii="宋体" w:hAnsi="宋体" w:eastAsia="黑体"/>
      <w:b/>
      <w:bCs/>
      <w:sz w:val="28"/>
      <w:szCs w:val="28"/>
    </w:rPr>
  </w:style>
  <w:style w:type="paragraph" w:customStyle="1" w:styleId="452">
    <w:name w:val="样式11"/>
    <w:basedOn w:val="6"/>
    <w:link w:val="451"/>
    <w:qFormat/>
    <w:uiPriority w:val="99"/>
    <w:pPr>
      <w:keepLines/>
      <w:spacing w:before="280" w:after="290" w:line="376" w:lineRule="auto"/>
      <w:ind w:left="420" w:hanging="420"/>
    </w:pPr>
    <w:rPr>
      <w:rFonts w:ascii="宋体" w:hAnsi="宋体" w:eastAsia="黑体"/>
      <w:b/>
      <w:bCs/>
      <w:kern w:val="0"/>
      <w:szCs w:val="28"/>
    </w:rPr>
  </w:style>
  <w:style w:type="character" w:customStyle="1" w:styleId="453">
    <w:name w:val="表格正文 Char"/>
    <w:link w:val="454"/>
    <w:qFormat/>
    <w:uiPriority w:val="0"/>
    <w:rPr>
      <w:rFonts w:ascii="Arial" w:hAnsi="Arial"/>
      <w:sz w:val="22"/>
      <w:lang w:eastAsia="en-US"/>
    </w:rPr>
  </w:style>
  <w:style w:type="paragraph" w:customStyle="1" w:styleId="454">
    <w:name w:val="表格正文"/>
    <w:link w:val="453"/>
    <w:qFormat/>
    <w:uiPriority w:val="0"/>
    <w:rPr>
      <w:rFonts w:ascii="Arial" w:hAnsi="Arial" w:eastAsia="宋体" w:cs="Times New Roman"/>
      <w:sz w:val="22"/>
      <w:lang w:val="en-US" w:eastAsia="en-US" w:bidi="ar-SA"/>
    </w:rPr>
  </w:style>
  <w:style w:type="character" w:customStyle="1" w:styleId="455">
    <w:name w:val="样式 新宋体 小四"/>
    <w:qFormat/>
    <w:uiPriority w:val="0"/>
    <w:rPr>
      <w:rFonts w:hint="eastAsia" w:ascii="新宋体" w:hAnsi="新宋体" w:eastAsia="新宋体"/>
      <w:sz w:val="24"/>
      <w:u w:val="single"/>
    </w:rPr>
  </w:style>
  <w:style w:type="character" w:customStyle="1" w:styleId="456">
    <w:name w:val="表 字符"/>
    <w:link w:val="457"/>
    <w:qFormat/>
    <w:uiPriority w:val="0"/>
    <w:rPr>
      <w:rFonts w:eastAsia="黑体" w:cs="Arial"/>
      <w:b/>
      <w:bCs/>
      <w:szCs w:val="24"/>
    </w:rPr>
  </w:style>
  <w:style w:type="paragraph" w:customStyle="1" w:styleId="457">
    <w:name w:val="表"/>
    <w:basedOn w:val="20"/>
    <w:link w:val="456"/>
    <w:qFormat/>
    <w:uiPriority w:val="0"/>
    <w:pPr>
      <w:spacing w:line="360" w:lineRule="auto"/>
      <w:jc w:val="center"/>
    </w:pPr>
    <w:rPr>
      <w:rFonts w:ascii="Times New Roman" w:hAnsi="Times New Roman" w:cs="Arial"/>
      <w:b/>
      <w:bCs/>
      <w:kern w:val="0"/>
      <w:szCs w:val="24"/>
    </w:rPr>
  </w:style>
  <w:style w:type="character" w:customStyle="1" w:styleId="458">
    <w:name w:val="样式 样式 首行缩进:  2 字符 + Arial Char"/>
    <w:link w:val="459"/>
    <w:qFormat/>
    <w:uiPriority w:val="0"/>
    <w:rPr>
      <w:rFonts w:ascii="Arial" w:hAnsi="Arial" w:cs="宋体"/>
      <w:sz w:val="24"/>
      <w:szCs w:val="28"/>
    </w:rPr>
  </w:style>
  <w:style w:type="paragraph" w:customStyle="1" w:styleId="459">
    <w:name w:val="样式 样式 首行缩进:  2 字符 + Arial"/>
    <w:basedOn w:val="1"/>
    <w:link w:val="458"/>
    <w:qFormat/>
    <w:uiPriority w:val="0"/>
    <w:pPr>
      <w:spacing w:line="360" w:lineRule="auto"/>
      <w:ind w:firstLine="200" w:firstLineChars="200"/>
    </w:pPr>
    <w:rPr>
      <w:rFonts w:ascii="Arial" w:hAnsi="Arial" w:cs="宋体"/>
      <w:kern w:val="0"/>
      <w:sz w:val="24"/>
      <w:szCs w:val="28"/>
    </w:rPr>
  </w:style>
  <w:style w:type="character" w:customStyle="1" w:styleId="460">
    <w:name w:val="my正文 Char Char"/>
    <w:link w:val="461"/>
    <w:qFormat/>
    <w:locked/>
    <w:uiPriority w:val="0"/>
    <w:rPr>
      <w:rFonts w:ascii="宋体" w:hAnsi="宋体" w:cs="宋体"/>
      <w:sz w:val="24"/>
      <w:szCs w:val="28"/>
    </w:rPr>
  </w:style>
  <w:style w:type="paragraph" w:customStyle="1" w:styleId="461">
    <w:name w:val="my正文"/>
    <w:basedOn w:val="1"/>
    <w:link w:val="460"/>
    <w:qFormat/>
    <w:uiPriority w:val="0"/>
    <w:pPr>
      <w:widowControl/>
      <w:spacing w:before="120" w:after="120" w:line="360" w:lineRule="auto"/>
      <w:ind w:firstLine="566" w:firstLineChars="236"/>
      <w:jc w:val="left"/>
    </w:pPr>
    <w:rPr>
      <w:rFonts w:ascii="宋体" w:hAnsi="宋体" w:cs="宋体"/>
      <w:kern w:val="0"/>
      <w:sz w:val="24"/>
      <w:szCs w:val="28"/>
    </w:rPr>
  </w:style>
  <w:style w:type="character" w:customStyle="1" w:styleId="462">
    <w:name w:val="MM Topic 1 Char"/>
    <w:link w:val="463"/>
    <w:qFormat/>
    <w:uiPriority w:val="0"/>
    <w:rPr>
      <w:b/>
      <w:bCs/>
      <w:kern w:val="44"/>
      <w:sz w:val="44"/>
      <w:szCs w:val="44"/>
    </w:rPr>
  </w:style>
  <w:style w:type="paragraph" w:customStyle="1" w:styleId="463">
    <w:name w:val="MM Topic 1"/>
    <w:basedOn w:val="2"/>
    <w:link w:val="462"/>
    <w:qFormat/>
    <w:uiPriority w:val="0"/>
    <w:pPr>
      <w:ind w:left="840" w:hanging="420"/>
    </w:pPr>
  </w:style>
  <w:style w:type="character" w:customStyle="1" w:styleId="464">
    <w:name w:val="Item List Char"/>
    <w:link w:val="465"/>
    <w:qFormat/>
    <w:uiPriority w:val="0"/>
    <w:rPr>
      <w:rFonts w:ascii="Arial" w:hAnsi="Arial" w:cs="Arial" w:eastAsiaTheme="minorEastAsia"/>
      <w:kern w:val="2"/>
      <w:sz w:val="21"/>
      <w:szCs w:val="21"/>
      <w:shd w:val="clear" w:color="000000" w:fill="auto"/>
    </w:rPr>
  </w:style>
  <w:style w:type="paragraph" w:customStyle="1" w:styleId="465">
    <w:name w:val="Item List"/>
    <w:link w:val="464"/>
    <w:qFormat/>
    <w:uiPriority w:val="0"/>
    <w:pPr>
      <w:numPr>
        <w:ilvl w:val="0"/>
        <w:numId w:val="19"/>
      </w:numPr>
      <w:shd w:val="clear" w:color="000000" w:fill="auto"/>
      <w:tabs>
        <w:tab w:val="left" w:pos="851"/>
        <w:tab w:val="left" w:pos="1644"/>
      </w:tabs>
      <w:spacing w:line="300" w:lineRule="auto"/>
      <w:jc w:val="both"/>
    </w:pPr>
    <w:rPr>
      <w:rFonts w:ascii="Arial" w:hAnsi="Arial" w:cs="Arial" w:eastAsiaTheme="minorEastAsia"/>
      <w:kern w:val="2"/>
      <w:sz w:val="21"/>
      <w:szCs w:val="21"/>
      <w:lang w:val="en-US" w:eastAsia="zh-CN" w:bidi="ar-SA"/>
    </w:rPr>
  </w:style>
  <w:style w:type="character" w:customStyle="1" w:styleId="466">
    <w:name w:val="正文文本样式 Char"/>
    <w:link w:val="467"/>
    <w:qFormat/>
    <w:uiPriority w:val="0"/>
    <w:rPr>
      <w:sz w:val="24"/>
    </w:rPr>
  </w:style>
  <w:style w:type="paragraph" w:customStyle="1" w:styleId="467">
    <w:name w:val="正文文本样式"/>
    <w:link w:val="466"/>
    <w:qFormat/>
    <w:uiPriority w:val="0"/>
    <w:pPr>
      <w:spacing w:line="360" w:lineRule="auto"/>
      <w:ind w:firstLine="200" w:firstLineChars="200"/>
    </w:pPr>
    <w:rPr>
      <w:rFonts w:ascii="Times New Roman" w:hAnsi="Times New Roman" w:eastAsia="宋体" w:cs="Times New Roman"/>
      <w:sz w:val="24"/>
      <w:lang w:val="en-US" w:eastAsia="zh-CN" w:bidi="ar-SA"/>
    </w:rPr>
  </w:style>
  <w:style w:type="character" w:customStyle="1" w:styleId="468">
    <w:name w:val="引用 Char1"/>
    <w:qFormat/>
    <w:uiPriority w:val="0"/>
    <w:rPr>
      <w:i/>
      <w:iCs/>
      <w:color w:val="000000"/>
      <w:kern w:val="2"/>
      <w:sz w:val="21"/>
      <w:szCs w:val="24"/>
    </w:rPr>
  </w:style>
  <w:style w:type="character" w:customStyle="1" w:styleId="469">
    <w:name w:val="样式 表格 字符"/>
    <w:link w:val="470"/>
    <w:qFormat/>
    <w:uiPriority w:val="0"/>
    <w:rPr>
      <w:rFonts w:eastAsia="仿宋"/>
      <w:szCs w:val="21"/>
    </w:rPr>
  </w:style>
  <w:style w:type="paragraph" w:customStyle="1" w:styleId="470">
    <w:name w:val="样式 表格"/>
    <w:basedOn w:val="1"/>
    <w:link w:val="469"/>
    <w:qFormat/>
    <w:uiPriority w:val="0"/>
    <w:pPr>
      <w:spacing w:line="360" w:lineRule="auto"/>
    </w:pPr>
    <w:rPr>
      <w:rFonts w:eastAsia="仿宋"/>
      <w:kern w:val="0"/>
      <w:sz w:val="20"/>
      <w:szCs w:val="21"/>
    </w:rPr>
  </w:style>
  <w:style w:type="character" w:customStyle="1" w:styleId="471">
    <w:name w:val="样式（1） 字符"/>
    <w:link w:val="472"/>
    <w:qFormat/>
    <w:uiPriority w:val="0"/>
    <w:rPr>
      <w:rFonts w:eastAsia="仿宋"/>
      <w:sz w:val="28"/>
    </w:rPr>
  </w:style>
  <w:style w:type="paragraph" w:customStyle="1" w:styleId="472">
    <w:name w:val="样式（1）"/>
    <w:basedOn w:val="102"/>
    <w:link w:val="471"/>
    <w:qFormat/>
    <w:uiPriority w:val="0"/>
    <w:pPr>
      <w:spacing w:line="360" w:lineRule="auto"/>
      <w:ind w:firstLine="0" w:firstLineChars="0"/>
    </w:pPr>
    <w:rPr>
      <w:rFonts w:eastAsia="仿宋"/>
      <w:kern w:val="0"/>
      <w:sz w:val="28"/>
      <w:szCs w:val="20"/>
    </w:rPr>
  </w:style>
  <w:style w:type="character" w:customStyle="1" w:styleId="473">
    <w:name w:val="正文（标书） Char"/>
    <w:link w:val="474"/>
    <w:qFormat/>
    <w:uiPriority w:val="0"/>
    <w:rPr>
      <w:sz w:val="24"/>
      <w:szCs w:val="24"/>
    </w:rPr>
  </w:style>
  <w:style w:type="paragraph" w:customStyle="1" w:styleId="474">
    <w:name w:val="正文（标书）"/>
    <w:basedOn w:val="1"/>
    <w:link w:val="473"/>
    <w:qFormat/>
    <w:uiPriority w:val="0"/>
    <w:pPr>
      <w:spacing w:line="360" w:lineRule="auto"/>
      <w:ind w:firstLine="420"/>
    </w:pPr>
    <w:rPr>
      <w:kern w:val="0"/>
      <w:sz w:val="24"/>
    </w:rPr>
  </w:style>
  <w:style w:type="character" w:customStyle="1" w:styleId="475">
    <w:name w:val="正式格式 Char"/>
    <w:link w:val="476"/>
    <w:qFormat/>
    <w:uiPriority w:val="0"/>
    <w:rPr>
      <w:sz w:val="24"/>
      <w:szCs w:val="24"/>
    </w:rPr>
  </w:style>
  <w:style w:type="paragraph" w:customStyle="1" w:styleId="476">
    <w:name w:val="正式格式"/>
    <w:basedOn w:val="1"/>
    <w:link w:val="475"/>
    <w:qFormat/>
    <w:uiPriority w:val="0"/>
    <w:pPr>
      <w:spacing w:line="360" w:lineRule="auto"/>
      <w:ind w:firstLine="200" w:firstLineChars="200"/>
    </w:pPr>
    <w:rPr>
      <w:kern w:val="0"/>
      <w:sz w:val="24"/>
    </w:rPr>
  </w:style>
  <w:style w:type="character" w:customStyle="1" w:styleId="477">
    <w:name w:val="*正文 Char Char"/>
    <w:qFormat/>
    <w:uiPriority w:val="0"/>
    <w:rPr>
      <w:rFonts w:ascii="宋体" w:hAnsi="宋体"/>
      <w:szCs w:val="24"/>
    </w:rPr>
  </w:style>
  <w:style w:type="character" w:customStyle="1" w:styleId="478">
    <w:name w:val="引用 Char"/>
    <w:link w:val="479"/>
    <w:qFormat/>
    <w:uiPriority w:val="0"/>
    <w:rPr>
      <w:i/>
      <w:iCs/>
      <w:color w:val="000000"/>
      <w:sz w:val="22"/>
    </w:rPr>
  </w:style>
  <w:style w:type="paragraph" w:styleId="479">
    <w:name w:val="Quote"/>
    <w:basedOn w:val="1"/>
    <w:next w:val="1"/>
    <w:link w:val="478"/>
    <w:qFormat/>
    <w:uiPriority w:val="0"/>
    <w:pPr>
      <w:widowControl/>
      <w:spacing w:after="200" w:line="276" w:lineRule="auto"/>
      <w:jc w:val="left"/>
    </w:pPr>
    <w:rPr>
      <w:i/>
      <w:iCs/>
      <w:color w:val="000000"/>
      <w:kern w:val="0"/>
      <w:sz w:val="22"/>
      <w:szCs w:val="20"/>
    </w:rPr>
  </w:style>
  <w:style w:type="character" w:customStyle="1" w:styleId="480">
    <w:name w:val="引用 Char2"/>
    <w:basedOn w:val="80"/>
    <w:qFormat/>
    <w:uiPriority w:val="29"/>
    <w:rPr>
      <w:i/>
      <w:iCs/>
      <w:color w:val="000000" w:themeColor="text1"/>
      <w:kern w:val="2"/>
      <w:sz w:val="21"/>
      <w:szCs w:val="24"/>
      <w14:textFill>
        <w14:solidFill>
          <w14:schemeClr w14:val="tx1"/>
        </w14:solidFill>
      </w14:textFill>
    </w:rPr>
  </w:style>
  <w:style w:type="character" w:customStyle="1" w:styleId="481">
    <w:name w:val="正文（首行缩进两字） Char Char Char"/>
    <w:qFormat/>
    <w:locked/>
    <w:uiPriority w:val="0"/>
    <w:rPr>
      <w:rFonts w:ascii="宋体" w:hAnsi="宋体" w:eastAsia="宋体"/>
      <w:kern w:val="2"/>
      <w:sz w:val="24"/>
      <w:szCs w:val="24"/>
      <w:lang w:val="en-US" w:eastAsia="zh-CN" w:bidi="ar-SA"/>
    </w:rPr>
  </w:style>
  <w:style w:type="character" w:customStyle="1" w:styleId="482">
    <w:name w:val="【正文】 Char"/>
    <w:qFormat/>
    <w:uiPriority w:val="0"/>
    <w:rPr>
      <w:rFonts w:ascii="Times New Roman" w:hAnsi="Times New Roman" w:eastAsia="宋体" w:cs="Times New Roman"/>
      <w:kern w:val="0"/>
      <w:sz w:val="24"/>
    </w:rPr>
  </w:style>
  <w:style w:type="character" w:customStyle="1" w:styleId="483">
    <w:name w:val="脚注文本 Char1"/>
    <w:qFormat/>
    <w:uiPriority w:val="99"/>
    <w:rPr>
      <w:kern w:val="2"/>
      <w:sz w:val="18"/>
      <w:szCs w:val="18"/>
    </w:rPr>
  </w:style>
  <w:style w:type="character" w:customStyle="1" w:styleId="484">
    <w:name w:val="尖角符号样式 Char Char"/>
    <w:link w:val="485"/>
    <w:qFormat/>
    <w:uiPriority w:val="0"/>
    <w:rPr>
      <w:rFonts w:ascii="Arial" w:hAnsi="Arial" w:cs="宋体"/>
      <w:sz w:val="24"/>
    </w:rPr>
  </w:style>
  <w:style w:type="paragraph" w:customStyle="1" w:styleId="485">
    <w:name w:val="尖角符号样式"/>
    <w:basedOn w:val="1"/>
    <w:link w:val="484"/>
    <w:qFormat/>
    <w:uiPriority w:val="0"/>
    <w:pPr>
      <w:jc w:val="left"/>
    </w:pPr>
    <w:rPr>
      <w:rFonts w:ascii="Arial" w:hAnsi="Arial" w:cs="宋体"/>
      <w:kern w:val="0"/>
      <w:sz w:val="24"/>
      <w:szCs w:val="20"/>
    </w:rPr>
  </w:style>
  <w:style w:type="character" w:customStyle="1" w:styleId="486">
    <w:name w:val="正文ll Char"/>
    <w:link w:val="487"/>
    <w:qFormat/>
    <w:uiPriority w:val="0"/>
    <w:rPr>
      <w:sz w:val="24"/>
      <w:szCs w:val="24"/>
    </w:rPr>
  </w:style>
  <w:style w:type="paragraph" w:customStyle="1" w:styleId="487">
    <w:name w:val="正文ll"/>
    <w:basedOn w:val="1"/>
    <w:link w:val="486"/>
    <w:qFormat/>
    <w:uiPriority w:val="0"/>
    <w:pPr>
      <w:widowControl/>
      <w:spacing w:before="120" w:after="120" w:line="360" w:lineRule="auto"/>
      <w:ind w:firstLine="480" w:firstLineChars="200"/>
      <w:jc w:val="left"/>
    </w:pPr>
    <w:rPr>
      <w:kern w:val="0"/>
      <w:sz w:val="24"/>
    </w:rPr>
  </w:style>
  <w:style w:type="character" w:customStyle="1" w:styleId="488">
    <w:name w:val="MM Topic 4 Char"/>
    <w:link w:val="489"/>
    <w:qFormat/>
    <w:uiPriority w:val="0"/>
    <w:rPr>
      <w:rFonts w:ascii="Cambria" w:hAnsi="Cambria"/>
      <w:b/>
      <w:bCs/>
      <w:sz w:val="28"/>
      <w:szCs w:val="28"/>
    </w:rPr>
  </w:style>
  <w:style w:type="paragraph" w:customStyle="1" w:styleId="489">
    <w:name w:val="MM Topic 4"/>
    <w:basedOn w:val="6"/>
    <w:link w:val="488"/>
    <w:qFormat/>
    <w:uiPriority w:val="0"/>
    <w:pPr>
      <w:keepLines/>
      <w:spacing w:before="280" w:after="290" w:line="376" w:lineRule="auto"/>
      <w:ind w:left="2240" w:hanging="420"/>
    </w:pPr>
    <w:rPr>
      <w:rFonts w:ascii="Cambria" w:hAnsi="Cambria"/>
      <w:b/>
      <w:bCs/>
      <w:kern w:val="0"/>
      <w:szCs w:val="28"/>
    </w:rPr>
  </w:style>
  <w:style w:type="character" w:customStyle="1" w:styleId="490">
    <w:name w:val="正文2 Char Char"/>
    <w:qFormat/>
    <w:uiPriority w:val="0"/>
    <w:rPr>
      <w:rFonts w:ascii="楷体_GB2312" w:eastAsia="楷体_GB2312"/>
      <w:sz w:val="24"/>
    </w:rPr>
  </w:style>
  <w:style w:type="character" w:customStyle="1" w:styleId="491">
    <w:name w:val="4号正文 Char Char"/>
    <w:link w:val="492"/>
    <w:qFormat/>
    <w:uiPriority w:val="0"/>
    <w:rPr>
      <w:rFonts w:ascii="Arial" w:hAnsi="Arial"/>
      <w:spacing w:val="6"/>
      <w:sz w:val="24"/>
      <w:szCs w:val="28"/>
    </w:rPr>
  </w:style>
  <w:style w:type="paragraph" w:customStyle="1" w:styleId="492">
    <w:name w:val="4号正文"/>
    <w:basedOn w:val="5"/>
    <w:link w:val="491"/>
    <w:qFormat/>
    <w:uiPriority w:val="0"/>
    <w:pPr>
      <w:widowControl/>
      <w:autoSpaceDE/>
      <w:autoSpaceDN/>
      <w:adjustRightInd/>
      <w:spacing w:before="30" w:line="240" w:lineRule="auto"/>
      <w:ind w:firstLine="200" w:firstLineChars="200"/>
    </w:pPr>
    <w:rPr>
      <w:rFonts w:ascii="Arial" w:hAnsi="Arial" w:eastAsia="宋体"/>
      <w:spacing w:val="6"/>
      <w:sz w:val="24"/>
      <w:szCs w:val="28"/>
    </w:rPr>
  </w:style>
  <w:style w:type="character" w:customStyle="1" w:styleId="493">
    <w:name w:val="正文-2字符首行缩进 Char Char"/>
    <w:link w:val="494"/>
    <w:qFormat/>
    <w:uiPriority w:val="0"/>
    <w:rPr>
      <w:rFonts w:ascii="仿宋_GB2312" w:eastAsia="仿宋"/>
      <w:sz w:val="24"/>
    </w:rPr>
  </w:style>
  <w:style w:type="paragraph" w:customStyle="1" w:styleId="494">
    <w:name w:val="正文-2字符首行缩进"/>
    <w:basedOn w:val="1"/>
    <w:link w:val="493"/>
    <w:qFormat/>
    <w:uiPriority w:val="0"/>
    <w:pPr>
      <w:ind w:firstLine="200" w:firstLineChars="200"/>
      <w:jc w:val="left"/>
    </w:pPr>
    <w:rPr>
      <w:rFonts w:ascii="仿宋_GB2312" w:eastAsia="仿宋"/>
      <w:kern w:val="0"/>
      <w:sz w:val="24"/>
      <w:szCs w:val="20"/>
    </w:rPr>
  </w:style>
  <w:style w:type="character" w:customStyle="1" w:styleId="495">
    <w:name w:val="￥正文 Char Char"/>
    <w:link w:val="436"/>
    <w:qFormat/>
    <w:uiPriority w:val="0"/>
    <w:rPr>
      <w:rFonts w:asciiTheme="minorHAnsi" w:hAnsiTheme="minorHAnsi" w:eastAsiaTheme="minorEastAsia" w:cstheme="minorBidi"/>
      <w:kern w:val="2"/>
      <w:sz w:val="21"/>
      <w:szCs w:val="22"/>
    </w:rPr>
  </w:style>
  <w:style w:type="character" w:customStyle="1" w:styleId="496">
    <w:name w:val="明显强调2"/>
    <w:qFormat/>
    <w:uiPriority w:val="0"/>
    <w:rPr>
      <w:rFonts w:eastAsia="仿宋_GB2312"/>
      <w:bCs/>
      <w:iCs/>
      <w:color w:val="auto"/>
      <w:sz w:val="32"/>
    </w:rPr>
  </w:style>
  <w:style w:type="character" w:customStyle="1" w:styleId="497">
    <w:name w:val="正文（小四） Char"/>
    <w:link w:val="498"/>
    <w:qFormat/>
    <w:uiPriority w:val="0"/>
    <w:rPr>
      <w:rFonts w:ascii="仿宋_GB2312"/>
      <w:sz w:val="24"/>
      <w:szCs w:val="32"/>
    </w:rPr>
  </w:style>
  <w:style w:type="paragraph" w:customStyle="1" w:styleId="498">
    <w:name w:val="正文（小四）"/>
    <w:basedOn w:val="1"/>
    <w:link w:val="497"/>
    <w:qFormat/>
    <w:uiPriority w:val="0"/>
    <w:pPr>
      <w:spacing w:line="360" w:lineRule="auto"/>
      <w:ind w:firstLine="640" w:firstLineChars="200"/>
    </w:pPr>
    <w:rPr>
      <w:rFonts w:ascii="仿宋_GB2312"/>
      <w:kern w:val="0"/>
      <w:sz w:val="24"/>
      <w:szCs w:val="32"/>
    </w:rPr>
  </w:style>
  <w:style w:type="character" w:customStyle="1" w:styleId="499">
    <w:name w:val="标准正文 Char"/>
    <w:link w:val="380"/>
    <w:qFormat/>
    <w:locked/>
    <w:uiPriority w:val="0"/>
    <w:rPr>
      <w:sz w:val="24"/>
      <w:szCs w:val="24"/>
    </w:rPr>
  </w:style>
  <w:style w:type="character" w:customStyle="1" w:styleId="500">
    <w:name w:val="编号，小四 Char"/>
    <w:qFormat/>
    <w:uiPriority w:val="0"/>
    <w:rPr>
      <w:rFonts w:ascii="Arial" w:hAnsi="Arial" w:cs="宋体"/>
      <w:sz w:val="24"/>
    </w:rPr>
  </w:style>
  <w:style w:type="character" w:customStyle="1" w:styleId="501">
    <w:name w:val="页码11"/>
    <w:basedOn w:val="80"/>
    <w:qFormat/>
    <w:uiPriority w:val="0"/>
  </w:style>
  <w:style w:type="character" w:customStyle="1" w:styleId="502">
    <w:name w:val="MM Topic 2 Char"/>
    <w:link w:val="503"/>
    <w:qFormat/>
    <w:uiPriority w:val="0"/>
    <w:rPr>
      <w:rFonts w:ascii="Cambria" w:hAnsi="Cambria"/>
      <w:b/>
      <w:bCs/>
      <w:sz w:val="32"/>
      <w:szCs w:val="32"/>
    </w:rPr>
  </w:style>
  <w:style w:type="paragraph" w:customStyle="1" w:styleId="503">
    <w:name w:val="MM Topic 2"/>
    <w:basedOn w:val="3"/>
    <w:link w:val="502"/>
    <w:qFormat/>
    <w:uiPriority w:val="0"/>
    <w:pPr>
      <w:ind w:left="425" w:hanging="425"/>
    </w:pPr>
    <w:rPr>
      <w:rFonts w:ascii="Cambria" w:hAnsi="Cambria" w:eastAsia="宋体"/>
      <w:kern w:val="0"/>
    </w:rPr>
  </w:style>
  <w:style w:type="character" w:customStyle="1" w:styleId="504">
    <w:name w:val="表格非标题文字 Char Char"/>
    <w:link w:val="505"/>
    <w:qFormat/>
    <w:uiPriority w:val="0"/>
    <w:rPr>
      <w:rFonts w:ascii="Arial" w:hAnsi="Arial"/>
      <w:sz w:val="18"/>
      <w:szCs w:val="21"/>
    </w:rPr>
  </w:style>
  <w:style w:type="paragraph" w:customStyle="1" w:styleId="505">
    <w:name w:val="表格非标题文字"/>
    <w:link w:val="504"/>
    <w:qFormat/>
    <w:uiPriority w:val="0"/>
    <w:pPr>
      <w:snapToGrid w:val="0"/>
      <w:spacing w:before="80" w:after="40"/>
    </w:pPr>
    <w:rPr>
      <w:rFonts w:ascii="Arial" w:hAnsi="Arial" w:eastAsia="宋体" w:cs="Times New Roman"/>
      <w:sz w:val="18"/>
      <w:szCs w:val="21"/>
      <w:lang w:val="en-US" w:eastAsia="zh-CN" w:bidi="ar-SA"/>
    </w:rPr>
  </w:style>
  <w:style w:type="character" w:customStyle="1" w:styleId="506">
    <w:name w:val="正文样式1 Char"/>
    <w:link w:val="507"/>
    <w:qFormat/>
    <w:locked/>
    <w:uiPriority w:val="0"/>
    <w:rPr>
      <w:rFonts w:ascii="宋体"/>
      <w:sz w:val="24"/>
      <w:szCs w:val="24"/>
    </w:rPr>
  </w:style>
  <w:style w:type="paragraph" w:customStyle="1" w:styleId="507">
    <w:name w:val="正文样式1"/>
    <w:basedOn w:val="1"/>
    <w:link w:val="506"/>
    <w:qFormat/>
    <w:uiPriority w:val="0"/>
    <w:pPr>
      <w:widowControl/>
      <w:spacing w:before="120" w:after="120" w:line="440" w:lineRule="atLeast"/>
      <w:ind w:firstLine="480"/>
      <w:jc w:val="left"/>
    </w:pPr>
    <w:rPr>
      <w:rFonts w:ascii="宋体"/>
      <w:kern w:val="0"/>
      <w:sz w:val="24"/>
    </w:rPr>
  </w:style>
  <w:style w:type="character" w:customStyle="1" w:styleId="508">
    <w:name w:val="*正文 Char Char Char"/>
    <w:qFormat/>
    <w:uiPriority w:val="0"/>
    <w:rPr>
      <w:rFonts w:ascii="宋体" w:hAnsi="宋体" w:eastAsia="宋体" w:cs="Times New Roman"/>
      <w:sz w:val="22"/>
      <w:szCs w:val="24"/>
      <w:lang w:eastAsia="zh-CN"/>
    </w:rPr>
  </w:style>
  <w:style w:type="character" w:customStyle="1" w:styleId="509">
    <w:name w:val="WLWDB正文 Char"/>
    <w:link w:val="510"/>
    <w:qFormat/>
    <w:uiPriority w:val="0"/>
    <w:rPr>
      <w:rFonts w:ascii="Arial" w:hAnsi="Arial" w:cs="宋体"/>
      <w:sz w:val="28"/>
      <w:szCs w:val="28"/>
    </w:rPr>
  </w:style>
  <w:style w:type="paragraph" w:customStyle="1" w:styleId="510">
    <w:name w:val="WLWDB正文"/>
    <w:basedOn w:val="459"/>
    <w:link w:val="509"/>
    <w:qFormat/>
    <w:uiPriority w:val="0"/>
    <w:pPr>
      <w:ind w:firstLine="560"/>
    </w:pPr>
    <w:rPr>
      <w:sz w:val="28"/>
    </w:rPr>
  </w:style>
  <w:style w:type="character" w:customStyle="1" w:styleId="511">
    <w:name w:val="表格标题 字符"/>
    <w:link w:val="512"/>
    <w:qFormat/>
    <w:uiPriority w:val="0"/>
    <w:rPr>
      <w:rFonts w:ascii="Arial" w:hAnsi="Arial" w:eastAsia="黑体" w:cs="Arial"/>
      <w:kern w:val="18"/>
      <w:sz w:val="18"/>
    </w:rPr>
  </w:style>
  <w:style w:type="paragraph" w:customStyle="1" w:styleId="512">
    <w:name w:val="表格标题"/>
    <w:basedOn w:val="513"/>
    <w:link w:val="511"/>
    <w:qFormat/>
    <w:uiPriority w:val="0"/>
    <w:pPr>
      <w:tabs>
        <w:tab w:val="left" w:pos="284"/>
        <w:tab w:val="left" w:pos="425"/>
      </w:tabs>
    </w:pPr>
    <w:rPr>
      <w:rFonts w:ascii="Arial" w:hAnsi="Arial" w:eastAsia="黑体" w:cs="Arial"/>
      <w:szCs w:val="20"/>
    </w:rPr>
  </w:style>
  <w:style w:type="paragraph" w:customStyle="1" w:styleId="513">
    <w:name w:val="图例样式"/>
    <w:basedOn w:val="1"/>
    <w:qFormat/>
    <w:uiPriority w:val="0"/>
    <w:pPr>
      <w:tabs>
        <w:tab w:val="left" w:pos="284"/>
        <w:tab w:val="left" w:pos="425"/>
      </w:tabs>
      <w:adjustRightInd w:val="0"/>
      <w:snapToGrid w:val="0"/>
      <w:jc w:val="center"/>
      <w:textAlignment w:val="center"/>
    </w:pPr>
    <w:rPr>
      <w:rFonts w:ascii="Calibri" w:hAnsi="Calibri"/>
      <w:kern w:val="18"/>
      <w:sz w:val="18"/>
      <w:szCs w:val="22"/>
    </w:rPr>
  </w:style>
  <w:style w:type="character" w:customStyle="1" w:styleId="514">
    <w:name w:val="MM Topic 5 Char"/>
    <w:link w:val="515"/>
    <w:qFormat/>
    <w:uiPriority w:val="0"/>
    <w:rPr>
      <w:b/>
      <w:bCs/>
      <w:sz w:val="28"/>
      <w:szCs w:val="28"/>
    </w:rPr>
  </w:style>
  <w:style w:type="paragraph" w:customStyle="1" w:styleId="515">
    <w:name w:val="MM Topic 5"/>
    <w:basedOn w:val="7"/>
    <w:link w:val="514"/>
    <w:qFormat/>
    <w:uiPriority w:val="0"/>
    <w:pPr>
      <w:ind w:left="2660" w:hanging="420"/>
    </w:pPr>
    <w:rPr>
      <w:kern w:val="0"/>
    </w:rPr>
  </w:style>
  <w:style w:type="character" w:customStyle="1" w:styleId="516">
    <w:name w:val="Default Char"/>
    <w:link w:val="130"/>
    <w:qFormat/>
    <w:uiPriority w:val="0"/>
    <w:rPr>
      <w:color w:val="000000"/>
      <w:sz w:val="24"/>
      <w:szCs w:val="24"/>
    </w:rPr>
  </w:style>
  <w:style w:type="character" w:customStyle="1" w:styleId="517">
    <w:name w:val="z-窗体底端 Char"/>
    <w:link w:val="518"/>
    <w:qFormat/>
    <w:uiPriority w:val="0"/>
    <w:rPr>
      <w:rFonts w:ascii="Arial" w:hAnsi="Arial"/>
      <w:vanish/>
      <w:sz w:val="16"/>
      <w:szCs w:val="16"/>
    </w:rPr>
  </w:style>
  <w:style w:type="paragraph" w:customStyle="1" w:styleId="518">
    <w:name w:val="z-窗体底端2"/>
    <w:basedOn w:val="1"/>
    <w:next w:val="1"/>
    <w:link w:val="517"/>
    <w:qFormat/>
    <w:uiPriority w:val="0"/>
    <w:pPr>
      <w:widowControl/>
      <w:pBdr>
        <w:top w:val="single" w:color="auto" w:sz="6" w:space="1"/>
      </w:pBdr>
      <w:jc w:val="center"/>
    </w:pPr>
    <w:rPr>
      <w:rFonts w:ascii="Arial" w:hAnsi="Arial"/>
      <w:vanish/>
      <w:kern w:val="0"/>
      <w:sz w:val="16"/>
      <w:szCs w:val="16"/>
    </w:rPr>
  </w:style>
  <w:style w:type="character" w:customStyle="1" w:styleId="519">
    <w:name w:val="QB正文 Char"/>
    <w:link w:val="520"/>
    <w:qFormat/>
    <w:uiPriority w:val="0"/>
    <w:rPr>
      <w:rFonts w:ascii="宋体"/>
      <w:sz w:val="24"/>
    </w:rPr>
  </w:style>
  <w:style w:type="paragraph" w:customStyle="1" w:styleId="520">
    <w:name w:val="QB正文"/>
    <w:basedOn w:val="1"/>
    <w:link w:val="519"/>
    <w:qFormat/>
    <w:uiPriority w:val="0"/>
    <w:pPr>
      <w:widowControl/>
      <w:autoSpaceDE w:val="0"/>
      <w:autoSpaceDN w:val="0"/>
      <w:spacing w:line="360" w:lineRule="auto"/>
      <w:ind w:firstLine="200" w:firstLineChars="200"/>
    </w:pPr>
    <w:rPr>
      <w:rFonts w:ascii="宋体"/>
      <w:kern w:val="0"/>
      <w:sz w:val="24"/>
      <w:szCs w:val="20"/>
    </w:rPr>
  </w:style>
  <w:style w:type="character" w:customStyle="1" w:styleId="521">
    <w:name w:val="图 字符"/>
    <w:qFormat/>
    <w:uiPriority w:val="0"/>
    <w:rPr>
      <w:rFonts w:ascii="Times New Roman" w:hAnsi="Times New Roman" w:eastAsia="黑体" w:cs="Times New Roman"/>
      <w:b/>
      <w:bCs/>
      <w:sz w:val="24"/>
      <w:szCs w:val="24"/>
    </w:rPr>
  </w:style>
  <w:style w:type="character" w:customStyle="1" w:styleId="522">
    <w:name w:val="自定义样式 正文 Char"/>
    <w:link w:val="523"/>
    <w:qFormat/>
    <w:uiPriority w:val="0"/>
    <w:rPr>
      <w:rFonts w:ascii="Arial" w:hAnsi="Arial" w:eastAsia="仿宋_GB2312"/>
      <w:bCs/>
      <w:sz w:val="24"/>
      <w:szCs w:val="24"/>
    </w:rPr>
  </w:style>
  <w:style w:type="paragraph" w:customStyle="1" w:styleId="523">
    <w:name w:val="自定义样式 正文"/>
    <w:basedOn w:val="1"/>
    <w:link w:val="522"/>
    <w:qFormat/>
    <w:uiPriority w:val="0"/>
    <w:pPr>
      <w:widowControl/>
      <w:spacing w:before="120" w:after="120" w:line="360" w:lineRule="auto"/>
      <w:ind w:firstLine="480" w:firstLineChars="200"/>
      <w:jc w:val="left"/>
    </w:pPr>
    <w:rPr>
      <w:rFonts w:ascii="Arial" w:hAnsi="Arial" w:eastAsia="仿宋_GB2312"/>
      <w:bCs/>
      <w:kern w:val="0"/>
      <w:sz w:val="24"/>
    </w:rPr>
  </w:style>
  <w:style w:type="paragraph" w:customStyle="1" w:styleId="524">
    <w:name w:val="样式 目录 5 + 左侧:  8 字符 首行缩进:  2 字符"/>
    <w:basedOn w:val="1"/>
    <w:next w:val="1"/>
    <w:qFormat/>
    <w:uiPriority w:val="0"/>
    <w:pPr>
      <w:ind w:firstLine="720" w:firstLineChars="300"/>
      <w:jc w:val="left"/>
    </w:pPr>
    <w:rPr>
      <w:rFonts w:ascii="Calibri" w:hAnsi="Calibri" w:cs="宋体"/>
      <w:kern w:val="0"/>
      <w:sz w:val="28"/>
    </w:rPr>
  </w:style>
  <w:style w:type="paragraph" w:customStyle="1" w:styleId="525">
    <w:name w:val="xw一般正文"/>
    <w:basedOn w:val="1"/>
    <w:qFormat/>
    <w:uiPriority w:val="0"/>
    <w:pPr>
      <w:ind w:firstLine="540" w:firstLineChars="225"/>
      <w:jc w:val="left"/>
    </w:pPr>
    <w:rPr>
      <w:rFonts w:ascii="宋体" w:hAnsi="宋体"/>
      <w:sz w:val="28"/>
      <w:szCs w:val="21"/>
    </w:rPr>
  </w:style>
  <w:style w:type="paragraph" w:customStyle="1" w:styleId="52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character" w:customStyle="1" w:styleId="527">
    <w:name w:val="电子邮件签名 Char1"/>
    <w:basedOn w:val="80"/>
    <w:semiHidden/>
    <w:qFormat/>
    <w:uiPriority w:val="99"/>
    <w:rPr>
      <w:rFonts w:ascii="Times New Roman" w:hAnsi="Times New Roman" w:eastAsia="宋体" w:cs="Times New Roman"/>
      <w:szCs w:val="24"/>
    </w:rPr>
  </w:style>
  <w:style w:type="character" w:customStyle="1" w:styleId="528">
    <w:name w:val="尾注文本 Char1"/>
    <w:basedOn w:val="80"/>
    <w:semiHidden/>
    <w:qFormat/>
    <w:uiPriority w:val="99"/>
    <w:rPr>
      <w:rFonts w:ascii="Times New Roman" w:hAnsi="Times New Roman" w:eastAsia="宋体" w:cs="Times New Roman"/>
      <w:szCs w:val="24"/>
    </w:rPr>
  </w:style>
  <w:style w:type="character" w:customStyle="1" w:styleId="529">
    <w:name w:val="脚注文本 Char2"/>
    <w:basedOn w:val="80"/>
    <w:semiHidden/>
    <w:qFormat/>
    <w:uiPriority w:val="99"/>
    <w:rPr>
      <w:sz w:val="18"/>
      <w:szCs w:val="18"/>
    </w:rPr>
  </w:style>
  <w:style w:type="paragraph" w:customStyle="1" w:styleId="530">
    <w:name w:val="Char1"/>
    <w:basedOn w:val="76"/>
    <w:qFormat/>
    <w:uiPriority w:val="0"/>
    <w:pPr>
      <w:spacing w:line="360" w:lineRule="auto"/>
      <w:ind w:firstLine="200" w:firstLineChars="200"/>
    </w:pPr>
    <w:rPr>
      <w:rFonts w:ascii="Tahoma" w:hAnsi="Tahoma"/>
      <w:sz w:val="36"/>
      <w:szCs w:val="36"/>
    </w:rPr>
  </w:style>
  <w:style w:type="character" w:customStyle="1" w:styleId="531">
    <w:name w:val="结束语 Char1"/>
    <w:basedOn w:val="80"/>
    <w:semiHidden/>
    <w:qFormat/>
    <w:uiPriority w:val="99"/>
    <w:rPr>
      <w:rFonts w:ascii="Times New Roman" w:hAnsi="Times New Roman" w:eastAsia="宋体" w:cs="Times New Roman"/>
      <w:szCs w:val="24"/>
    </w:rPr>
  </w:style>
  <w:style w:type="character" w:customStyle="1" w:styleId="532">
    <w:name w:val="签名 Char1"/>
    <w:basedOn w:val="80"/>
    <w:semiHidden/>
    <w:qFormat/>
    <w:uiPriority w:val="99"/>
    <w:rPr>
      <w:rFonts w:ascii="Times New Roman" w:hAnsi="Times New Roman" w:eastAsia="宋体" w:cs="Times New Roman"/>
      <w:szCs w:val="24"/>
    </w:rPr>
  </w:style>
  <w:style w:type="paragraph" w:customStyle="1" w:styleId="533">
    <w:name w:val="font7"/>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534">
    <w:name w:val="font8"/>
    <w:basedOn w:val="1"/>
    <w:qFormat/>
    <w:uiPriority w:val="0"/>
    <w:pPr>
      <w:widowControl/>
      <w:spacing w:before="100" w:beforeAutospacing="1" w:after="100" w:afterAutospacing="1"/>
      <w:jc w:val="left"/>
    </w:pPr>
    <w:rPr>
      <w:rFonts w:ascii="Calibri" w:hAnsi="Calibri"/>
      <w:kern w:val="0"/>
      <w:sz w:val="20"/>
      <w:szCs w:val="20"/>
    </w:rPr>
  </w:style>
  <w:style w:type="paragraph" w:customStyle="1" w:styleId="535">
    <w:name w:val="TOC 标题3"/>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536">
    <w:name w:val="HTML 地址 Char1"/>
    <w:basedOn w:val="80"/>
    <w:semiHidden/>
    <w:qFormat/>
    <w:uiPriority w:val="99"/>
    <w:rPr>
      <w:rFonts w:ascii="Times New Roman" w:hAnsi="Times New Roman" w:eastAsia="宋体" w:cs="Times New Roman"/>
      <w:i/>
      <w:iCs/>
      <w:szCs w:val="24"/>
    </w:rPr>
  </w:style>
  <w:style w:type="paragraph" w:customStyle="1" w:styleId="537">
    <w:name w:val="font9"/>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38">
    <w:name w:val="正文模板"/>
    <w:basedOn w:val="62"/>
    <w:qFormat/>
    <w:uiPriority w:val="0"/>
    <w:pPr>
      <w:spacing w:after="0" w:line="240" w:lineRule="auto"/>
      <w:ind w:firstLine="200" w:firstLineChars="200"/>
      <w:jc w:val="left"/>
    </w:pPr>
    <w:rPr>
      <w:rFonts w:ascii="Times" w:hAnsi="Times"/>
      <w:szCs w:val="24"/>
    </w:rPr>
  </w:style>
  <w:style w:type="paragraph" w:customStyle="1" w:styleId="539">
    <w:name w:val="正文G"/>
    <w:basedOn w:val="5"/>
    <w:qFormat/>
    <w:uiPriority w:val="99"/>
    <w:pPr>
      <w:autoSpaceDE/>
      <w:autoSpaceDN/>
      <w:adjustRightInd/>
      <w:spacing w:before="120" w:after="120" w:line="420" w:lineRule="auto"/>
      <w:ind w:firstLine="560"/>
    </w:pPr>
    <w:rPr>
      <w:rFonts w:ascii="仿宋_GB2312" w:hAnsi="宋体" w:eastAsia="仿宋_GB2312"/>
      <w:snapToGrid w:val="0"/>
      <w:szCs w:val="28"/>
    </w:rPr>
  </w:style>
  <w:style w:type="paragraph" w:customStyle="1" w:styleId="540">
    <w:name w:val="默认段落字体 Para Char Char Char Char"/>
    <w:basedOn w:val="1"/>
    <w:qFormat/>
    <w:uiPriority w:val="0"/>
    <w:pPr>
      <w:spacing w:line="240" w:lineRule="atLeast"/>
      <w:ind w:left="420" w:firstLine="420"/>
    </w:pPr>
    <w:rPr>
      <w:rFonts w:ascii="Calibri" w:hAnsi="Calibri"/>
      <w:szCs w:val="22"/>
    </w:rPr>
  </w:style>
  <w:style w:type="paragraph" w:customStyle="1" w:styleId="54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542">
    <w:name w:val="JS正文"/>
    <w:basedOn w:val="1"/>
    <w:qFormat/>
    <w:uiPriority w:val="0"/>
    <w:pPr>
      <w:widowControl/>
      <w:spacing w:after="160" w:line="360" w:lineRule="auto"/>
      <w:ind w:firstLine="420" w:firstLineChars="200"/>
      <w:jc w:val="left"/>
    </w:pPr>
    <w:rPr>
      <w:rFonts w:ascii="Calibri" w:hAnsi="Calibri"/>
      <w:kern w:val="0"/>
      <w:sz w:val="24"/>
      <w:lang w:eastAsia="en-US" w:bidi="en-US"/>
    </w:rPr>
  </w:style>
  <w:style w:type="paragraph" w:customStyle="1" w:styleId="543">
    <w:name w:val="默认段落字体 Para Char Char Char Char Char Char Char"/>
    <w:basedOn w:val="1"/>
    <w:qFormat/>
    <w:uiPriority w:val="0"/>
    <w:pPr>
      <w:tabs>
        <w:tab w:val="right" w:pos="-2120"/>
      </w:tabs>
      <w:snapToGrid w:val="0"/>
      <w:jc w:val="left"/>
    </w:pPr>
    <w:rPr>
      <w:rFonts w:ascii="Tahoma" w:hAnsi="Tahoma"/>
      <w:spacing w:val="6"/>
      <w:sz w:val="28"/>
      <w:szCs w:val="20"/>
    </w:rPr>
  </w:style>
  <w:style w:type="paragraph" w:customStyle="1" w:styleId="544">
    <w:name w:val="正文（首行缩进2字符）"/>
    <w:basedOn w:val="1"/>
    <w:qFormat/>
    <w:uiPriority w:val="0"/>
    <w:pPr>
      <w:ind w:firstLine="480" w:firstLineChars="200"/>
    </w:pPr>
    <w:rPr>
      <w:rFonts w:ascii="Calibri" w:hAnsi="Calibri"/>
      <w:sz w:val="24"/>
    </w:rPr>
  </w:style>
  <w:style w:type="paragraph" w:customStyle="1" w:styleId="545">
    <w:name w:val="【标题8】"/>
    <w:basedOn w:val="10"/>
    <w:qFormat/>
    <w:uiPriority w:val="99"/>
    <w:pPr>
      <w:snapToGrid w:val="0"/>
      <w:spacing w:beforeLines="100" w:afterLines="100" w:line="240" w:lineRule="auto"/>
      <w:ind w:left="4394" w:hanging="1418"/>
    </w:pPr>
    <w:rPr>
      <w:rFonts w:ascii="Calibri" w:hAnsi="Calibri"/>
      <w:b/>
      <w:sz w:val="28"/>
      <w:szCs w:val="28"/>
    </w:rPr>
  </w:style>
  <w:style w:type="paragraph" w:customStyle="1" w:styleId="546">
    <w:name w:val="xl64"/>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18"/>
      <w:szCs w:val="18"/>
    </w:rPr>
  </w:style>
  <w:style w:type="paragraph" w:customStyle="1" w:styleId="547">
    <w:name w:val="表格标题格式"/>
    <w:basedOn w:val="1"/>
    <w:qFormat/>
    <w:uiPriority w:val="0"/>
    <w:pPr>
      <w:spacing w:line="360" w:lineRule="auto"/>
      <w:jc w:val="center"/>
    </w:pPr>
    <w:rPr>
      <w:b/>
      <w:szCs w:val="22"/>
    </w:rPr>
  </w:style>
  <w:style w:type="paragraph" w:customStyle="1" w:styleId="548">
    <w:name w:val="北仑 【标题2】"/>
    <w:basedOn w:val="3"/>
    <w:qFormat/>
    <w:uiPriority w:val="99"/>
    <w:pPr>
      <w:snapToGrid w:val="0"/>
      <w:spacing w:beforeLines="100" w:afterLines="100" w:line="240" w:lineRule="auto"/>
      <w:ind w:left="1320" w:hanging="420"/>
    </w:pPr>
    <w:rPr>
      <w:rFonts w:ascii="Times New Roman" w:hAnsi="Times New Roman" w:eastAsia="宋体"/>
      <w:szCs w:val="36"/>
    </w:rPr>
  </w:style>
  <w:style w:type="paragraph" w:customStyle="1" w:styleId="549">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50">
    <w:name w:val="二级标题"/>
    <w:basedOn w:val="1"/>
    <w:next w:val="1"/>
    <w:qFormat/>
    <w:uiPriority w:val="0"/>
    <w:pPr>
      <w:outlineLvl w:val="1"/>
    </w:pPr>
    <w:rPr>
      <w:rFonts w:ascii="微软雅黑" w:hAnsi="微软雅黑" w:eastAsia="微软雅黑"/>
      <w:b/>
      <w:sz w:val="30"/>
      <w:szCs w:val="22"/>
    </w:rPr>
  </w:style>
  <w:style w:type="paragraph" w:customStyle="1" w:styleId="551">
    <w:name w:val="样式 标题 5 + 段前: 0.5 行"/>
    <w:basedOn w:val="7"/>
    <w:qFormat/>
    <w:uiPriority w:val="0"/>
    <w:pPr>
      <w:snapToGrid w:val="0"/>
      <w:spacing w:before="156" w:beforeLines="50" w:after="180" w:line="360" w:lineRule="auto"/>
      <w:ind w:left="1272" w:hanging="420"/>
      <w:jc w:val="left"/>
    </w:pPr>
    <w:rPr>
      <w:rFonts w:ascii="Arial" w:hAnsi="Arial" w:eastAsia="黑体" w:cs="宋体"/>
      <w:b w:val="0"/>
      <w:bCs w:val="0"/>
      <w:szCs w:val="20"/>
    </w:rPr>
  </w:style>
  <w:style w:type="paragraph" w:customStyle="1" w:styleId="552">
    <w:name w:val="xl50"/>
    <w:basedOn w:val="1"/>
    <w:qFormat/>
    <w:uiPriority w:val="0"/>
    <w:pPr>
      <w:widowControl/>
      <w:spacing w:before="100" w:beforeAutospacing="1" w:after="100" w:afterAutospacing="1"/>
      <w:jc w:val="center"/>
    </w:pPr>
    <w:rPr>
      <w:rFonts w:ascii="宋体" w:hAnsi="宋体"/>
      <w:kern w:val="0"/>
      <w:sz w:val="20"/>
      <w:szCs w:val="20"/>
    </w:rPr>
  </w:style>
  <w:style w:type="character" w:customStyle="1" w:styleId="553">
    <w:name w:val="正文文本 2 Char1"/>
    <w:basedOn w:val="80"/>
    <w:semiHidden/>
    <w:qFormat/>
    <w:uiPriority w:val="99"/>
    <w:rPr>
      <w:kern w:val="2"/>
      <w:sz w:val="24"/>
      <w:szCs w:val="22"/>
    </w:rPr>
  </w:style>
  <w:style w:type="character" w:customStyle="1" w:styleId="554">
    <w:name w:val="注释标题 Char1"/>
    <w:basedOn w:val="80"/>
    <w:semiHidden/>
    <w:qFormat/>
    <w:uiPriority w:val="99"/>
    <w:rPr>
      <w:rFonts w:ascii="Times New Roman" w:hAnsi="Times New Roman" w:eastAsia="宋体" w:cs="Times New Roman"/>
      <w:szCs w:val="24"/>
    </w:rPr>
  </w:style>
  <w:style w:type="paragraph" w:customStyle="1" w:styleId="555">
    <w:name w:val="表格标题(居中)"/>
    <w:basedOn w:val="2"/>
    <w:link w:val="668"/>
    <w:qFormat/>
    <w:uiPriority w:val="0"/>
    <w:pPr>
      <w:keepNext w:val="0"/>
      <w:keepLines w:val="0"/>
      <w:snapToGrid w:val="0"/>
      <w:spacing w:before="0" w:after="0" w:line="300" w:lineRule="auto"/>
      <w:jc w:val="center"/>
      <w:outlineLvl w:val="9"/>
    </w:pPr>
    <w:rPr>
      <w:rFonts w:ascii="Calibri" w:hAnsi="Calibri" w:eastAsia="黑体" w:cs="Calibri"/>
      <w:b w:val="0"/>
      <w:bCs w:val="0"/>
      <w:kern w:val="2"/>
      <w:sz w:val="24"/>
      <w:szCs w:val="20"/>
    </w:rPr>
  </w:style>
  <w:style w:type="paragraph" w:customStyle="1" w:styleId="55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57">
    <w:name w:val="xl7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58">
    <w:name w:val="样式 标题 2H2Heading 2 HiddenHeading 2 CCBSheading 22nd levelh..."/>
    <w:basedOn w:val="3"/>
    <w:qFormat/>
    <w:uiPriority w:val="99"/>
    <w:pPr>
      <w:spacing w:before="120" w:after="120" w:line="240" w:lineRule="auto"/>
      <w:ind w:left="576" w:hanging="576"/>
    </w:pPr>
    <w:rPr>
      <w:rFonts w:cs="宋体"/>
      <w:b w:val="0"/>
      <w:bCs w:val="0"/>
      <w:sz w:val="28"/>
      <w:szCs w:val="28"/>
    </w:rPr>
  </w:style>
  <w:style w:type="paragraph" w:customStyle="1" w:styleId="55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0">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6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2">
    <w:name w:val="样式"/>
    <w:qFormat/>
    <w:uiPriority w:val="99"/>
    <w:pPr>
      <w:widowControl w:val="0"/>
      <w:autoSpaceDE w:val="0"/>
      <w:autoSpaceDN w:val="0"/>
      <w:adjustRightInd w:val="0"/>
    </w:pPr>
    <w:rPr>
      <w:rFonts w:ascii="Arial" w:hAnsi="Arial" w:eastAsia="宋体" w:cs="Arial"/>
      <w:sz w:val="24"/>
      <w:szCs w:val="24"/>
      <w:lang w:val="en-US" w:eastAsia="zh-CN" w:bidi="ar-SA"/>
    </w:rPr>
  </w:style>
  <w:style w:type="paragraph" w:customStyle="1" w:styleId="563">
    <w:name w:val="附件(1)"/>
    <w:basedOn w:val="1"/>
    <w:qFormat/>
    <w:uiPriority w:val="99"/>
    <w:pPr>
      <w:tabs>
        <w:tab w:val="left" w:pos="840"/>
      </w:tabs>
      <w:spacing w:line="360" w:lineRule="auto"/>
    </w:pPr>
    <w:rPr>
      <w:sz w:val="24"/>
    </w:rPr>
  </w:style>
  <w:style w:type="paragraph" w:customStyle="1" w:styleId="56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5">
    <w:name w:val="Char1 Char Char Char Char Char Char Char Char Char Char Char Char Char Char Char"/>
    <w:basedOn w:val="1"/>
    <w:qFormat/>
    <w:uiPriority w:val="0"/>
    <w:pPr>
      <w:jc w:val="left"/>
    </w:pPr>
    <w:rPr>
      <w:rFonts w:ascii="Tahoma" w:hAnsi="Tahoma"/>
      <w:sz w:val="28"/>
      <w:szCs w:val="20"/>
    </w:rPr>
  </w:style>
  <w:style w:type="paragraph" w:customStyle="1" w:styleId="566">
    <w:name w:val="xl35"/>
    <w:basedOn w:val="1"/>
    <w:qFormat/>
    <w:uiPriority w:val="0"/>
    <w:pPr>
      <w:widowControl/>
      <w:spacing w:before="100" w:beforeAutospacing="1" w:after="100" w:afterAutospacing="1"/>
      <w:jc w:val="center"/>
    </w:pPr>
    <w:rPr>
      <w:rFonts w:ascii="宋体" w:hAnsi="宋体"/>
      <w:b/>
      <w:bCs/>
      <w:kern w:val="0"/>
      <w:sz w:val="36"/>
      <w:szCs w:val="36"/>
    </w:rPr>
  </w:style>
  <w:style w:type="paragraph" w:customStyle="1" w:styleId="56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8">
    <w:name w:val="0正文"/>
    <w:basedOn w:val="1"/>
    <w:qFormat/>
    <w:uiPriority w:val="0"/>
    <w:pPr>
      <w:ind w:firstLine="480" w:firstLineChars="200"/>
      <w:jc w:val="left"/>
    </w:pPr>
    <w:rPr>
      <w:rFonts w:ascii="Calibri" w:hAnsi="Calibri" w:eastAsia="华文中宋"/>
      <w:color w:val="0070C0"/>
      <w:kern w:val="0"/>
      <w:sz w:val="28"/>
    </w:rPr>
  </w:style>
  <w:style w:type="paragraph" w:customStyle="1" w:styleId="569">
    <w:name w:val="条款节部分"/>
    <w:basedOn w:val="1"/>
    <w:qFormat/>
    <w:uiPriority w:val="0"/>
    <w:pPr>
      <w:numPr>
        <w:ilvl w:val="0"/>
        <w:numId w:val="20"/>
      </w:numPr>
      <w:tabs>
        <w:tab w:val="left" w:pos="2850"/>
      </w:tabs>
      <w:ind w:firstLine="0"/>
    </w:pPr>
    <w:rPr>
      <w:rFonts w:ascii="Calibri" w:hAnsi="Calibri" w:eastAsia="仿宋_GB2312"/>
      <w:sz w:val="32"/>
      <w:szCs w:val="32"/>
    </w:rPr>
  </w:style>
  <w:style w:type="paragraph" w:customStyle="1" w:styleId="570">
    <w:name w:val="xl6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1">
    <w:name w:val="Char11"/>
    <w:basedOn w:val="76"/>
    <w:qFormat/>
    <w:uiPriority w:val="0"/>
    <w:pPr>
      <w:spacing w:line="360" w:lineRule="auto"/>
      <w:ind w:firstLine="200" w:firstLineChars="200"/>
    </w:pPr>
    <w:rPr>
      <w:rFonts w:ascii="Tahoma" w:hAnsi="Tahoma"/>
      <w:sz w:val="36"/>
      <w:szCs w:val="36"/>
    </w:rPr>
  </w:style>
  <w:style w:type="paragraph" w:customStyle="1" w:styleId="57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573">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4">
    <w:name w:val="xl79"/>
    <w:basedOn w:val="1"/>
    <w:qFormat/>
    <w:uiPriority w:val="0"/>
    <w:pPr>
      <w:widowControl/>
      <w:pBdr>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5">
    <w:name w:val="表1"/>
    <w:basedOn w:val="1"/>
    <w:qFormat/>
    <w:uiPriority w:val="0"/>
    <w:pPr>
      <w:numPr>
        <w:ilvl w:val="0"/>
        <w:numId w:val="21"/>
      </w:numPr>
      <w:tabs>
        <w:tab w:val="left" w:pos="632"/>
      </w:tabs>
      <w:ind w:left="0" w:firstLine="0"/>
      <w:jc w:val="center"/>
    </w:pPr>
    <w:rPr>
      <w:rFonts w:ascii="Arial" w:hAnsi="Arial" w:cs="宋体"/>
      <w:szCs w:val="20"/>
    </w:rPr>
  </w:style>
  <w:style w:type="paragraph" w:customStyle="1" w:styleId="576">
    <w:name w:val="xl69"/>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7">
    <w:name w:val="z-窗体底端1"/>
    <w:basedOn w:val="1"/>
    <w:next w:val="1"/>
    <w:qFormat/>
    <w:uiPriority w:val="0"/>
    <w:pPr>
      <w:widowControl/>
      <w:pBdr>
        <w:top w:val="single" w:color="auto" w:sz="6" w:space="1"/>
      </w:pBdr>
      <w:jc w:val="center"/>
    </w:pPr>
    <w:rPr>
      <w:rFonts w:ascii="Arial" w:hAnsi="Arial"/>
      <w:vanish/>
      <w:sz w:val="16"/>
      <w:szCs w:val="16"/>
    </w:rPr>
  </w:style>
  <w:style w:type="character" w:customStyle="1" w:styleId="578">
    <w:name w:val="称呼 Char1"/>
    <w:basedOn w:val="80"/>
    <w:semiHidden/>
    <w:qFormat/>
    <w:uiPriority w:val="99"/>
    <w:rPr>
      <w:rFonts w:ascii="Times New Roman" w:hAnsi="Times New Roman" w:eastAsia="宋体" w:cs="Times New Roman"/>
      <w:szCs w:val="24"/>
    </w:rPr>
  </w:style>
  <w:style w:type="paragraph" w:customStyle="1" w:styleId="579">
    <w:name w:val="样式 样式 仿宋_GB2312 四号 + 首行缩进:  2 字符"/>
    <w:basedOn w:val="1"/>
    <w:qFormat/>
    <w:uiPriority w:val="99"/>
    <w:pPr>
      <w:widowControl/>
      <w:spacing w:before="120" w:after="120" w:line="440" w:lineRule="exact"/>
      <w:ind w:firstLine="560" w:firstLineChars="200"/>
      <w:jc w:val="left"/>
    </w:pPr>
    <w:rPr>
      <w:rFonts w:ascii="仿宋_GB2312" w:hAnsi="宋体" w:eastAsia="仿宋_GB2312" w:cs="宋体"/>
      <w:sz w:val="24"/>
      <w:szCs w:val="20"/>
    </w:rPr>
  </w:style>
  <w:style w:type="paragraph" w:customStyle="1" w:styleId="580">
    <w:name w:val="xl71"/>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58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82">
    <w:name w:val="样式 标题 2h2Level 2 Topic HeadingHD2Heading 2 HiddenHeading 2 ..."/>
    <w:basedOn w:val="2"/>
    <w:qFormat/>
    <w:uiPriority w:val="99"/>
    <w:pPr>
      <w:pageBreakBefore/>
      <w:spacing w:before="0" w:after="0"/>
      <w:ind w:left="1402" w:hanging="420"/>
    </w:pPr>
    <w:rPr>
      <w:rFonts w:eastAsia="仿宋"/>
      <w:sz w:val="48"/>
      <w:szCs w:val="36"/>
    </w:rPr>
  </w:style>
  <w:style w:type="paragraph" w:customStyle="1" w:styleId="583">
    <w:name w:val="样式 楷体_GB2312 左 行距: 固定值 24 磅"/>
    <w:basedOn w:val="1"/>
    <w:qFormat/>
    <w:uiPriority w:val="0"/>
    <w:pPr>
      <w:spacing w:line="480" w:lineRule="exact"/>
      <w:ind w:firstLine="480" w:firstLineChars="200"/>
      <w:jc w:val="left"/>
    </w:pPr>
    <w:rPr>
      <w:rFonts w:ascii="楷体_GB2312" w:hAnsi="Calibri" w:eastAsia="楷体_GB2312" w:cs="宋体"/>
      <w:kern w:val="0"/>
      <w:sz w:val="28"/>
      <w:szCs w:val="20"/>
    </w:rPr>
  </w:style>
  <w:style w:type="paragraph" w:customStyle="1" w:styleId="584">
    <w:name w:val="【标题7】"/>
    <w:basedOn w:val="9"/>
    <w:qFormat/>
    <w:uiPriority w:val="99"/>
    <w:pPr>
      <w:snapToGrid w:val="0"/>
      <w:spacing w:beforeLines="100" w:afterLines="100" w:line="240" w:lineRule="auto"/>
      <w:ind w:left="1276" w:hanging="1276"/>
    </w:pPr>
    <w:rPr>
      <w:rFonts w:ascii="Calibri" w:hAnsi="Calibri" w:eastAsia="黑体"/>
      <w:sz w:val="28"/>
      <w:szCs w:val="28"/>
    </w:rPr>
  </w:style>
  <w:style w:type="character" w:customStyle="1" w:styleId="585">
    <w:name w:val="正文首行缩进 2 Char1"/>
    <w:basedOn w:val="120"/>
    <w:semiHidden/>
    <w:qFormat/>
    <w:uiPriority w:val="99"/>
    <w:rPr>
      <w:rFonts w:ascii="Times New Roman" w:hAnsi="Times New Roman" w:eastAsia="楷体_GB2312" w:cs="Times New Roman"/>
      <w:kern w:val="0"/>
      <w:sz w:val="30"/>
      <w:szCs w:val="20"/>
    </w:rPr>
  </w:style>
  <w:style w:type="paragraph" w:customStyle="1" w:styleId="586">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587">
    <w:name w:val="贺式正文"/>
    <w:basedOn w:val="1"/>
    <w:qFormat/>
    <w:uiPriority w:val="0"/>
    <w:pPr>
      <w:ind w:firstLine="480" w:firstLineChars="200"/>
      <w:jc w:val="left"/>
    </w:pPr>
    <w:rPr>
      <w:rFonts w:ascii="Calibri" w:hAnsi="Calibri" w:cs="宋体"/>
      <w:sz w:val="28"/>
      <w:szCs w:val="20"/>
    </w:rPr>
  </w:style>
  <w:style w:type="character" w:customStyle="1" w:styleId="588">
    <w:name w:val="标题 Char2"/>
    <w:basedOn w:val="80"/>
    <w:qFormat/>
    <w:uiPriority w:val="10"/>
    <w:rPr>
      <w:rFonts w:ascii="Cambria" w:hAnsi="Cambria" w:cs="Times New Roman"/>
      <w:b/>
      <w:bCs/>
      <w:kern w:val="2"/>
      <w:sz w:val="32"/>
      <w:szCs w:val="32"/>
    </w:rPr>
  </w:style>
  <w:style w:type="paragraph" w:customStyle="1" w:styleId="589">
    <w:name w:val="xl78"/>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90">
    <w:name w:val="xl45"/>
    <w:basedOn w:val="1"/>
    <w:qFormat/>
    <w:uiPriority w:val="0"/>
    <w:pPr>
      <w:widowControl/>
      <w:spacing w:before="100" w:beforeAutospacing="1" w:after="100" w:afterAutospacing="1"/>
      <w:jc w:val="right"/>
    </w:pPr>
    <w:rPr>
      <w:rFonts w:ascii="宋体" w:hAnsi="宋体"/>
      <w:kern w:val="0"/>
      <w:sz w:val="24"/>
    </w:rPr>
  </w:style>
  <w:style w:type="paragraph" w:customStyle="1" w:styleId="591">
    <w:name w:val="xl67"/>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92">
    <w:name w:val="1级标题"/>
    <w:basedOn w:val="102"/>
    <w:qFormat/>
    <w:uiPriority w:val="0"/>
    <w:pPr>
      <w:keepLines/>
      <w:pageBreakBefore/>
      <w:tabs>
        <w:tab w:val="left" w:pos="360"/>
      </w:tabs>
      <w:spacing w:before="240" w:after="240" w:line="360" w:lineRule="auto"/>
      <w:ind w:left="900" w:firstLine="0" w:firstLineChars="0"/>
      <w:contextualSpacing/>
      <w:jc w:val="center"/>
      <w:outlineLvl w:val="0"/>
    </w:pPr>
    <w:rPr>
      <w:rFonts w:ascii="黑体" w:hAnsi="黑体" w:eastAsia="黑体"/>
      <w:kern w:val="0"/>
      <w:sz w:val="36"/>
      <w:szCs w:val="36"/>
      <w:lang w:eastAsia="en-US" w:bidi="en-US"/>
    </w:rPr>
  </w:style>
  <w:style w:type="character" w:customStyle="1" w:styleId="593">
    <w:name w:val="信息标题 Char1"/>
    <w:basedOn w:val="80"/>
    <w:semiHidden/>
    <w:qFormat/>
    <w:uiPriority w:val="99"/>
    <w:rPr>
      <w:rFonts w:asciiTheme="majorHAnsi" w:hAnsiTheme="majorHAnsi" w:eastAsiaTheme="majorEastAsia" w:cstheme="majorBidi"/>
      <w:sz w:val="24"/>
      <w:szCs w:val="24"/>
      <w:shd w:val="pct20" w:color="auto" w:fill="auto"/>
    </w:rPr>
  </w:style>
  <w:style w:type="paragraph" w:customStyle="1" w:styleId="594">
    <w:name w:val="【标题6】"/>
    <w:basedOn w:val="8"/>
    <w:qFormat/>
    <w:uiPriority w:val="99"/>
    <w:pPr>
      <w:snapToGrid w:val="0"/>
      <w:spacing w:beforeLines="100" w:afterLines="100" w:line="240" w:lineRule="auto"/>
      <w:ind w:left="1134" w:hanging="1134"/>
    </w:pPr>
    <w:rPr>
      <w:rFonts w:ascii="Calibri" w:hAnsi="Calibri"/>
      <w:sz w:val="28"/>
      <w:szCs w:val="28"/>
    </w:rPr>
  </w:style>
  <w:style w:type="paragraph" w:customStyle="1" w:styleId="595">
    <w:name w:val="CM10"/>
    <w:basedOn w:val="1"/>
    <w:next w:val="1"/>
    <w:qFormat/>
    <w:uiPriority w:val="99"/>
    <w:pPr>
      <w:autoSpaceDE w:val="0"/>
      <w:autoSpaceDN w:val="0"/>
      <w:adjustRightInd w:val="0"/>
      <w:spacing w:line="473" w:lineRule="atLeast"/>
      <w:jc w:val="left"/>
    </w:pPr>
    <w:rPr>
      <w:rFonts w:ascii="宋体" w:cs="宋体"/>
      <w:kern w:val="0"/>
      <w:sz w:val="24"/>
    </w:rPr>
  </w:style>
  <w:style w:type="paragraph" w:customStyle="1" w:styleId="596">
    <w:name w:val="附件圈"/>
    <w:basedOn w:val="563"/>
    <w:qFormat/>
    <w:uiPriority w:val="99"/>
    <w:pPr>
      <w:tabs>
        <w:tab w:val="left" w:pos="980"/>
      </w:tabs>
    </w:pPr>
  </w:style>
  <w:style w:type="paragraph" w:customStyle="1" w:styleId="597">
    <w:name w:val="Style First line:  2 ch"/>
    <w:basedOn w:val="1"/>
    <w:qFormat/>
    <w:uiPriority w:val="99"/>
    <w:pPr>
      <w:ind w:firstLine="480"/>
    </w:pPr>
    <w:rPr>
      <w:rFonts w:eastAsia="仿宋" w:cs="黑体"/>
      <w:szCs w:val="22"/>
    </w:rPr>
  </w:style>
  <w:style w:type="character" w:customStyle="1" w:styleId="598">
    <w:name w:val="HTML 预设格式 Char1"/>
    <w:basedOn w:val="80"/>
    <w:semiHidden/>
    <w:qFormat/>
    <w:uiPriority w:val="99"/>
    <w:rPr>
      <w:rFonts w:ascii="Courier New" w:hAnsi="Courier New" w:eastAsia="宋体" w:cs="Courier New"/>
      <w:sz w:val="20"/>
      <w:szCs w:val="20"/>
    </w:rPr>
  </w:style>
  <w:style w:type="paragraph" w:customStyle="1" w:styleId="599">
    <w:name w:val="引用1"/>
    <w:basedOn w:val="1"/>
    <w:next w:val="1"/>
    <w:qFormat/>
    <w:uiPriority w:val="0"/>
    <w:rPr>
      <w:rFonts w:ascii="Calibri" w:hAnsi="Calibri"/>
      <w:i/>
      <w:iCs/>
      <w:color w:val="000000"/>
      <w:szCs w:val="22"/>
    </w:rPr>
  </w:style>
  <w:style w:type="paragraph" w:customStyle="1" w:styleId="60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2">
    <w:name w:val="样式 标题 2第一章 标题 2Heading 2 HiddenHeading 2 CCBSheading 2H2h2..."/>
    <w:basedOn w:val="3"/>
    <w:qFormat/>
    <w:uiPriority w:val="0"/>
    <w:pPr>
      <w:keepNext w:val="0"/>
      <w:numPr>
        <w:ilvl w:val="1"/>
        <w:numId w:val="22"/>
      </w:numPr>
      <w:tabs>
        <w:tab w:val="left" w:pos="2040"/>
      </w:tabs>
      <w:spacing w:before="0" w:after="0" w:line="360" w:lineRule="auto"/>
      <w:ind w:left="0" w:firstLine="0"/>
      <w:jc w:val="left"/>
    </w:pPr>
    <w:rPr>
      <w:rFonts w:eastAsia="宋体"/>
      <w:color w:val="000000"/>
      <w:sz w:val="24"/>
      <w:szCs w:val="20"/>
      <w:lang w:val="zh-CN"/>
    </w:rPr>
  </w:style>
  <w:style w:type="paragraph" w:customStyle="1" w:styleId="603">
    <w:name w:val="正文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604">
    <w:name w:val="xl72"/>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60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6">
    <w:name w:val="正文3"/>
    <w:qFormat/>
    <w:uiPriority w:val="0"/>
    <w:pPr>
      <w:widowControl w:val="0"/>
      <w:spacing w:line="360" w:lineRule="auto"/>
      <w:ind w:firstLine="480" w:firstLineChars="200"/>
      <w:jc w:val="both"/>
    </w:pPr>
    <w:rPr>
      <w:rFonts w:ascii="微软雅黑" w:hAnsi="微软雅黑" w:eastAsia="微软雅黑" w:cs="Calibri"/>
      <w:color w:val="000000"/>
      <w:kern w:val="2"/>
      <w:sz w:val="24"/>
      <w:szCs w:val="24"/>
      <w:lang w:val="en-US" w:eastAsia="zh-CN" w:bidi="ar-SA"/>
    </w:rPr>
  </w:style>
  <w:style w:type="paragraph" w:customStyle="1" w:styleId="607">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608">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09">
    <w:name w:val="样式 标题 2h2Level 2 Topic HeadingHD2Heading 2 HiddenHeading 2 ...1"/>
    <w:basedOn w:val="8"/>
    <w:next w:val="1"/>
    <w:qFormat/>
    <w:uiPriority w:val="99"/>
    <w:pPr>
      <w:spacing w:before="0" w:after="0"/>
      <w:ind w:left="3502"/>
    </w:pPr>
    <w:rPr>
      <w:color w:val="000000"/>
      <w:sz w:val="28"/>
      <w:szCs w:val="28"/>
    </w:rPr>
  </w:style>
  <w:style w:type="paragraph" w:customStyle="1" w:styleId="610">
    <w:name w:val="样式 标题 3h3H3level_3PIM 3Level 3 HeadHeading 3 - oldsect1.2..."/>
    <w:basedOn w:val="4"/>
    <w:qFormat/>
    <w:uiPriority w:val="0"/>
    <w:pPr>
      <w:keepNext w:val="0"/>
      <w:keepLines w:val="0"/>
      <w:numPr>
        <w:ilvl w:val="2"/>
        <w:numId w:val="22"/>
      </w:numPr>
      <w:tabs>
        <w:tab w:val="left" w:pos="2040"/>
      </w:tabs>
      <w:autoSpaceDE/>
      <w:autoSpaceDN/>
      <w:adjustRightInd/>
      <w:spacing w:before="0" w:after="0" w:line="413" w:lineRule="auto"/>
      <w:ind w:left="0" w:firstLine="0"/>
      <w:jc w:val="left"/>
    </w:pPr>
    <w:rPr>
      <w:rFonts w:ascii="Times New Roman" w:eastAsia="宋体"/>
      <w:kern w:val="2"/>
      <w:sz w:val="24"/>
      <w:lang w:val="zh-CN"/>
    </w:rPr>
  </w:style>
  <w:style w:type="paragraph" w:customStyle="1" w:styleId="611">
    <w:name w:val="标题8"/>
    <w:basedOn w:val="10"/>
    <w:next w:val="1"/>
    <w:qFormat/>
    <w:uiPriority w:val="0"/>
    <w:pPr>
      <w:numPr>
        <w:ilvl w:val="7"/>
        <w:numId w:val="18"/>
      </w:numPr>
      <w:spacing w:line="319" w:lineRule="auto"/>
      <w:jc w:val="left"/>
    </w:pPr>
    <w:rPr>
      <w:rFonts w:ascii="Cambria" w:hAnsi="Cambria"/>
      <w:sz w:val="28"/>
      <w:lang w:eastAsia="en-US"/>
    </w:rPr>
  </w:style>
  <w:style w:type="paragraph" w:customStyle="1" w:styleId="612">
    <w:name w:val="样式 标题 4h4First SubheadingH4sect 1.2.3.4Ref Heading 1rh1se..."/>
    <w:basedOn w:val="6"/>
    <w:qFormat/>
    <w:uiPriority w:val="99"/>
    <w:pPr>
      <w:keepLines/>
      <w:spacing w:line="376" w:lineRule="auto"/>
      <w:ind w:left="2246" w:hanging="420"/>
    </w:pPr>
    <w:rPr>
      <w:rFonts w:eastAsia="仿宋"/>
      <w:b/>
      <w:bCs/>
      <w:sz w:val="32"/>
      <w:szCs w:val="28"/>
    </w:rPr>
  </w:style>
  <w:style w:type="paragraph" w:customStyle="1" w:styleId="613">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5">
    <w:name w:val="TOC 标题4"/>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16">
    <w:name w:val="标题 31"/>
    <w:basedOn w:val="606"/>
    <w:next w:val="606"/>
    <w:qFormat/>
    <w:uiPriority w:val="0"/>
    <w:pPr>
      <w:keepNext/>
      <w:keepLines/>
      <w:numPr>
        <w:ilvl w:val="2"/>
        <w:numId w:val="23"/>
      </w:numPr>
      <w:spacing w:before="260" w:after="260"/>
      <w:ind w:firstLine="0" w:firstLineChars="0"/>
      <w:outlineLvl w:val="2"/>
    </w:pPr>
    <w:rPr>
      <w:rFonts w:ascii="Times" w:hAnsi="Times"/>
      <w:b/>
      <w:bCs/>
      <w:sz w:val="28"/>
      <w:szCs w:val="32"/>
    </w:rPr>
  </w:style>
  <w:style w:type="paragraph" w:customStyle="1" w:styleId="617">
    <w:name w:val="!BECC正文"/>
    <w:basedOn w:val="1"/>
    <w:qFormat/>
    <w:uiPriority w:val="0"/>
    <w:pPr>
      <w:tabs>
        <w:tab w:val="left" w:pos="0"/>
      </w:tabs>
      <w:spacing w:before="156" w:beforeLines="50" w:after="156" w:afterLines="50"/>
      <w:ind w:firstLine="200" w:firstLineChars="200"/>
      <w:contextualSpacing/>
      <w:jc w:val="left"/>
    </w:pPr>
    <w:rPr>
      <w:kern w:val="0"/>
      <w:sz w:val="28"/>
    </w:rPr>
  </w:style>
  <w:style w:type="paragraph" w:customStyle="1" w:styleId="618">
    <w:name w:val="表标题"/>
    <w:basedOn w:val="1"/>
    <w:qFormat/>
    <w:uiPriority w:val="0"/>
    <w:pPr>
      <w:spacing w:line="305" w:lineRule="auto"/>
      <w:ind w:firstLine="50" w:firstLineChars="50"/>
    </w:pPr>
    <w:rPr>
      <w:rFonts w:ascii="黑体" w:hAnsi="宋体" w:eastAsia="黑体"/>
      <w:kern w:val="44"/>
      <w:sz w:val="24"/>
    </w:rPr>
  </w:style>
  <w:style w:type="paragraph" w:customStyle="1" w:styleId="619">
    <w:name w:val="项目1"/>
    <w:basedOn w:val="1"/>
    <w:next w:val="1"/>
    <w:qFormat/>
    <w:uiPriority w:val="0"/>
    <w:pPr>
      <w:numPr>
        <w:ilvl w:val="4"/>
        <w:numId w:val="24"/>
      </w:numPr>
      <w:tabs>
        <w:tab w:val="left" w:pos="960"/>
      </w:tabs>
      <w:adjustRightInd w:val="0"/>
      <w:ind w:left="200" w:leftChars="200" w:hanging="200" w:hangingChars="200"/>
      <w:jc w:val="left"/>
    </w:pPr>
    <w:rPr>
      <w:rFonts w:ascii="Calibri" w:hAnsi="Calibri"/>
      <w:kern w:val="0"/>
      <w:sz w:val="28"/>
    </w:rPr>
  </w:style>
  <w:style w:type="paragraph" w:customStyle="1" w:styleId="62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b/>
      <w:bCs/>
      <w:kern w:val="0"/>
      <w:sz w:val="20"/>
      <w:szCs w:val="20"/>
    </w:rPr>
  </w:style>
  <w:style w:type="paragraph" w:customStyle="1" w:styleId="621">
    <w:name w:val="Char2 Char Char Char Char Char Char Char Char Char1 Char Char Char Char Char Char"/>
    <w:basedOn w:val="23"/>
    <w:qFormat/>
    <w:uiPriority w:val="0"/>
    <w:pPr>
      <w:shd w:val="clear" w:color="auto" w:fill="000080"/>
      <w:jc w:val="left"/>
    </w:pPr>
    <w:rPr>
      <w:rFonts w:ascii="Tahoma" w:hAnsi="Tahoma"/>
      <w:sz w:val="24"/>
      <w:szCs w:val="24"/>
      <w:shd w:val="clear" w:color="auto" w:fill="000080"/>
      <w:lang w:val="zh-CN"/>
    </w:rPr>
  </w:style>
  <w:style w:type="paragraph" w:customStyle="1" w:styleId="622">
    <w:name w:val="附件标题"/>
    <w:basedOn w:val="1"/>
    <w:qFormat/>
    <w:uiPriority w:val="99"/>
    <w:pPr>
      <w:spacing w:line="360" w:lineRule="auto"/>
      <w:jc w:val="center"/>
    </w:pPr>
    <w:rPr>
      <w:rFonts w:ascii="Arial" w:hAnsi="Arial" w:eastAsia="黑体"/>
      <w:sz w:val="24"/>
    </w:rPr>
  </w:style>
  <w:style w:type="paragraph" w:customStyle="1" w:styleId="623">
    <w:name w:val="标题7"/>
    <w:basedOn w:val="9"/>
    <w:next w:val="1"/>
    <w:qFormat/>
    <w:uiPriority w:val="0"/>
    <w:pPr>
      <w:numPr>
        <w:ilvl w:val="6"/>
        <w:numId w:val="18"/>
      </w:numPr>
      <w:spacing w:line="319" w:lineRule="auto"/>
      <w:jc w:val="left"/>
    </w:pPr>
    <w:rPr>
      <w:rFonts w:ascii="Arial" w:hAnsi="Arial" w:eastAsia="黑体" w:cs="宋体"/>
      <w:b w:val="0"/>
      <w:sz w:val="28"/>
      <w:lang w:eastAsia="en-US"/>
    </w:rPr>
  </w:style>
  <w:style w:type="paragraph" w:customStyle="1" w:styleId="624">
    <w:name w:val="标题2"/>
    <w:basedOn w:val="1"/>
    <w:qFormat/>
    <w:uiPriority w:val="0"/>
    <w:pPr>
      <w:numPr>
        <w:ilvl w:val="1"/>
        <w:numId w:val="25"/>
      </w:numPr>
      <w:ind w:firstLine="0"/>
      <w:jc w:val="left"/>
      <w:outlineLvl w:val="1"/>
    </w:pPr>
    <w:rPr>
      <w:rFonts w:ascii="黑体" w:hAnsi="宋体" w:eastAsia="黑体"/>
      <w:b/>
      <w:bCs/>
      <w:sz w:val="28"/>
    </w:rPr>
  </w:style>
  <w:style w:type="paragraph" w:customStyle="1" w:styleId="625">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paragraph" w:customStyle="1" w:styleId="626">
    <w:name w:val="xl7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7">
    <w:name w:val="xl6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8">
    <w:name w:val="xl7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29">
    <w:name w:val="Style Verdana First line:  2 ch"/>
    <w:basedOn w:val="1"/>
    <w:qFormat/>
    <w:uiPriority w:val="99"/>
    <w:pPr>
      <w:ind w:firstLine="480"/>
    </w:pPr>
    <w:rPr>
      <w:rFonts w:ascii="Verdana" w:hAnsi="Verdana" w:eastAsia="仿宋" w:cs="黑体"/>
      <w:sz w:val="28"/>
      <w:szCs w:val="22"/>
    </w:rPr>
  </w:style>
  <w:style w:type="paragraph" w:customStyle="1" w:styleId="630">
    <w:name w:val="2.6.10"/>
    <w:basedOn w:val="1"/>
    <w:qFormat/>
    <w:uiPriority w:val="99"/>
    <w:pPr>
      <w:numPr>
        <w:ilvl w:val="0"/>
        <w:numId w:val="26"/>
      </w:numPr>
      <w:ind w:left="0" w:firstLine="0"/>
      <w:jc w:val="center"/>
    </w:pPr>
    <w:rPr>
      <w:rFonts w:ascii="Calibri" w:hAnsi="Calibri" w:cs="黑体"/>
      <w:szCs w:val="22"/>
    </w:rPr>
  </w:style>
  <w:style w:type="paragraph" w:customStyle="1" w:styleId="631">
    <w:name w:val="2级标题"/>
    <w:basedOn w:val="102"/>
    <w:qFormat/>
    <w:uiPriority w:val="0"/>
    <w:pPr>
      <w:keepLines/>
      <w:tabs>
        <w:tab w:val="left" w:pos="360"/>
      </w:tabs>
      <w:spacing w:before="240" w:after="120" w:line="360" w:lineRule="auto"/>
      <w:ind w:left="1320" w:firstLine="0" w:firstLineChars="0"/>
      <w:contextualSpacing/>
      <w:jc w:val="left"/>
      <w:outlineLvl w:val="1"/>
    </w:pPr>
    <w:rPr>
      <w:rFonts w:ascii="黑体" w:hAnsi="黑体" w:eastAsia="黑体"/>
      <w:kern w:val="0"/>
      <w:sz w:val="32"/>
      <w:szCs w:val="36"/>
      <w:lang w:eastAsia="en-US" w:bidi="en-US"/>
    </w:rPr>
  </w:style>
  <w:style w:type="paragraph" w:customStyle="1" w:styleId="632">
    <w:name w:val="正文 首行缩进:  2 字符 Char"/>
    <w:basedOn w:val="1"/>
    <w:qFormat/>
    <w:uiPriority w:val="99"/>
    <w:pPr>
      <w:spacing w:line="360" w:lineRule="auto"/>
      <w:ind w:firstLine="480"/>
    </w:pPr>
    <w:rPr>
      <w:rFonts w:eastAsia="仿宋" w:cs="宋体"/>
      <w:sz w:val="24"/>
      <w:szCs w:val="20"/>
    </w:rPr>
  </w:style>
  <w:style w:type="paragraph" w:customStyle="1" w:styleId="633">
    <w:name w:val="xl7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4">
    <w:name w:val="正文文本缩进 211"/>
    <w:basedOn w:val="1"/>
    <w:qFormat/>
    <w:uiPriority w:val="0"/>
    <w:pPr>
      <w:adjustRightInd w:val="0"/>
      <w:spacing w:line="480" w:lineRule="exact"/>
      <w:ind w:left="105" w:firstLine="200" w:firstLineChars="200"/>
      <w:jc w:val="left"/>
      <w:textAlignment w:val="baseline"/>
    </w:pPr>
    <w:rPr>
      <w:rFonts w:ascii="Calibri" w:hAnsi="Calibri"/>
      <w:kern w:val="0"/>
      <w:sz w:val="24"/>
      <w:szCs w:val="20"/>
    </w:rPr>
  </w:style>
  <w:style w:type="paragraph" w:customStyle="1" w:styleId="635">
    <w:name w:val="一级标题"/>
    <w:basedOn w:val="2"/>
    <w:next w:val="1"/>
    <w:qFormat/>
    <w:uiPriority w:val="0"/>
    <w:pPr>
      <w:spacing w:before="0" w:after="0" w:line="240" w:lineRule="auto"/>
    </w:pPr>
    <w:rPr>
      <w:rFonts w:ascii="微软雅黑" w:hAnsi="微软雅黑" w:eastAsia="微软雅黑"/>
      <w:sz w:val="32"/>
    </w:rPr>
  </w:style>
  <w:style w:type="paragraph" w:customStyle="1" w:styleId="636">
    <w:name w:val="项目2"/>
    <w:basedOn w:val="1"/>
    <w:next w:val="1"/>
    <w:qFormat/>
    <w:uiPriority w:val="0"/>
    <w:pPr>
      <w:numPr>
        <w:ilvl w:val="5"/>
        <w:numId w:val="24"/>
      </w:numPr>
      <w:tabs>
        <w:tab w:val="left" w:pos="960"/>
      </w:tabs>
      <w:ind w:left="400" w:leftChars="200" w:hanging="200" w:hangingChars="200"/>
      <w:jc w:val="left"/>
    </w:pPr>
    <w:rPr>
      <w:rFonts w:ascii="Calibri" w:hAnsi="Calibri"/>
      <w:kern w:val="0"/>
      <w:sz w:val="28"/>
    </w:rPr>
  </w:style>
  <w:style w:type="paragraph" w:customStyle="1" w:styleId="637">
    <w:name w:val="题注 + 居中"/>
    <w:basedOn w:val="1"/>
    <w:qFormat/>
    <w:uiPriority w:val="0"/>
    <w:pPr>
      <w:jc w:val="center"/>
    </w:pPr>
    <w:rPr>
      <w:rFonts w:ascii="Arial" w:hAnsi="Arial" w:cs="宋体"/>
      <w:sz w:val="28"/>
    </w:rPr>
  </w:style>
  <w:style w:type="paragraph" w:customStyle="1" w:styleId="638">
    <w:name w:val="xl7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9">
    <w:name w:val="项目3"/>
    <w:basedOn w:val="1"/>
    <w:next w:val="1"/>
    <w:qFormat/>
    <w:uiPriority w:val="0"/>
    <w:pPr>
      <w:numPr>
        <w:ilvl w:val="6"/>
        <w:numId w:val="24"/>
      </w:numPr>
      <w:tabs>
        <w:tab w:val="left" w:pos="960"/>
      </w:tabs>
      <w:ind w:left="200" w:leftChars="200" w:hanging="200" w:hangingChars="200"/>
      <w:jc w:val="left"/>
    </w:pPr>
    <w:rPr>
      <w:rFonts w:ascii="Calibri" w:hAnsi="Calibri"/>
      <w:kern w:val="0"/>
      <w:sz w:val="28"/>
    </w:rPr>
  </w:style>
  <w:style w:type="paragraph" w:customStyle="1" w:styleId="64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2">
    <w:name w:val="Char3"/>
    <w:basedOn w:val="1"/>
    <w:qFormat/>
    <w:uiPriority w:val="0"/>
    <w:pPr>
      <w:adjustRightInd w:val="0"/>
      <w:jc w:val="left"/>
    </w:pPr>
    <w:rPr>
      <w:rFonts w:ascii="Calibri" w:hAnsi="Calibri"/>
      <w:kern w:val="0"/>
      <w:sz w:val="28"/>
      <w:szCs w:val="20"/>
    </w:rPr>
  </w:style>
  <w:style w:type="paragraph" w:customStyle="1" w:styleId="643">
    <w:name w:val="图片标题格式"/>
    <w:basedOn w:val="441"/>
    <w:next w:val="476"/>
    <w:qFormat/>
    <w:uiPriority w:val="0"/>
    <w:rPr>
      <w:rFonts w:ascii="Times New Roman" w:hAnsi="Times New Roman"/>
      <w:b/>
      <w:sz w:val="21"/>
      <w:szCs w:val="22"/>
      <w:lang w:eastAsia="zh-CN" w:bidi="ar-SA"/>
    </w:rPr>
  </w:style>
  <w:style w:type="paragraph" w:customStyle="1" w:styleId="644">
    <w:name w:val="xl34"/>
    <w:basedOn w:val="1"/>
    <w:qFormat/>
    <w:uiPriority w:val="0"/>
    <w:pPr>
      <w:widowControl/>
      <w:spacing w:before="100" w:beforeAutospacing="1" w:after="100" w:afterAutospacing="1"/>
      <w:jc w:val="left"/>
    </w:pPr>
    <w:rPr>
      <w:rFonts w:ascii="宋体" w:hAnsi="宋体"/>
      <w:b/>
      <w:bCs/>
      <w:kern w:val="0"/>
      <w:sz w:val="24"/>
    </w:rPr>
  </w:style>
  <w:style w:type="paragraph" w:customStyle="1" w:styleId="64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46">
    <w:name w:val="xl68"/>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47">
    <w:name w:val="CM51"/>
    <w:basedOn w:val="130"/>
    <w:next w:val="130"/>
    <w:qFormat/>
    <w:uiPriority w:val="99"/>
    <w:pPr>
      <w:spacing w:after="103"/>
    </w:pPr>
    <w:rPr>
      <w:rFonts w:ascii="黑体" w:hAnsi="Calibri" w:eastAsia="黑体"/>
      <w:color w:val="auto"/>
    </w:rPr>
  </w:style>
  <w:style w:type="paragraph" w:customStyle="1" w:styleId="648">
    <w:name w:val="纯文本1"/>
    <w:basedOn w:val="1"/>
    <w:qFormat/>
    <w:uiPriority w:val="0"/>
    <w:pPr>
      <w:widowControl/>
      <w:adjustRightInd w:val="0"/>
      <w:spacing w:line="305" w:lineRule="auto"/>
      <w:ind w:firstLine="420"/>
      <w:textAlignment w:val="baseline"/>
    </w:pPr>
    <w:rPr>
      <w:rFonts w:ascii="宋体" w:hAnsi="Courier New"/>
      <w:szCs w:val="20"/>
    </w:rPr>
  </w:style>
  <w:style w:type="paragraph" w:customStyle="1" w:styleId="649">
    <w:name w:val="xl8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6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51">
    <w:name w:val="样式 标题 2H2Heading 2 HiddenHeading 2 CCBSheading 22nd levelh...1"/>
    <w:basedOn w:val="3"/>
    <w:qFormat/>
    <w:uiPriority w:val="99"/>
    <w:pPr>
      <w:spacing w:before="240" w:after="240" w:line="240" w:lineRule="auto"/>
      <w:ind w:left="576" w:hanging="576"/>
    </w:pPr>
    <w:rPr>
      <w:rFonts w:ascii="宋体" w:hAnsi="宋体" w:eastAsia="宋体"/>
      <w:b w:val="0"/>
      <w:bCs w:val="0"/>
      <w:sz w:val="28"/>
      <w:szCs w:val="28"/>
    </w:rPr>
  </w:style>
  <w:style w:type="paragraph" w:customStyle="1" w:styleId="65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53">
    <w:name w:val="标题1"/>
    <w:basedOn w:val="1"/>
    <w:qFormat/>
    <w:uiPriority w:val="99"/>
    <w:pPr>
      <w:pageBreakBefore/>
      <w:jc w:val="left"/>
      <w:outlineLvl w:val="0"/>
    </w:pPr>
    <w:rPr>
      <w:rFonts w:ascii="黑体" w:hAnsi="宋体" w:eastAsia="黑体"/>
      <w:b/>
      <w:bCs/>
      <w:sz w:val="30"/>
    </w:rPr>
  </w:style>
  <w:style w:type="paragraph" w:customStyle="1" w:styleId="654">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宋体" w:hAnsi="宋体" w:eastAsia="宋体" w:cs="Times New Roman"/>
      <w:sz w:val="24"/>
      <w:szCs w:val="24"/>
      <w:lang w:val="en-US" w:eastAsia="zh-CN" w:bidi="ar-SA"/>
    </w:rPr>
  </w:style>
  <w:style w:type="paragraph" w:customStyle="1" w:styleId="655">
    <w:name w:val="xl22"/>
    <w:basedOn w:val="1"/>
    <w:qFormat/>
    <w:uiPriority w:val="0"/>
    <w:pPr>
      <w:widowControl/>
      <w:pBdr>
        <w:bottom w:val="single" w:color="auto" w:sz="4" w:space="0"/>
        <w:right w:val="single" w:color="auto" w:sz="4" w:space="0"/>
      </w:pBdr>
      <w:spacing w:before="100" w:beforeAutospacing="1" w:after="100" w:afterAutospacing="1"/>
      <w:jc w:val="center"/>
    </w:pPr>
    <w:rPr>
      <w:rFonts w:ascii="Calibri" w:hAnsi="Calibri" w:eastAsia="Arial Unicode MS"/>
      <w:kern w:val="0"/>
      <w:sz w:val="20"/>
      <w:szCs w:val="20"/>
    </w:rPr>
  </w:style>
  <w:style w:type="paragraph" w:customStyle="1" w:styleId="656">
    <w:name w:val="样式 样式 首行缩进:  2 字符3 + 首行缩进:  2 字符"/>
    <w:basedOn w:val="1"/>
    <w:qFormat/>
    <w:uiPriority w:val="0"/>
    <w:pPr>
      <w:numPr>
        <w:ilvl w:val="0"/>
        <w:numId w:val="27"/>
      </w:numPr>
      <w:ind w:firstLine="0"/>
      <w:jc w:val="left"/>
    </w:pPr>
    <w:rPr>
      <w:rFonts w:ascii="Calibri" w:hAnsi="Calibri"/>
      <w:sz w:val="28"/>
      <w:szCs w:val="20"/>
    </w:rPr>
  </w:style>
  <w:style w:type="paragraph" w:customStyle="1" w:styleId="657">
    <w:name w:val="List Paragraph*"/>
    <w:basedOn w:val="1"/>
    <w:qFormat/>
    <w:uiPriority w:val="0"/>
    <w:pPr>
      <w:ind w:firstLine="420"/>
      <w:jc w:val="left"/>
    </w:pPr>
    <w:rPr>
      <w:rFonts w:ascii="Calibri" w:hAnsi="Calibri" w:cs="Calibri"/>
      <w:color w:val="000000"/>
      <w:kern w:val="1"/>
      <w:szCs w:val="22"/>
    </w:rPr>
  </w:style>
  <w:style w:type="paragraph" w:customStyle="1" w:styleId="658">
    <w:name w:val="【标题9】"/>
    <w:basedOn w:val="11"/>
    <w:qFormat/>
    <w:uiPriority w:val="99"/>
    <w:pPr>
      <w:snapToGrid w:val="0"/>
      <w:spacing w:beforeLines="100" w:afterLines="100" w:line="240" w:lineRule="auto"/>
      <w:ind w:left="5102" w:hanging="1700"/>
    </w:pPr>
    <w:rPr>
      <w:rFonts w:ascii="Calibri" w:hAnsi="Calibri"/>
      <w:b/>
      <w:sz w:val="28"/>
      <w:szCs w:val="28"/>
    </w:rPr>
  </w:style>
  <w:style w:type="paragraph" w:customStyle="1" w:styleId="659">
    <w:name w:val="_Style 87"/>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660">
    <w:name w:val="xl51"/>
    <w:basedOn w:val="1"/>
    <w:qFormat/>
    <w:uiPriority w:val="0"/>
    <w:pPr>
      <w:widowControl/>
      <w:pBdr>
        <w:bottom w:val="single" w:color="auto" w:sz="4" w:space="0"/>
      </w:pBdr>
      <w:spacing w:before="100" w:beforeAutospacing="1" w:after="100" w:afterAutospacing="1"/>
      <w:jc w:val="left"/>
    </w:pPr>
    <w:rPr>
      <w:rFonts w:ascii="宋体" w:hAnsi="宋体"/>
      <w:kern w:val="0"/>
      <w:sz w:val="20"/>
      <w:szCs w:val="20"/>
    </w:rPr>
  </w:style>
  <w:style w:type="paragraph" w:customStyle="1" w:styleId="66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62">
    <w:name w:val="标题9"/>
    <w:basedOn w:val="11"/>
    <w:next w:val="1"/>
    <w:qFormat/>
    <w:uiPriority w:val="0"/>
    <w:pPr>
      <w:numPr>
        <w:ilvl w:val="8"/>
        <w:numId w:val="18"/>
      </w:numPr>
      <w:tabs>
        <w:tab w:val="left" w:pos="1584"/>
      </w:tabs>
      <w:spacing w:line="319" w:lineRule="auto"/>
      <w:jc w:val="left"/>
    </w:pPr>
    <w:rPr>
      <w:rFonts w:ascii="Cambria" w:hAnsi="Cambria" w:eastAsia="宋体"/>
      <w:lang w:eastAsia="en-US"/>
    </w:rPr>
  </w:style>
  <w:style w:type="paragraph" w:customStyle="1" w:styleId="663">
    <w:name w:val="附件1."/>
    <w:basedOn w:val="2"/>
    <w:qFormat/>
    <w:uiPriority w:val="99"/>
    <w:pPr>
      <w:keepNext w:val="0"/>
      <w:keepLines w:val="0"/>
      <w:tabs>
        <w:tab w:val="left" w:pos="360"/>
        <w:tab w:val="left" w:pos="420"/>
      </w:tabs>
      <w:spacing w:before="0" w:after="0" w:line="360" w:lineRule="auto"/>
      <w:ind w:left="567" w:hanging="567"/>
    </w:pPr>
    <w:rPr>
      <w:b w:val="0"/>
      <w:sz w:val="24"/>
    </w:rPr>
  </w:style>
  <w:style w:type="table" w:customStyle="1" w:styleId="664">
    <w:name w:val="网格型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5">
    <w:name w:val="标题 11"/>
    <w:basedOn w:val="1"/>
    <w:next w:val="1"/>
    <w:qFormat/>
    <w:uiPriority w:val="0"/>
    <w:pPr>
      <w:keepNext/>
      <w:keepLines/>
      <w:spacing w:before="120" w:after="120" w:line="360" w:lineRule="auto"/>
      <w:ind w:left="425"/>
      <w:outlineLvl w:val="0"/>
    </w:pPr>
    <w:rPr>
      <w:rFonts w:ascii="微软雅黑" w:hAnsi="微软雅黑" w:eastAsia="微软雅黑" w:cs="Calibri"/>
      <w:b/>
      <w:bCs/>
      <w:color w:val="000000"/>
      <w:kern w:val="44"/>
      <w:sz w:val="44"/>
      <w:szCs w:val="44"/>
    </w:rPr>
  </w:style>
  <w:style w:type="paragraph" w:customStyle="1" w:styleId="666">
    <w:name w:val="标题 21"/>
    <w:basedOn w:val="1"/>
    <w:next w:val="1"/>
    <w:qFormat/>
    <w:uiPriority w:val="0"/>
    <w:pPr>
      <w:keepNext/>
      <w:keepLines/>
      <w:spacing w:before="260" w:after="260" w:line="360" w:lineRule="auto"/>
      <w:ind w:left="992"/>
      <w:outlineLvl w:val="1"/>
    </w:pPr>
    <w:rPr>
      <w:rFonts w:ascii="Arial" w:hAnsi="Arial" w:eastAsia="黑体" w:cs="Calibri"/>
      <w:b/>
      <w:bCs/>
      <w:color w:val="000000"/>
      <w:sz w:val="32"/>
      <w:szCs w:val="32"/>
    </w:rPr>
  </w:style>
  <w:style w:type="paragraph" w:customStyle="1" w:styleId="667">
    <w:name w:val="标题 41"/>
    <w:basedOn w:val="1"/>
    <w:next w:val="1"/>
    <w:qFormat/>
    <w:uiPriority w:val="0"/>
    <w:pPr>
      <w:keepNext/>
      <w:keepLines/>
      <w:spacing w:before="280" w:after="290" w:line="360" w:lineRule="auto"/>
      <w:ind w:left="1984"/>
      <w:outlineLvl w:val="3"/>
    </w:pPr>
    <w:rPr>
      <w:rFonts w:ascii="Arial" w:hAnsi="Arial" w:eastAsia="黑体" w:cs="Calibri"/>
      <w:b/>
      <w:bCs/>
      <w:color w:val="000000"/>
      <w:sz w:val="28"/>
      <w:szCs w:val="28"/>
    </w:rPr>
  </w:style>
  <w:style w:type="character" w:customStyle="1" w:styleId="668">
    <w:name w:val="表格标题(居中) Char Char"/>
    <w:link w:val="555"/>
    <w:qFormat/>
    <w:uiPriority w:val="0"/>
    <w:rPr>
      <w:rFonts w:ascii="Calibri" w:hAnsi="Calibri" w:eastAsia="黑体" w:cs="Calibri"/>
      <w:kern w:val="2"/>
      <w:sz w:val="24"/>
    </w:rPr>
  </w:style>
  <w:style w:type="paragraph" w:customStyle="1" w:styleId="669">
    <w:name w:val="样式 标题 6BOD 4H6第五层条h6Third SubheadingL6BOD 4 + 宋体PIM 6●..."/>
    <w:basedOn w:val="1"/>
    <w:qFormat/>
    <w:uiPriority w:val="0"/>
    <w:pPr>
      <w:keepNext/>
      <w:keepLines/>
      <w:spacing w:beforeLines="50" w:after="200" w:afterLines="50"/>
      <w:ind w:left="425" w:hanging="425"/>
      <w:outlineLvl w:val="5"/>
    </w:pPr>
    <w:rPr>
      <w:rFonts w:ascii="Calibri" w:hAnsi="Calibri" w:eastAsia="微软雅黑" w:cs="Calibri"/>
      <w:b/>
      <w:bCs/>
      <w:kern w:val="28"/>
      <w:sz w:val="24"/>
    </w:rPr>
  </w:style>
  <w:style w:type="character" w:customStyle="1" w:styleId="670">
    <w:name w:val="正文首行缩进 Char1"/>
    <w:basedOn w:val="231"/>
    <w:semiHidden/>
    <w:qFormat/>
    <w:uiPriority w:val="99"/>
    <w:rPr>
      <w:rFonts w:ascii="Tahoma" w:hAnsi="Tahoma" w:eastAsia="宋体" w:cs="Times New Roman"/>
      <w:sz w:val="28"/>
      <w:szCs w:val="20"/>
    </w:rPr>
  </w:style>
  <w:style w:type="paragraph" w:customStyle="1" w:styleId="671">
    <w:name w:val="标题 32"/>
    <w:basedOn w:val="146"/>
    <w:next w:val="146"/>
    <w:qFormat/>
    <w:uiPriority w:val="0"/>
    <w:pPr>
      <w:keepNext/>
      <w:keepLines/>
      <w:numPr>
        <w:ilvl w:val="0"/>
        <w:numId w:val="28"/>
      </w:numPr>
      <w:tabs>
        <w:tab w:val="clear" w:pos="360"/>
      </w:tabs>
      <w:spacing w:before="260" w:after="260" w:line="360" w:lineRule="auto"/>
      <w:ind w:left="900" w:firstLine="0"/>
      <w:outlineLvl w:val="2"/>
    </w:pPr>
    <w:rPr>
      <w:rFonts w:ascii="Times" w:hAnsi="Times" w:eastAsia="微软雅黑" w:cs="Calibri"/>
      <w:b/>
      <w:bCs/>
      <w:color w:val="000000"/>
      <w:sz w:val="28"/>
      <w:szCs w:val="32"/>
    </w:rPr>
  </w:style>
  <w:style w:type="paragraph" w:customStyle="1" w:styleId="672">
    <w:name w:val="样式 标题 4H4Ref Heading 1rh1Heading sqlsect 1.2.3.4点标题条 24t..."/>
    <w:basedOn w:val="6"/>
    <w:qFormat/>
    <w:uiPriority w:val="0"/>
    <w:pPr>
      <w:keepLines/>
      <w:numPr>
        <w:ilvl w:val="3"/>
        <w:numId w:val="29"/>
      </w:numPr>
      <w:spacing w:line="360" w:lineRule="auto"/>
    </w:pPr>
    <w:rPr>
      <w:rFonts w:ascii="宋体" w:hAnsi="宋体"/>
      <w:b/>
      <w:bCs/>
      <w:color w:val="800080"/>
      <w:sz w:val="24"/>
    </w:rPr>
  </w:style>
  <w:style w:type="paragraph" w:customStyle="1" w:styleId="673">
    <w:name w:val="!标题1 Ctrl+1"/>
    <w:basedOn w:val="2"/>
    <w:next w:val="1"/>
    <w:qFormat/>
    <w:uiPriority w:val="0"/>
    <w:pPr>
      <w:keepNext w:val="0"/>
      <w:keepLines w:val="0"/>
      <w:pageBreakBefore/>
      <w:tabs>
        <w:tab w:val="left" w:pos="1800"/>
      </w:tabs>
      <w:adjustRightInd w:val="0"/>
      <w:snapToGrid w:val="0"/>
      <w:spacing w:beforeLines="100" w:afterLines="100" w:line="240" w:lineRule="auto"/>
      <w:jc w:val="center"/>
    </w:pPr>
    <w:rPr>
      <w:rFonts w:ascii="Arial" w:hAnsi="Arial" w:eastAsia="黑体"/>
      <w:kern w:val="2"/>
    </w:rPr>
  </w:style>
  <w:style w:type="paragraph" w:customStyle="1" w:styleId="674">
    <w:name w:val="!标题2 Ctrl+2"/>
    <w:basedOn w:val="3"/>
    <w:next w:val="1"/>
    <w:qFormat/>
    <w:uiPriority w:val="0"/>
    <w:pPr>
      <w:keepNext w:val="0"/>
      <w:keepLines w:val="0"/>
      <w:adjustRightInd w:val="0"/>
      <w:snapToGrid w:val="0"/>
      <w:spacing w:beforeLines="200" w:afterLines="50" w:line="360" w:lineRule="auto"/>
      <w:ind w:left="851" w:hanging="425"/>
    </w:pPr>
    <w:rPr>
      <w:bCs w:val="0"/>
      <w:sz w:val="30"/>
      <w:szCs w:val="36"/>
    </w:rPr>
  </w:style>
  <w:style w:type="paragraph" w:customStyle="1" w:styleId="675">
    <w:name w:val="!标题3 Ctrl+3"/>
    <w:basedOn w:val="4"/>
    <w:next w:val="1"/>
    <w:qFormat/>
    <w:uiPriority w:val="0"/>
    <w:pPr>
      <w:keepNext w:val="0"/>
      <w:keepLines w:val="0"/>
      <w:tabs>
        <w:tab w:val="left" w:pos="709"/>
      </w:tabs>
      <w:autoSpaceDE/>
      <w:autoSpaceDN/>
      <w:snapToGrid w:val="0"/>
      <w:spacing w:before="260" w:beforeLines="75" w:after="260" w:afterLines="25" w:line="360" w:lineRule="auto"/>
      <w:ind w:left="709" w:hanging="709"/>
    </w:pPr>
    <w:rPr>
      <w:rFonts w:ascii="Arial" w:hAnsi="Arial"/>
      <w:b/>
      <w:kern w:val="2"/>
      <w:sz w:val="24"/>
      <w:szCs w:val="32"/>
    </w:rPr>
  </w:style>
  <w:style w:type="paragraph" w:customStyle="1" w:styleId="676">
    <w:name w:val="!标题4 Ctrl+4"/>
    <w:basedOn w:val="1"/>
    <w:next w:val="1"/>
    <w:qFormat/>
    <w:uiPriority w:val="0"/>
    <w:pPr>
      <w:tabs>
        <w:tab w:val="left" w:pos="851"/>
      </w:tabs>
      <w:adjustRightInd w:val="0"/>
      <w:snapToGrid w:val="0"/>
      <w:spacing w:beforeLines="50" w:afterLines="50"/>
      <w:ind w:left="851"/>
      <w:outlineLvl w:val="3"/>
    </w:pPr>
    <w:rPr>
      <w:rFonts w:ascii="Arial" w:hAnsi="Arial" w:eastAsia="黑体"/>
      <w:b/>
      <w:sz w:val="24"/>
      <w:szCs w:val="30"/>
    </w:rPr>
  </w:style>
  <w:style w:type="paragraph" w:customStyle="1" w:styleId="677">
    <w:name w:val="!标题5 Ctrl+5"/>
    <w:basedOn w:val="1"/>
    <w:next w:val="1"/>
    <w:qFormat/>
    <w:uiPriority w:val="0"/>
    <w:pPr>
      <w:numPr>
        <w:ilvl w:val="4"/>
        <w:numId w:val="30"/>
      </w:numPr>
      <w:adjustRightInd w:val="0"/>
      <w:snapToGrid w:val="0"/>
      <w:spacing w:beforeLines="75" w:afterLines="50"/>
      <w:ind w:firstLine="0"/>
      <w:outlineLvl w:val="4"/>
    </w:pPr>
    <w:rPr>
      <w:rFonts w:ascii="Arial" w:hAnsi="Arial" w:eastAsia="黑体"/>
      <w:b/>
      <w:sz w:val="28"/>
      <w:szCs w:val="28"/>
    </w:rPr>
  </w:style>
  <w:style w:type="paragraph" w:customStyle="1" w:styleId="678">
    <w:name w:val="!标题6 Ctrl+6"/>
    <w:basedOn w:val="1"/>
    <w:next w:val="1"/>
    <w:qFormat/>
    <w:uiPriority w:val="0"/>
    <w:pPr>
      <w:numPr>
        <w:ilvl w:val="5"/>
        <w:numId w:val="30"/>
      </w:numPr>
      <w:adjustRightInd w:val="0"/>
      <w:snapToGrid w:val="0"/>
      <w:spacing w:beforeLines="75" w:afterLines="50"/>
      <w:ind w:firstLine="0"/>
      <w:outlineLvl w:val="5"/>
    </w:pPr>
    <w:rPr>
      <w:rFonts w:ascii="Arial" w:hAnsi="Arial" w:eastAsia="黑体"/>
      <w:b/>
      <w:sz w:val="24"/>
    </w:rPr>
  </w:style>
  <w:style w:type="paragraph" w:customStyle="1" w:styleId="679">
    <w:name w:val="正文（缩进）"/>
    <w:basedOn w:val="1"/>
    <w:qFormat/>
    <w:uiPriority w:val="0"/>
    <w:pPr>
      <w:spacing w:before="156" w:after="156"/>
    </w:pPr>
    <w:rPr>
      <w:sz w:val="28"/>
    </w:rPr>
  </w:style>
  <w:style w:type="paragraph" w:customStyle="1" w:styleId="680">
    <w:name w:val="A2"/>
    <w:basedOn w:val="3"/>
    <w:qFormat/>
    <w:uiPriority w:val="0"/>
    <w:pPr>
      <w:keepNext w:val="0"/>
      <w:keepLines w:val="0"/>
      <w:widowControl/>
      <w:pBdr>
        <w:bottom w:val="single" w:color="4F81BD" w:sz="8" w:space="1"/>
      </w:pBdr>
      <w:tabs>
        <w:tab w:val="left" w:pos="840"/>
      </w:tabs>
      <w:spacing w:before="200" w:beforeLines="100" w:after="80" w:afterLines="100" w:line="240" w:lineRule="auto"/>
      <w:ind w:left="840" w:hanging="420"/>
      <w:jc w:val="left"/>
    </w:pPr>
    <w:rPr>
      <w:rFonts w:ascii="Cambria" w:hAnsi="Cambria" w:eastAsia="宋体"/>
      <w:color w:val="365F91"/>
      <w:kern w:val="0"/>
      <w:sz w:val="24"/>
      <w:szCs w:val="22"/>
    </w:rPr>
  </w:style>
  <w:style w:type="paragraph" w:customStyle="1" w:styleId="681">
    <w:name w:val="样式 标题 3 + (符号) 宋体 三号 黑色 段前: 1 行 段后: 1 行2"/>
    <w:basedOn w:val="4"/>
    <w:qFormat/>
    <w:uiPriority w:val="0"/>
    <w:pPr>
      <w:keepNext w:val="0"/>
      <w:keepLines w:val="0"/>
      <w:widowControl/>
      <w:pBdr>
        <w:bottom w:val="single" w:color="95B3D7" w:sz="4" w:space="1"/>
      </w:pBdr>
      <w:tabs>
        <w:tab w:val="left" w:pos="1134"/>
      </w:tabs>
      <w:autoSpaceDE/>
      <w:autoSpaceDN/>
      <w:adjustRightInd/>
      <w:spacing w:before="200" w:beforeLines="100" w:after="80" w:afterLines="100" w:line="240" w:lineRule="auto"/>
      <w:ind w:left="425" w:hanging="425"/>
      <w:jc w:val="left"/>
    </w:pPr>
    <w:rPr>
      <w:rFonts w:ascii="Cambria" w:hAnsi="宋体" w:eastAsia="微软雅黑"/>
      <w:b/>
      <w:bCs/>
      <w:color w:val="000000"/>
      <w:sz w:val="32"/>
      <w:szCs w:val="24"/>
    </w:rPr>
  </w:style>
  <w:style w:type="character" w:customStyle="1" w:styleId="682">
    <w:name w:val="表格 Char"/>
    <w:qFormat/>
    <w:uiPriority w:val="35"/>
    <w:rPr>
      <w:rFonts w:ascii="Arial Unicode MS" w:hAnsi="Arial Unicode MS" w:eastAsia="宋体" w:cs="宋体"/>
      <w:szCs w:val="20"/>
    </w:rPr>
  </w:style>
  <w:style w:type="paragraph" w:customStyle="1" w:styleId="683">
    <w:name w:val="z-窗体底端11"/>
    <w:basedOn w:val="1"/>
    <w:next w:val="1"/>
    <w:qFormat/>
    <w:uiPriority w:val="0"/>
    <w:pPr>
      <w:widowControl/>
      <w:pBdr>
        <w:top w:val="single" w:color="auto" w:sz="6" w:space="1"/>
      </w:pBdr>
      <w:jc w:val="center"/>
    </w:pPr>
    <w:rPr>
      <w:rFonts w:ascii="Arial" w:hAnsi="Arial"/>
      <w:vanish/>
      <w:sz w:val="16"/>
      <w:szCs w:val="16"/>
    </w:rPr>
  </w:style>
  <w:style w:type="paragraph" w:customStyle="1" w:styleId="684">
    <w:name w:val="TOC 标题5"/>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85">
    <w:name w:val="正文11"/>
    <w:qFormat/>
    <w:uiPriority w:val="0"/>
    <w:pPr>
      <w:ind w:firstLine="420" w:firstLineChars="200"/>
    </w:pPr>
    <w:rPr>
      <w:rFonts w:ascii="Calibri" w:hAnsi="Calibri" w:eastAsia="宋体" w:cs="宋体"/>
      <w:lang w:val="en-US" w:eastAsia="zh-CN" w:bidi="ar-SA"/>
    </w:rPr>
  </w:style>
  <w:style w:type="paragraph" w:customStyle="1" w:styleId="686">
    <w:name w:val="无间隔1"/>
    <w:basedOn w:val="1"/>
    <w:qFormat/>
    <w:uiPriority w:val="0"/>
    <w:rPr>
      <w:rFonts w:ascii="Calibri" w:hAnsi="Calibri"/>
      <w:szCs w:val="21"/>
    </w:rPr>
  </w:style>
  <w:style w:type="paragraph" w:customStyle="1" w:styleId="687">
    <w:name w:val="正文-带编号1)"/>
    <w:basedOn w:val="1"/>
    <w:qFormat/>
    <w:uiPriority w:val="0"/>
    <w:pPr>
      <w:numPr>
        <w:ilvl w:val="0"/>
        <w:numId w:val="31"/>
      </w:numPr>
      <w:spacing w:line="400" w:lineRule="exact"/>
      <w:ind w:firstLine="0"/>
    </w:pPr>
    <w:rPr>
      <w:rFonts w:ascii="Arial" w:hAnsi="Arial"/>
    </w:rPr>
  </w:style>
  <w:style w:type="character" w:customStyle="1" w:styleId="688">
    <w:name w:val="列表段落 字符"/>
    <w:link w:val="189"/>
    <w:qFormat/>
    <w:uiPriority w:val="34"/>
    <w:rPr>
      <w:rFonts w:asciiTheme="minorHAnsi" w:hAnsiTheme="minorHAnsi" w:cstheme="minorBidi"/>
      <w:kern w:val="2"/>
      <w:sz w:val="21"/>
      <w:szCs w:val="22"/>
    </w:rPr>
  </w:style>
  <w:style w:type="paragraph" w:customStyle="1" w:styleId="689">
    <w:name w:val="正文格式"/>
    <w:basedOn w:val="1"/>
    <w:qFormat/>
    <w:uiPriority w:val="0"/>
    <w:pPr>
      <w:widowControl/>
      <w:numPr>
        <w:ilvl w:val="1"/>
        <w:numId w:val="32"/>
      </w:numPr>
      <w:adjustRightInd w:val="0"/>
      <w:snapToGrid w:val="0"/>
      <w:spacing w:line="360" w:lineRule="atLeast"/>
      <w:ind w:left="0" w:firstLine="482"/>
      <w:textAlignment w:val="baseline"/>
    </w:pPr>
    <w:rPr>
      <w:kern w:val="0"/>
      <w:sz w:val="24"/>
      <w:szCs w:val="20"/>
    </w:rPr>
  </w:style>
  <w:style w:type="table" w:customStyle="1" w:styleId="690">
    <w:name w:val="Table Normal"/>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1">
    <w:name w:val="Table Normal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2">
    <w:name w:val="网格型2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网格型3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Normal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5">
    <w:name w:val="Table Normal11"/>
    <w:semiHidden/>
    <w:unhideWhenUsed/>
    <w:qFormat/>
    <w:uiPriority w:val="2"/>
    <w:pPr>
      <w:widowControl w:val="0"/>
    </w:pPr>
    <w:rPr>
      <w:sz w:val="22"/>
      <w:lang w:eastAsia="en-US"/>
    </w:rPr>
    <w:tblPr>
      <w:tblCellMar>
        <w:top w:w="0" w:type="dxa"/>
        <w:left w:w="0" w:type="dxa"/>
        <w:bottom w:w="0" w:type="dxa"/>
        <w:right w:w="0" w:type="dxa"/>
      </w:tblCellMar>
    </w:tblPr>
  </w:style>
  <w:style w:type="paragraph" w:customStyle="1" w:styleId="696">
    <w:name w:val="Y正文"/>
    <w:basedOn w:val="1"/>
    <w:qFormat/>
    <w:uiPriority w:val="0"/>
    <w:pPr>
      <w:spacing w:before="50" w:beforeLines="50" w:after="50" w:afterLines="50" w:line="360" w:lineRule="auto"/>
    </w:pPr>
    <w:rPr>
      <w:rFonts w:ascii="Calibri" w:hAnsi="Calibri"/>
    </w:rPr>
  </w:style>
  <w:style w:type="paragraph" w:customStyle="1" w:styleId="697">
    <w:name w:val="表题1"/>
    <w:basedOn w:val="1"/>
    <w:qFormat/>
    <w:uiPriority w:val="0"/>
    <w:pPr>
      <w:widowControl/>
      <w:jc w:val="center"/>
    </w:pPr>
    <w:rPr>
      <w:rFonts w:ascii="宋体" w:hAnsi="Calibri"/>
      <w:b/>
      <w:kern w:val="21"/>
    </w:rPr>
  </w:style>
  <w:style w:type="paragraph" w:customStyle="1" w:styleId="698">
    <w:name w:val="表内1"/>
    <w:basedOn w:val="1"/>
    <w:qFormat/>
    <w:uiPriority w:val="0"/>
    <w:pPr>
      <w:widowControl/>
      <w:jc w:val="left"/>
    </w:pPr>
    <w:rPr>
      <w:rFonts w:ascii="宋体" w:hAnsi="Calibri"/>
      <w:kern w:val="21"/>
      <w:sz w:val="18"/>
      <w:szCs w:val="18"/>
    </w:rPr>
  </w:style>
  <w:style w:type="character" w:customStyle="1" w:styleId="699">
    <w:name w:val="活动属性描述文字"/>
    <w:qFormat/>
    <w:uiPriority w:val="0"/>
    <w:rPr>
      <w:color w:val="auto"/>
    </w:rPr>
  </w:style>
  <w:style w:type="table" w:customStyle="1" w:styleId="700">
    <w:name w:val="Table"/>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01">
    <w:name w:val="网格型4"/>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网格型5"/>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网格型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网格型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网格型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网格型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网格型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网格型2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网格型32"/>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10">
    <w:name w:val="xl59"/>
    <w:basedOn w:val="1"/>
    <w:qFormat/>
    <w:uiPriority w:val="0"/>
    <w:pPr>
      <w:widowControl/>
      <w:spacing w:before="100" w:beforeAutospacing="1" w:after="100" w:afterAutospacing="1"/>
      <w:jc w:val="center"/>
    </w:pPr>
    <w:rPr>
      <w:rFonts w:ascii="宋体" w:hAnsi="宋体"/>
      <w:kern w:val="0"/>
      <w:sz w:val="16"/>
      <w:szCs w:val="16"/>
    </w:rPr>
  </w:style>
  <w:style w:type="paragraph" w:customStyle="1" w:styleId="711">
    <w:name w:val="title2"/>
    <w:basedOn w:val="712"/>
    <w:qFormat/>
    <w:uiPriority w:val="0"/>
    <w:rPr>
      <w:rFonts w:cs="宋体"/>
      <w:szCs w:val="18"/>
    </w:rPr>
  </w:style>
  <w:style w:type="paragraph" w:customStyle="1" w:styleId="712">
    <w:name w:val="title1"/>
    <w:basedOn w:val="653"/>
    <w:qFormat/>
    <w:uiPriority w:val="0"/>
    <w:pPr>
      <w:pageBreakBefore w:val="0"/>
    </w:pPr>
    <w:rPr>
      <w:rFonts w:ascii="宋体" w:eastAsia="宋体" w:cs="Arial"/>
      <w:sz w:val="18"/>
      <w:szCs w:val="32"/>
    </w:rPr>
  </w:style>
  <w:style w:type="paragraph" w:customStyle="1" w:styleId="713">
    <w:name w:val="xl6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4">
    <w:name w:val="_Style 73"/>
    <w:basedOn w:val="1"/>
    <w:next w:val="5"/>
    <w:qFormat/>
    <w:uiPriority w:val="0"/>
    <w:pPr>
      <w:adjustRightInd w:val="0"/>
      <w:snapToGrid w:val="0"/>
      <w:spacing w:line="360" w:lineRule="auto"/>
      <w:ind w:firstLine="465"/>
    </w:pPr>
    <w:rPr>
      <w:rFonts w:ascii="宋体"/>
      <w:szCs w:val="20"/>
    </w:rPr>
  </w:style>
  <w:style w:type="paragraph" w:customStyle="1" w:styleId="715">
    <w:name w:val="xl56"/>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716">
    <w:name w:val="xl58"/>
    <w:basedOn w:val="1"/>
    <w:qFormat/>
    <w:uiPriority w:val="0"/>
    <w:pPr>
      <w:widowControl/>
      <w:spacing w:before="100" w:beforeAutospacing="1" w:after="100" w:afterAutospacing="1"/>
      <w:jc w:val="left"/>
    </w:pPr>
    <w:rPr>
      <w:rFonts w:ascii="宋体" w:hAnsi="宋体"/>
      <w:kern w:val="0"/>
      <w:sz w:val="16"/>
      <w:szCs w:val="16"/>
    </w:rPr>
  </w:style>
  <w:style w:type="paragraph" w:customStyle="1" w:styleId="717">
    <w:name w:val="xl6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8">
    <w:name w:val="xl60"/>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pPr>
    <w:rPr>
      <w:rFonts w:ascii="宋体" w:hAnsi="宋体"/>
      <w:kern w:val="0"/>
      <w:sz w:val="16"/>
      <w:szCs w:val="16"/>
    </w:rPr>
  </w:style>
  <w:style w:type="paragraph" w:customStyle="1" w:styleId="719">
    <w:name w:val="font10"/>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720">
    <w:name w:val="xl57"/>
    <w:basedOn w:val="1"/>
    <w:qFormat/>
    <w:uiPriority w:val="0"/>
    <w:pPr>
      <w:widowControl/>
      <w:spacing w:before="100" w:beforeAutospacing="1" w:after="100" w:afterAutospacing="1"/>
      <w:jc w:val="left"/>
    </w:pPr>
    <w:rPr>
      <w:rFonts w:ascii="宋体" w:hAnsi="宋体"/>
      <w:kern w:val="0"/>
      <w:sz w:val="16"/>
      <w:szCs w:val="16"/>
    </w:rPr>
  </w:style>
  <w:style w:type="table" w:customStyle="1" w:styleId="721">
    <w:name w:val="网格型1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网格型2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网格型3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网格型4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网格型5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网格型1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网格型3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网格型11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网格型21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1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31">
    <w:name w:val="网格型11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网格型11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Table Normal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4">
    <w:name w:val="Table Normal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5">
    <w:name w:val="网格型2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网格型3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le Normal2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8">
    <w:name w:val="Table Normal11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9">
    <w:name w:val="Table1"/>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40">
    <w:name w:val="网格型411"/>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网格型51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网格型6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43">
    <w:name w:val="font12"/>
    <w:qFormat/>
    <w:uiPriority w:val="0"/>
    <w:rPr>
      <w:rFonts w:hint="eastAsia" w:ascii="宋体" w:hAnsi="宋体" w:eastAsia="宋体" w:cs="宋体"/>
      <w:color w:val="FF0000"/>
      <w:sz w:val="18"/>
      <w:szCs w:val="18"/>
      <w:u w:val="single"/>
    </w:rPr>
  </w:style>
  <w:style w:type="character" w:customStyle="1" w:styleId="744">
    <w:name w:val="font91"/>
    <w:qFormat/>
    <w:uiPriority w:val="0"/>
    <w:rPr>
      <w:rFonts w:hint="eastAsia" w:ascii="宋体" w:hAnsi="宋体" w:eastAsia="宋体" w:cs="宋体"/>
      <w:color w:val="000000"/>
      <w:sz w:val="18"/>
      <w:szCs w:val="18"/>
      <w:u w:val="none"/>
    </w:rPr>
  </w:style>
  <w:style w:type="paragraph" w:customStyle="1" w:styleId="74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74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747">
    <w:name w:val="00正文（正常）"/>
    <w:basedOn w:val="1"/>
    <w:qFormat/>
    <w:uiPriority w:val="0"/>
    <w:pPr>
      <w:spacing w:beforeLines="50" w:afterLines="50" w:line="360" w:lineRule="auto"/>
      <w:ind w:firstLine="480" w:firstLineChars="200"/>
      <w:jc w:val="left"/>
    </w:pPr>
    <w:rPr>
      <w:rFonts w:eastAsia="等线"/>
      <w:sz w:val="24"/>
      <w:szCs w:val="28"/>
    </w:rPr>
  </w:style>
  <w:style w:type="paragraph" w:customStyle="1" w:styleId="748">
    <w:name w:val="xl82"/>
    <w:basedOn w:val="1"/>
    <w:qFormat/>
    <w:uiPriority w:val="0"/>
    <w:pPr>
      <w:widowControl/>
      <w:pBdr>
        <w:top w:val="single" w:color="auto" w:sz="8" w:space="0"/>
        <w:bottom w:val="single" w:color="auto" w:sz="8" w:space="0"/>
      </w:pBdr>
      <w:spacing w:before="100" w:beforeAutospacing="1" w:after="100" w:afterAutospacing="1"/>
      <w:textAlignment w:val="center"/>
    </w:pPr>
    <w:rPr>
      <w:rFonts w:ascii="宋体" w:hAnsi="宋体" w:cs="宋体"/>
      <w:b/>
      <w:bCs/>
      <w:kern w:val="0"/>
      <w:sz w:val="24"/>
    </w:rPr>
  </w:style>
  <w:style w:type="paragraph" w:customStyle="1" w:styleId="749">
    <w:name w:val="xl83"/>
    <w:basedOn w:val="1"/>
    <w:qFormat/>
    <w:uiPriority w:val="0"/>
    <w:pPr>
      <w:widowControl/>
      <w:pBdr>
        <w:top w:val="single" w:color="auto" w:sz="8" w:space="0"/>
        <w:bottom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50">
    <w:name w:val="xl84"/>
    <w:basedOn w:val="1"/>
    <w:qFormat/>
    <w:uiPriority w:val="0"/>
    <w:pPr>
      <w:widowControl/>
      <w:pBdr>
        <w:top w:val="single" w:color="auto" w:sz="12" w:space="0"/>
        <w:left w:val="single" w:color="auto" w:sz="8" w:space="0"/>
        <w:right w:val="single" w:color="auto" w:sz="12" w:space="0"/>
      </w:pBdr>
      <w:spacing w:before="100" w:beforeAutospacing="1" w:after="100" w:afterAutospacing="1"/>
      <w:jc w:val="center"/>
      <w:textAlignment w:val="center"/>
    </w:pPr>
    <w:rPr>
      <w:rFonts w:ascii="宋体" w:hAnsi="宋体" w:cs="宋体"/>
      <w:b/>
      <w:bCs/>
      <w:kern w:val="0"/>
      <w:sz w:val="24"/>
    </w:rPr>
  </w:style>
  <w:style w:type="paragraph" w:customStyle="1" w:styleId="751">
    <w:name w:val="xl8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2">
    <w:name w:val="xl8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3">
    <w:name w:val="xl8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4">
    <w:name w:val="xl88"/>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5">
    <w:name w:val="xl89"/>
    <w:basedOn w:val="1"/>
    <w:qFormat/>
    <w:uiPriority w:val="0"/>
    <w:pPr>
      <w:widowControl/>
      <w:pBdr>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6">
    <w:name w:val="xl9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7">
    <w:name w:val="xl91"/>
    <w:basedOn w:val="1"/>
    <w:qFormat/>
    <w:uiPriority w:val="0"/>
    <w:pPr>
      <w:widowControl/>
      <w:pBdr>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8">
    <w:name w:val="xl92"/>
    <w:basedOn w:val="1"/>
    <w:qFormat/>
    <w:uiPriority w:val="0"/>
    <w:pPr>
      <w:widowControl/>
      <w:pBdr>
        <w:left w:val="single" w:color="auto" w:sz="12"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9">
    <w:name w:val="xl93"/>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0">
    <w:name w:val="xl94"/>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1">
    <w:name w:val="xl95"/>
    <w:basedOn w:val="1"/>
    <w:qFormat/>
    <w:uiPriority w:val="0"/>
    <w:pPr>
      <w:widowControl/>
      <w:pBdr>
        <w:top w:val="single" w:color="auto" w:sz="12"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2">
    <w:name w:val="xl96"/>
    <w:basedOn w:val="1"/>
    <w:qFormat/>
    <w:uiPriority w:val="0"/>
    <w:pPr>
      <w:widowControl/>
      <w:spacing w:before="100" w:beforeAutospacing="1" w:after="100" w:afterAutospacing="1"/>
      <w:jc w:val="left"/>
      <w:textAlignment w:val="top"/>
    </w:pPr>
    <w:rPr>
      <w:rFonts w:ascii="宋体" w:hAnsi="宋体" w:cs="宋体"/>
      <w:kern w:val="0"/>
      <w:sz w:val="24"/>
    </w:rPr>
  </w:style>
  <w:style w:type="paragraph" w:customStyle="1" w:styleId="763">
    <w:name w:val="xl97"/>
    <w:basedOn w:val="1"/>
    <w:qFormat/>
    <w:uiPriority w:val="0"/>
    <w:pPr>
      <w:widowControl/>
      <w:pBdr>
        <w:top w:val="single" w:color="auto" w:sz="8"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4">
    <w:name w:val="xl98"/>
    <w:basedOn w:val="1"/>
    <w:qFormat/>
    <w:uiPriority w:val="0"/>
    <w:pPr>
      <w:widowControl/>
      <w:pBdr>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5">
    <w:name w:val="xl99"/>
    <w:basedOn w:val="1"/>
    <w:qFormat/>
    <w:uiPriority w:val="0"/>
    <w:pPr>
      <w:widowControl/>
      <w:pBdr>
        <w:top w:val="single" w:color="auto" w:sz="12"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6">
    <w:name w:val="xl100"/>
    <w:basedOn w:val="1"/>
    <w:qFormat/>
    <w:uiPriority w:val="0"/>
    <w:pPr>
      <w:widowControl/>
      <w:pBdr>
        <w:top w:val="single" w:color="auto" w:sz="8" w:space="0"/>
        <w:left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7">
    <w:name w:val="xl101"/>
    <w:basedOn w:val="1"/>
    <w:qFormat/>
    <w:uiPriority w:val="0"/>
    <w:pPr>
      <w:widowControl/>
      <w:pBdr>
        <w:top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8">
    <w:name w:val="xl102"/>
    <w:basedOn w:val="1"/>
    <w:qFormat/>
    <w:uiPriority w:val="0"/>
    <w:pPr>
      <w:widowControl/>
      <w:pBdr>
        <w:left w:val="single" w:color="auto" w:sz="8" w:space="0"/>
        <w:bottom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9">
    <w:name w:val="xl103"/>
    <w:basedOn w:val="1"/>
    <w:qFormat/>
    <w:uiPriority w:val="0"/>
    <w:pPr>
      <w:widowControl/>
      <w:pBdr>
        <w:bottom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70">
    <w:name w:val="xl104"/>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1">
    <w:name w:val="xl105"/>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2">
    <w:name w:val="xl106"/>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3">
    <w:name w:val="xl10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4">
    <w:name w:val="xl108"/>
    <w:basedOn w:val="1"/>
    <w:qFormat/>
    <w:uiPriority w:val="0"/>
    <w:pPr>
      <w:widowControl/>
      <w:pBdr>
        <w:top w:val="single" w:color="auto" w:sz="8" w:space="0"/>
        <w:left w:val="single" w:color="auto" w:sz="12"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5">
    <w:name w:val="xl109"/>
    <w:basedOn w:val="1"/>
    <w:qFormat/>
    <w:uiPriority w:val="0"/>
    <w:pPr>
      <w:widowControl/>
      <w:pBdr>
        <w:top w:val="single" w:color="auto" w:sz="8"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6">
    <w:name w:val="xl110"/>
    <w:basedOn w:val="1"/>
    <w:qFormat/>
    <w:uiPriority w:val="0"/>
    <w:pPr>
      <w:widowControl/>
      <w:pBdr>
        <w:top w:val="single" w:color="auto" w:sz="8" w:space="0"/>
        <w:bottom w:val="single" w:color="auto" w:sz="12"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7">
    <w:name w:val="xl111"/>
    <w:basedOn w:val="1"/>
    <w:qFormat/>
    <w:uiPriority w:val="0"/>
    <w:pPr>
      <w:widowControl/>
      <w:pBdr>
        <w:top w:val="single" w:color="auto" w:sz="8" w:space="0"/>
        <w:right w:val="single" w:color="auto" w:sz="12" w:space="0"/>
      </w:pBdr>
      <w:spacing w:before="100" w:beforeAutospacing="1" w:after="100" w:afterAutospacing="1"/>
      <w:jc w:val="left"/>
      <w:textAlignment w:val="center"/>
    </w:pPr>
    <w:rPr>
      <w:rFonts w:ascii="宋体" w:hAnsi="宋体" w:cs="宋体"/>
      <w:b/>
      <w:bCs/>
      <w:kern w:val="0"/>
      <w:sz w:val="24"/>
    </w:rPr>
  </w:style>
  <w:style w:type="paragraph" w:customStyle="1" w:styleId="77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779">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80">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81">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2">
    <w:name w:val="xl11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3">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4">
    <w:name w:val="xl118"/>
    <w:basedOn w:val="1"/>
    <w:qFormat/>
    <w:uiPriority w:val="0"/>
    <w:pPr>
      <w:widowControl/>
      <w:pBdr>
        <w:top w:val="single" w:color="auto" w:sz="8" w:space="0"/>
        <w:lef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5">
    <w:name w:val="xl119"/>
    <w:basedOn w:val="1"/>
    <w:qFormat/>
    <w:uiPriority w:val="0"/>
    <w:pPr>
      <w:widowControl/>
      <w:pBdr>
        <w:top w:val="single" w:color="auto" w:sz="8" w:space="0"/>
      </w:pBdr>
      <w:spacing w:before="100" w:beforeAutospacing="1" w:after="100" w:afterAutospacing="1"/>
      <w:textAlignment w:val="center"/>
    </w:pPr>
    <w:rPr>
      <w:rFonts w:ascii="宋体" w:hAnsi="宋体" w:cs="宋体"/>
      <w:b/>
      <w:bCs/>
      <w:kern w:val="0"/>
      <w:sz w:val="24"/>
    </w:rPr>
  </w:style>
  <w:style w:type="paragraph" w:customStyle="1" w:styleId="786">
    <w:name w:val="xl120"/>
    <w:basedOn w:val="1"/>
    <w:qFormat/>
    <w:uiPriority w:val="0"/>
    <w:pPr>
      <w:widowControl/>
      <w:pBdr>
        <w:top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7">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8">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24"/>
    </w:rPr>
  </w:style>
  <w:style w:type="paragraph" w:customStyle="1" w:styleId="790">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1">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character" w:styleId="792">
    <w:name w:val="Placeholder Text"/>
    <w:qFormat/>
    <w:uiPriority w:val="0"/>
    <w:rPr>
      <w:color w:val="808080"/>
    </w:rPr>
  </w:style>
  <w:style w:type="character" w:customStyle="1" w:styleId="793">
    <w:name w:val="font61"/>
    <w:basedOn w:val="80"/>
    <w:qFormat/>
    <w:uiPriority w:val="0"/>
    <w:rPr>
      <w:rFonts w:hint="eastAsia" w:ascii="宋体" w:hAnsi="宋体" w:eastAsia="宋体" w:cs="宋体"/>
      <w:color w:val="000000"/>
      <w:sz w:val="20"/>
      <w:szCs w:val="20"/>
      <w:u w:val="none"/>
    </w:rPr>
  </w:style>
  <w:style w:type="character" w:customStyle="1" w:styleId="794">
    <w:name w:val="font112"/>
    <w:basedOn w:val="80"/>
    <w:qFormat/>
    <w:uiPriority w:val="0"/>
    <w:rPr>
      <w:rFonts w:hint="eastAsia" w:ascii="宋体" w:hAnsi="宋体" w:eastAsia="宋体" w:cs="宋体"/>
      <w:color w:val="000000"/>
      <w:sz w:val="20"/>
      <w:szCs w:val="20"/>
      <w:u w:val="none"/>
    </w:rPr>
  </w:style>
  <w:style w:type="character" w:customStyle="1" w:styleId="795">
    <w:name w:val="font131"/>
    <w:basedOn w:val="80"/>
    <w:qFormat/>
    <w:uiPriority w:val="0"/>
    <w:rPr>
      <w:rFonts w:hint="eastAsia" w:ascii="宋体" w:hAnsi="宋体" w:eastAsia="宋体" w:cs="宋体"/>
      <w:color w:val="000000"/>
      <w:sz w:val="22"/>
      <w:szCs w:val="22"/>
      <w:u w:val="none"/>
    </w:rPr>
  </w:style>
  <w:style w:type="character" w:customStyle="1" w:styleId="796">
    <w:name w:val="font141"/>
    <w:basedOn w:val="80"/>
    <w:qFormat/>
    <w:uiPriority w:val="0"/>
    <w:rPr>
      <w:rFonts w:hint="eastAsia" w:ascii="宋体" w:hAnsi="宋体" w:eastAsia="宋体" w:cs="宋体"/>
      <w:b/>
      <w:color w:val="000000"/>
      <w:sz w:val="22"/>
      <w:szCs w:val="22"/>
      <w:u w:val="none"/>
    </w:rPr>
  </w:style>
  <w:style w:type="paragraph" w:customStyle="1" w:styleId="797">
    <w:name w:val="正文 首行缩进:  2 字符"/>
    <w:basedOn w:val="1"/>
    <w:qFormat/>
    <w:uiPriority w:val="0"/>
    <w:pPr>
      <w:ind w:firstLine="579" w:firstLineChars="200"/>
    </w:pPr>
    <w:rPr>
      <w:rFonts w:cs="宋体" w:asciiTheme="minorHAnsi" w:hAnsiTheme="minorHAnsi" w:eastAsiaTheme="minorEastAsia"/>
      <w:sz w:val="28"/>
      <w:szCs w:val="20"/>
    </w:rPr>
  </w:style>
  <w:style w:type="paragraph" w:customStyle="1" w:styleId="798">
    <w:name w:val="_正文"/>
    <w:qFormat/>
    <w:uiPriority w:val="0"/>
    <w:pPr>
      <w:spacing w:line="360" w:lineRule="auto"/>
      <w:ind w:firstLine="200" w:firstLineChars="200"/>
    </w:pPr>
    <w:rPr>
      <w:rFonts w:ascii="Calibri" w:hAnsi="Calibri" w:eastAsia="宋体" w:cs="黑体"/>
      <w:kern w:val="2"/>
      <w:sz w:val="24"/>
      <w:szCs w:val="21"/>
      <w:lang w:val="en-US" w:eastAsia="zh-CN" w:bidi="ar-SA"/>
    </w:rPr>
  </w:style>
  <w:style w:type="character" w:customStyle="1" w:styleId="799">
    <w:name w:val="cur"/>
    <w:basedOn w:val="80"/>
    <w:qFormat/>
    <w:uiPriority w:val="0"/>
    <w:rPr>
      <w:color w:val="1D4491"/>
    </w:rPr>
  </w:style>
  <w:style w:type="character" w:customStyle="1" w:styleId="800">
    <w:name w:val="before"/>
    <w:basedOn w:val="80"/>
    <w:qFormat/>
    <w:uiPriority w:val="0"/>
    <w:rPr>
      <w:shd w:val="clear" w:color="auto" w:fill="E2E2E2"/>
    </w:rPr>
  </w:style>
  <w:style w:type="character" w:customStyle="1" w:styleId="801">
    <w:name w:val="after"/>
    <w:basedOn w:val="80"/>
    <w:qFormat/>
    <w:uiPriority w:val="0"/>
    <w:rPr>
      <w:shd w:val="clear" w:color="auto" w:fill="E2E2E2"/>
    </w:rPr>
  </w:style>
  <w:style w:type="paragraph" w:customStyle="1" w:styleId="802">
    <w:name w:val="正文首行缩进（1）"/>
    <w:basedOn w:val="1"/>
    <w:qFormat/>
    <w:uiPriority w:val="0"/>
    <w:pPr>
      <w:spacing w:after="50" w:line="300" w:lineRule="auto"/>
      <w:ind w:firstLine="200" w:firstLineChars="200"/>
      <w:jc w:val="left"/>
    </w:pPr>
    <w:rPr>
      <w:rFonts w:asciiTheme="minorHAnsi" w:hAnsiTheme="minorHAnsi" w:eastAsiaTheme="minorEastAsia"/>
      <w:sz w:val="24"/>
      <w:szCs w:val="22"/>
    </w:rPr>
  </w:style>
  <w:style w:type="table" w:customStyle="1" w:styleId="803">
    <w:name w:val="网格型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10"/>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1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网格型2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网格型3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网格型1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网格型2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313"/>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11">
    <w:name w:val="网格型1113"/>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1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Normal4"/>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4">
    <w:name w:val="Table Normal1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5">
    <w:name w:val="网格型2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网格型3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Normal2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8">
    <w:name w:val="Table Normal1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9">
    <w:name w:val="Table2"/>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820">
    <w:name w:val="网格型42"/>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网格型5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网格型6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网格型7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4">
    <w:name w:val="WW8Num17z0"/>
    <w:qFormat/>
    <w:uiPriority w:val="99"/>
    <w:rPr>
      <w:lang w:val="en-US"/>
    </w:rPr>
  </w:style>
  <w:style w:type="character" w:customStyle="1" w:styleId="825">
    <w:name w:val="WW-Absatz-Standardschriftart"/>
    <w:qFormat/>
    <w:uiPriority w:val="99"/>
  </w:style>
  <w:style w:type="character" w:customStyle="1" w:styleId="826">
    <w:name w:val="Absatz-Standardschriftart"/>
    <w:qFormat/>
    <w:uiPriority w:val="99"/>
  </w:style>
  <w:style w:type="character" w:customStyle="1" w:styleId="827">
    <w:name w:val="WW8Num29z0"/>
    <w:qFormat/>
    <w:uiPriority w:val="99"/>
    <w:rPr>
      <w:u w:val="none"/>
    </w:rPr>
  </w:style>
  <w:style w:type="character" w:customStyle="1" w:styleId="828">
    <w:name w:val="WW8Num16z0"/>
    <w:qFormat/>
    <w:uiPriority w:val="99"/>
    <w:rPr>
      <w:lang w:val="en-US"/>
    </w:rPr>
  </w:style>
  <w:style w:type="character" w:customStyle="1" w:styleId="829">
    <w:name w:val="WW8Num6z0"/>
    <w:qFormat/>
    <w:uiPriority w:val="99"/>
    <w:rPr>
      <w:u w:val="none"/>
    </w:rPr>
  </w:style>
  <w:style w:type="character" w:customStyle="1" w:styleId="830">
    <w:name w:val="WW8Num36z0"/>
    <w:qFormat/>
    <w:uiPriority w:val="99"/>
    <w:rPr>
      <w:u w:val="none"/>
    </w:rPr>
  </w:style>
  <w:style w:type="character" w:customStyle="1" w:styleId="831">
    <w:name w:val="WW8Num18z1"/>
    <w:qFormat/>
    <w:uiPriority w:val="99"/>
    <w:rPr>
      <w:rFonts w:ascii="Wingdings" w:hAnsi="Wingdings"/>
    </w:rPr>
  </w:style>
  <w:style w:type="character" w:customStyle="1" w:styleId="832">
    <w:name w:val="WW8Num18z0"/>
    <w:qFormat/>
    <w:uiPriority w:val="99"/>
    <w:rPr>
      <w:rFonts w:ascii="宋体" w:hAnsi="宋体" w:eastAsia="宋体"/>
      <w:sz w:val="18"/>
    </w:rPr>
  </w:style>
  <w:style w:type="character" w:customStyle="1" w:styleId="833">
    <w:name w:val="WW8Num14z0"/>
    <w:qFormat/>
    <w:uiPriority w:val="99"/>
    <w:rPr>
      <w:u w:val="none"/>
    </w:rPr>
  </w:style>
  <w:style w:type="character" w:customStyle="1" w:styleId="834">
    <w:name w:val="WW-Absatz-Standardschriftart1"/>
    <w:qFormat/>
    <w:uiPriority w:val="99"/>
  </w:style>
  <w:style w:type="character" w:customStyle="1" w:styleId="835">
    <w:name w:val="WW8Num32z0"/>
    <w:qFormat/>
    <w:uiPriority w:val="99"/>
    <w:rPr>
      <w:u w:val="none"/>
    </w:rPr>
  </w:style>
  <w:style w:type="character" w:customStyle="1" w:styleId="836">
    <w:name w:val="默认段落字体1"/>
    <w:qFormat/>
    <w:uiPriority w:val="99"/>
  </w:style>
  <w:style w:type="character" w:customStyle="1" w:styleId="837">
    <w:name w:val="WW8Num39z0"/>
    <w:qFormat/>
    <w:uiPriority w:val="99"/>
    <w:rPr>
      <w:u w:val="none"/>
    </w:rPr>
  </w:style>
  <w:style w:type="character" w:customStyle="1" w:styleId="838">
    <w:name w:val="WW8Num13z0"/>
    <w:qFormat/>
    <w:uiPriority w:val="99"/>
    <w:rPr>
      <w:u w:val="none"/>
    </w:rPr>
  </w:style>
  <w:style w:type="paragraph" w:customStyle="1" w:styleId="839">
    <w:name w:val="表格内容"/>
    <w:basedOn w:val="1"/>
    <w:qFormat/>
    <w:uiPriority w:val="99"/>
    <w:pPr>
      <w:suppressLineNumbers/>
      <w:suppressAutoHyphens/>
    </w:pPr>
    <w:rPr>
      <w:kern w:val="1"/>
      <w:szCs w:val="20"/>
      <w:lang w:eastAsia="ar-SA"/>
    </w:rPr>
  </w:style>
  <w:style w:type="paragraph" w:customStyle="1" w:styleId="840">
    <w:name w:val="标签"/>
    <w:basedOn w:val="1"/>
    <w:qFormat/>
    <w:uiPriority w:val="99"/>
    <w:pPr>
      <w:suppressLineNumbers/>
      <w:suppressAutoHyphens/>
      <w:spacing w:before="120" w:after="120"/>
    </w:pPr>
    <w:rPr>
      <w:i/>
      <w:iCs/>
      <w:kern w:val="1"/>
      <w:sz w:val="24"/>
      <w:lang w:eastAsia="ar-SA"/>
    </w:rPr>
  </w:style>
  <w:style w:type="character" w:customStyle="1" w:styleId="841">
    <w:name w:val="正文文本首行缩进 字符1"/>
    <w:basedOn w:val="119"/>
    <w:semiHidden/>
    <w:qFormat/>
    <w:uiPriority w:val="99"/>
    <w:rPr>
      <w:rFonts w:ascii="Times New Roman" w:hAnsi="Times New Roman" w:eastAsia="宋体" w:cs="Times New Roman"/>
      <w:sz w:val="28"/>
      <w:szCs w:val="24"/>
    </w:rPr>
  </w:style>
  <w:style w:type="paragraph" w:customStyle="1" w:styleId="842">
    <w:name w:val="日期1"/>
    <w:basedOn w:val="1"/>
    <w:next w:val="1"/>
    <w:qFormat/>
    <w:uiPriority w:val="99"/>
    <w:pPr>
      <w:suppressAutoHyphens/>
    </w:pPr>
    <w:rPr>
      <w:rFonts w:eastAsia="方正大标宋简体"/>
      <w:b/>
      <w:kern w:val="1"/>
      <w:sz w:val="32"/>
      <w:szCs w:val="20"/>
      <w:lang w:eastAsia="ar-SA"/>
    </w:rPr>
  </w:style>
  <w:style w:type="table" w:customStyle="1" w:styleId="843">
    <w:name w:val="网格型122"/>
    <w:basedOn w:val="7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网格型1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45">
    <w:name w:val="NormalCharacter"/>
    <w:qFormat/>
    <w:uiPriority w:val="99"/>
  </w:style>
  <w:style w:type="paragraph" w:customStyle="1" w:styleId="846">
    <w:name w:val="TOC 标题6"/>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847">
    <w:name w:val="网格型1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8">
    <w:name w:val="修订3"/>
    <w:hidden/>
    <w:unhideWhenUsed/>
    <w:qFormat/>
    <w:uiPriority w:val="99"/>
    <w:rPr>
      <w:rFonts w:ascii="Times New Roman" w:hAnsi="Times New Roman" w:eastAsia="宋体" w:cs="Times New Roman"/>
      <w:kern w:val="2"/>
      <w:sz w:val="21"/>
      <w:szCs w:val="24"/>
      <w:lang w:val="en-US" w:eastAsia="zh-CN" w:bidi="ar-SA"/>
    </w:rPr>
  </w:style>
  <w:style w:type="table" w:customStyle="1" w:styleId="849">
    <w:name w:val="网格型17"/>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50">
    <w:name w:val="页眉 Char2"/>
    <w:qFormat/>
    <w:locked/>
    <w:uiPriority w:val="99"/>
    <w:rPr>
      <w:rFonts w:ascii="Times New Roman" w:hAnsi="Times New Roman" w:eastAsia="宋体" w:cs="Times New Roman"/>
      <w:kern w:val="1"/>
      <w:sz w:val="18"/>
      <w:szCs w:val="18"/>
      <w:lang w:eastAsia="ar-SA"/>
    </w:rPr>
  </w:style>
  <w:style w:type="character" w:customStyle="1" w:styleId="851">
    <w:name w:val="批注文字 字符"/>
    <w:qFormat/>
    <w:uiPriority w:val="99"/>
    <w:rPr>
      <w:rFonts w:ascii="Times New Roman" w:hAnsi="Times New Roman" w:eastAsia="宋体" w:cs="Times New Roman"/>
      <w:kern w:val="1"/>
      <w:szCs w:val="24"/>
      <w:lang w:eastAsia="ar-SA"/>
    </w:rPr>
  </w:style>
  <w:style w:type="character" w:customStyle="1" w:styleId="852">
    <w:name w:val="批注主题 字符"/>
    <w:semiHidden/>
    <w:qFormat/>
    <w:uiPriority w:val="99"/>
    <w:rPr>
      <w:rFonts w:ascii="Times New Roman" w:hAnsi="Times New Roman" w:eastAsia="宋体" w:cs="Times New Roman"/>
      <w:b/>
      <w:bCs/>
      <w:kern w:val="1"/>
      <w:szCs w:val="24"/>
      <w:lang w:eastAsia="ar-SA"/>
    </w:rPr>
  </w:style>
  <w:style w:type="table" w:customStyle="1" w:styleId="853">
    <w:name w:val="网格型1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19"/>
    <w:basedOn w:val="78"/>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网格型2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网格型34"/>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网格型1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网格型2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网格型3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网格型43"/>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网格型20"/>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网格型110"/>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网格型2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网格型3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44"/>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网格型26"/>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网格型4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网格型171"/>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2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28"/>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网格型29"/>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网格型30"/>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3">
    <w:name w:val="批注文字 字符1"/>
    <w:qFormat/>
    <w:uiPriority w:val="99"/>
    <w:rPr>
      <w:kern w:val="2"/>
      <w:sz w:val="21"/>
      <w:szCs w:val="24"/>
    </w:rPr>
  </w:style>
  <w:style w:type="table" w:customStyle="1" w:styleId="874">
    <w:name w:val="网格型161"/>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5">
    <w:name w:val="网格型162"/>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6">
    <w:name w:val="网格型3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77">
    <w:name w:val="_Style 17"/>
    <w:basedOn w:val="1"/>
    <w:next w:val="102"/>
    <w:qFormat/>
    <w:uiPriority w:val="0"/>
    <w:pPr>
      <w:ind w:firstLine="420" w:firstLineChars="200"/>
    </w:pPr>
    <w:rPr>
      <w:rFonts w:ascii="Calibri" w:hAnsi="Calibri"/>
      <w:szCs w:val="22"/>
    </w:rPr>
  </w:style>
  <w:style w:type="paragraph" w:customStyle="1" w:styleId="878">
    <w:name w:val="_Style 15"/>
    <w:basedOn w:val="1"/>
    <w:next w:val="1"/>
    <w:qFormat/>
    <w:uiPriority w:val="0"/>
    <w:pPr>
      <w:ind w:firstLine="420" w:firstLineChars="200"/>
    </w:pPr>
    <w:rPr>
      <w:rFonts w:ascii="Calibri" w:hAnsi="Calibri"/>
      <w:szCs w:val="21"/>
    </w:rPr>
  </w:style>
  <w:style w:type="character" w:customStyle="1" w:styleId="879">
    <w:name w:val="批注文字 字符2"/>
    <w:qFormat/>
    <w:uiPriority w:val="99"/>
    <w:rPr>
      <w:rFonts w:ascii="Times New Roman" w:hAnsi="Times New Roman" w:eastAsia="宋体" w:cs="Times New Roman"/>
      <w:szCs w:val="24"/>
    </w:rPr>
  </w:style>
  <w:style w:type="character" w:customStyle="1" w:styleId="880">
    <w:name w:val="纯文本 字符2"/>
    <w:qFormat/>
    <w:uiPriority w:val="0"/>
    <w:rPr>
      <w:rFonts w:ascii="宋体" w:hAnsi="Courier New" w:eastAsia="宋体" w:cs="Times New Roman"/>
      <w:szCs w:val="20"/>
    </w:rPr>
  </w:style>
  <w:style w:type="table" w:customStyle="1" w:styleId="881">
    <w:name w:val="网格型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882">
    <w:name w:val="网格型3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883">
    <w:name w:val="font101"/>
    <w:basedOn w:val="80"/>
    <w:qFormat/>
    <w:uiPriority w:val="0"/>
    <w:rPr>
      <w:rFonts w:hint="default" w:ascii="Times New Roman" w:hAnsi="Times New Roman" w:cs="Times New Roman"/>
      <w:color w:val="000000"/>
      <w:sz w:val="21"/>
      <w:szCs w:val="21"/>
      <w:u w:val="none"/>
    </w:rPr>
  </w:style>
  <w:style w:type="paragraph" w:customStyle="1" w:styleId="884">
    <w:name w:val="标题4"/>
    <w:basedOn w:val="1"/>
    <w:next w:val="1"/>
    <w:qFormat/>
    <w:uiPriority w:val="0"/>
    <w:pPr>
      <w:spacing w:beforeLines="50" w:afterLines="50"/>
      <w:outlineLvl w:val="3"/>
    </w:pPr>
    <w:rPr>
      <w:rFonts w:eastAsia="楷体_GB2312"/>
      <w:b/>
      <w:sz w:val="24"/>
    </w:rPr>
  </w:style>
  <w:style w:type="character" w:customStyle="1" w:styleId="885">
    <w:name w:val="btn_xlxz1"/>
    <w:basedOn w:val="80"/>
    <w:qFormat/>
    <w:uiPriority w:val="0"/>
  </w:style>
  <w:style w:type="paragraph" w:customStyle="1" w:styleId="886">
    <w:name w:val="_Style 885"/>
    <w:basedOn w:val="1"/>
    <w:next w:val="1"/>
    <w:qFormat/>
    <w:uiPriority w:val="0"/>
    <w:pPr>
      <w:pBdr>
        <w:bottom w:val="single" w:color="auto" w:sz="6" w:space="1"/>
      </w:pBdr>
      <w:jc w:val="center"/>
    </w:pPr>
    <w:rPr>
      <w:rFonts w:ascii="Arial" w:eastAsia="宋体"/>
      <w:vanish/>
      <w:sz w:val="16"/>
    </w:rPr>
  </w:style>
  <w:style w:type="paragraph" w:customStyle="1" w:styleId="887">
    <w:name w:val="_Style 886"/>
    <w:basedOn w:val="1"/>
    <w:next w:val="1"/>
    <w:qFormat/>
    <w:uiPriority w:val="0"/>
    <w:pPr>
      <w:pBdr>
        <w:top w:val="single" w:color="auto" w:sz="6" w:space="1"/>
      </w:pBdr>
      <w:jc w:val="center"/>
    </w:pPr>
    <w:rPr>
      <w:rFonts w:ascii="Arial" w:eastAsia="宋体"/>
      <w:vanish/>
      <w:sz w:val="16"/>
    </w:rPr>
  </w:style>
  <w:style w:type="paragraph" w:customStyle="1" w:styleId="888">
    <w:name w:val="_Style 887"/>
    <w:basedOn w:val="1"/>
    <w:next w:val="1"/>
    <w:qFormat/>
    <w:uiPriority w:val="0"/>
    <w:pPr>
      <w:pBdr>
        <w:bottom w:val="single" w:color="auto" w:sz="6" w:space="1"/>
      </w:pBdr>
      <w:jc w:val="center"/>
    </w:pPr>
    <w:rPr>
      <w:rFonts w:ascii="Arial" w:eastAsia="宋体"/>
      <w:vanish/>
      <w:sz w:val="16"/>
    </w:rPr>
  </w:style>
  <w:style w:type="paragraph" w:customStyle="1" w:styleId="889">
    <w:name w:val="_Style 888"/>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68"/>
    <customShpInfo spid="_x0000_s2049"/>
    <customShpInfo spid="_x0000_s2051"/>
    <customShpInfo spid="_x0000_s206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20430</Words>
  <Characters>21708</Characters>
  <Lines>561</Lines>
  <Paragraphs>157</Paragraphs>
  <TotalTime>0</TotalTime>
  <ScaleCrop>false</ScaleCrop>
  <LinksUpToDate>false</LinksUpToDate>
  <CharactersWithSpaces>21775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2020-09-14T02:21:00Z</dcterms:created>
  <dcterms:modified xsi:type="dcterms:W3CDTF">2026-04-16T10:10:08Z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0F296BF0E6154DFDA936C5B5A908C10A_13</vt:lpwstr>
  </property>
  <property fmtid="{D5CDD505-2E9C-101B-9397-08002B2CF9AE}" pid="4" name="KSOTemplateDocerSaveRecord">
    <vt:lpwstr>eyJoZGlkIjoiZGQ1ZGVkZjIyMzNlMjYzZDFlYWQ5ZmRkMWE2OTM2NTEiLCJ1c2VySWQiOiIxNjc2Mjk4OTExIn0=</vt:lpwstr>
  </property>
</Properties>
</file>