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BE1A2">
      <w:pPr>
        <w:spacing w:line="920" w:lineRule="exact"/>
        <w:jc w:val="center"/>
        <w:rPr>
          <w:rFonts w:hint="eastAsia" w:eastAsia="方正大标宋简体"/>
          <w:sz w:val="36"/>
          <w:szCs w:val="36"/>
          <w:lang w:eastAsia="zh-CN"/>
        </w:rPr>
      </w:pPr>
      <w:r>
        <w:rPr>
          <w:rFonts w:hint="eastAsia" w:eastAsia="方正大标宋简体"/>
          <w:sz w:val="36"/>
          <w:szCs w:val="36"/>
          <w:lang w:eastAsia="zh-CN"/>
        </w:rPr>
        <w:t>通服云链科技(浙江)有限公司202</w:t>
      </w:r>
      <w:r>
        <w:rPr>
          <w:rFonts w:hint="eastAsia" w:eastAsia="方正大标宋简体"/>
          <w:sz w:val="36"/>
          <w:szCs w:val="36"/>
          <w:lang w:val="en-US" w:eastAsia="zh-CN"/>
        </w:rPr>
        <w:t>6</w:t>
      </w:r>
      <w:r>
        <w:rPr>
          <w:rFonts w:hint="eastAsia" w:eastAsia="方正大标宋简体"/>
          <w:sz w:val="36"/>
          <w:szCs w:val="36"/>
          <w:lang w:eastAsia="zh-CN"/>
        </w:rPr>
        <w:t>年电商平台</w:t>
      </w:r>
    </w:p>
    <w:p w14:paraId="1170915E">
      <w:pPr>
        <w:spacing w:line="920" w:lineRule="exact"/>
        <w:jc w:val="center"/>
        <w:rPr>
          <w:sz w:val="13"/>
          <w:szCs w:val="13"/>
        </w:rPr>
      </w:pPr>
      <w:r>
        <w:rPr>
          <w:rFonts w:hint="eastAsia" w:eastAsia="方正大标宋简体"/>
          <w:sz w:val="36"/>
          <w:szCs w:val="36"/>
          <w:lang w:eastAsia="zh-CN"/>
        </w:rPr>
        <w:t>（</w:t>
      </w:r>
      <w:r>
        <w:rPr>
          <w:rFonts w:hint="eastAsia" w:eastAsia="方正大标宋简体"/>
          <w:sz w:val="36"/>
          <w:szCs w:val="36"/>
          <w:lang w:val="en-US" w:eastAsia="zh-CN"/>
        </w:rPr>
        <w:t>福建</w:t>
      </w:r>
      <w:r>
        <w:rPr>
          <w:rFonts w:hint="eastAsia" w:eastAsia="方正大标宋简体"/>
          <w:sz w:val="36"/>
          <w:szCs w:val="36"/>
          <w:lang w:eastAsia="zh-CN"/>
        </w:rPr>
        <w:t>省）合作供应商招募</w:t>
      </w:r>
      <w:r>
        <w:rPr>
          <w:rFonts w:hint="eastAsia" w:eastAsia="方正大标宋简体"/>
          <w:sz w:val="36"/>
          <w:szCs w:val="36"/>
          <w:lang w:val="en-US" w:eastAsia="zh-CN"/>
        </w:rPr>
        <w:t>公告</w:t>
      </w:r>
    </w:p>
    <w:p w14:paraId="7BC36A7E">
      <w:pPr>
        <w:spacing w:line="440" w:lineRule="exact"/>
        <w:rPr>
          <w:sz w:val="20"/>
          <w:szCs w:val="20"/>
        </w:rPr>
      </w:pPr>
    </w:p>
    <w:p w14:paraId="376971CE">
      <w:pPr>
        <w:keepNext w:val="0"/>
        <w:keepLines w:val="0"/>
        <w:pageBreakBefore w:val="0"/>
        <w:widowControl/>
        <w:suppressLineNumbers w:val="0"/>
        <w:kinsoku/>
        <w:wordWrap/>
        <w:overflowPunct/>
        <w:topLinePunct w:val="0"/>
        <w:bidi w:val="0"/>
        <w:spacing w:line="500" w:lineRule="exact"/>
        <w:jc w:val="left"/>
        <w:textAlignment w:val="center"/>
        <w:rPr>
          <w:rFonts w:hint="eastAsia" w:ascii="宋体" w:hAnsi="宋体" w:eastAsia="宋体" w:cs="宋体"/>
          <w:b/>
          <w:bCs/>
          <w:i w:val="0"/>
          <w:iCs w:val="0"/>
          <w:color w:val="000000"/>
          <w:kern w:val="0"/>
          <w:sz w:val="21"/>
          <w:szCs w:val="21"/>
          <w:u w:val="none"/>
          <w:lang w:val="en-US" w:eastAsia="zh-CN" w:bidi="ar"/>
        </w:rPr>
      </w:pPr>
      <w:bookmarkStart w:id="0" w:name="_Toc478562442"/>
      <w:bookmarkStart w:id="1" w:name="_Toc152047195"/>
      <w:bookmarkStart w:id="2" w:name="_Toc144974398"/>
      <w:bookmarkStart w:id="3" w:name="_Toc467156531"/>
      <w:bookmarkStart w:id="4" w:name="_Toc21192"/>
      <w:r>
        <w:rPr>
          <w:rFonts w:hint="eastAsia" w:ascii="宋体" w:hAnsi="宋体" w:eastAsia="宋体" w:cs="宋体"/>
          <w:b/>
          <w:bCs/>
          <w:i w:val="0"/>
          <w:iCs w:val="0"/>
          <w:color w:val="000000"/>
          <w:kern w:val="0"/>
          <w:sz w:val="21"/>
          <w:szCs w:val="21"/>
          <w:u w:val="none"/>
          <w:lang w:val="en-US" w:eastAsia="zh-CN" w:bidi="ar"/>
        </w:rPr>
        <w:t>一、招募条件、项目概况与招募内容</w:t>
      </w:r>
    </w:p>
    <w:p w14:paraId="2C99D0C5">
      <w:pPr>
        <w:keepNext w:val="0"/>
        <w:keepLines w:val="0"/>
        <w:pageBreakBefore w:val="0"/>
        <w:widowControl/>
        <w:suppressLineNumbers w:val="0"/>
        <w:kinsoku/>
        <w:wordWrap/>
        <w:overflowPunct/>
        <w:topLinePunct w:val="0"/>
        <w:bidi w:val="0"/>
        <w:spacing w:line="500" w:lineRule="exact"/>
        <w:ind w:firstLine="422" w:firstLineChars="20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1．招募条件</w:t>
      </w:r>
    </w:p>
    <w:p w14:paraId="4C795C25">
      <w:pPr>
        <w:keepNext w:val="0"/>
        <w:keepLines w:val="0"/>
        <w:pageBreakBefore w:val="0"/>
        <w:widowControl/>
        <w:suppressLineNumbers w:val="0"/>
        <w:kinsoku/>
        <w:wordWrap/>
        <w:overflowPunct/>
        <w:topLinePunct w:val="0"/>
        <w:bidi w:val="0"/>
        <w:spacing w:line="500" w:lineRule="exact"/>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本招募项目为通服云链科技(浙江)有限公司2026年电商平台（福建省）合作供应商招募，招募人为通服云链科技(浙江)有限公司，</w:t>
      </w:r>
      <w:r>
        <w:rPr>
          <w:rFonts w:hint="eastAsia" w:ascii="宋体" w:hAnsi="宋体" w:eastAsia="宋体" w:cs="宋体"/>
          <w:i w:val="0"/>
          <w:iCs w:val="0"/>
          <w:color w:val="000000"/>
          <w:kern w:val="0"/>
          <w:sz w:val="21"/>
          <w:szCs w:val="21"/>
          <w:u w:val="none"/>
          <w:lang w:val="en-US" w:eastAsia="zh-CN" w:bidi="ar"/>
        </w:rPr>
        <w:t>建设资金来自招募人自筹，本项目已具备招募条件，现进行常态化公开招募，特邀请有意向的潜在申请人（以下简称申请人）提出申请。</w:t>
      </w:r>
    </w:p>
    <w:p w14:paraId="0728EF6A">
      <w:pPr>
        <w:keepNext w:val="0"/>
        <w:keepLines w:val="0"/>
        <w:pageBreakBefore w:val="0"/>
        <w:widowControl/>
        <w:suppressLineNumbers w:val="0"/>
        <w:kinsoku/>
        <w:wordWrap/>
        <w:overflowPunct/>
        <w:topLinePunct w:val="0"/>
        <w:bidi w:val="0"/>
        <w:spacing w:line="500" w:lineRule="exact"/>
        <w:ind w:firstLine="422" w:firstLineChars="20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2．项目概况与招募范围</w:t>
      </w:r>
    </w:p>
    <w:p w14:paraId="04384604">
      <w:pPr>
        <w:keepNext w:val="0"/>
        <w:keepLines w:val="0"/>
        <w:pageBreakBefore w:val="0"/>
        <w:widowControl/>
        <w:suppressLineNumbers w:val="0"/>
        <w:kinsoku/>
        <w:wordWrap/>
        <w:overflowPunct/>
        <w:topLinePunct w:val="0"/>
        <w:bidi w:val="0"/>
        <w:spacing w:line="500" w:lineRule="exact"/>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 项目概况：随着中国通服电子商城福建专区的业务规模将快速增长，为有效降低政企客户采购成本，提升终端现场服务质量，现特向制造商、具有一级代理或授权的代理商等多渠道进行延伸。</w:t>
      </w:r>
    </w:p>
    <w:p w14:paraId="79B41C44">
      <w:pPr>
        <w:keepNext w:val="0"/>
        <w:keepLines w:val="0"/>
        <w:pageBreakBefore w:val="0"/>
        <w:widowControl/>
        <w:suppressLineNumbers w:val="0"/>
        <w:kinsoku/>
        <w:wordWrap/>
        <w:overflowPunct/>
        <w:topLinePunct w:val="0"/>
        <w:bidi w:val="0"/>
        <w:spacing w:line="500" w:lineRule="exact"/>
        <w:ind w:firstLine="420" w:firstLineChars="20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 招募有效期限为：自招募人发出招募合格通知书之日起2年</w:t>
      </w:r>
      <w:r>
        <w:rPr>
          <w:rFonts w:hint="eastAsia" w:ascii="宋体" w:hAnsi="宋体" w:cs="宋体"/>
          <w:i w:val="0"/>
          <w:iCs w:val="0"/>
          <w:color w:val="000000"/>
          <w:kern w:val="0"/>
          <w:sz w:val="21"/>
          <w:szCs w:val="21"/>
          <w:u w:val="none"/>
          <w:lang w:val="en-US" w:eastAsia="zh-CN" w:bidi="ar"/>
        </w:rPr>
        <w:t>。原通服云链科技(浙江)有限公司2025年电商平台（福建省）合作供应商招募公告废止，以本份招募要求为准。</w:t>
      </w:r>
    </w:p>
    <w:p w14:paraId="5F0491CF">
      <w:pPr>
        <w:keepNext w:val="0"/>
        <w:keepLines w:val="0"/>
        <w:pageBreakBefore w:val="0"/>
        <w:widowControl/>
        <w:suppressLineNumbers w:val="0"/>
        <w:kinsoku/>
        <w:wordWrap/>
        <w:overflowPunct/>
        <w:topLinePunct w:val="0"/>
        <w:bidi w:val="0"/>
        <w:spacing w:line="500" w:lineRule="exact"/>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2.3预估年采购额：实际规模以商城订单为准。</w:t>
      </w:r>
    </w:p>
    <w:p w14:paraId="4DD83CFB">
      <w:pPr>
        <w:keepNext w:val="0"/>
        <w:keepLines w:val="0"/>
        <w:pageBreakBefore w:val="0"/>
        <w:widowControl/>
        <w:suppressLineNumbers w:val="0"/>
        <w:kinsoku/>
        <w:wordWrap/>
        <w:overflowPunct/>
        <w:topLinePunct w:val="0"/>
        <w:bidi w:val="0"/>
        <w:spacing w:line="500" w:lineRule="exact"/>
        <w:ind w:firstLine="420" w:firstLineChars="20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2.4供货地点：中国境内</w:t>
      </w:r>
      <w:r>
        <w:rPr>
          <w:rFonts w:hint="eastAsia" w:ascii="宋体" w:hAnsi="宋体" w:eastAsia="宋体" w:cs="宋体"/>
          <w:i w:val="0"/>
          <w:iCs w:val="0"/>
          <w:color w:val="000000"/>
          <w:kern w:val="0"/>
          <w:sz w:val="21"/>
          <w:szCs w:val="21"/>
          <w:highlight w:val="none"/>
          <w:u w:val="none"/>
          <w:lang w:val="en-US" w:eastAsia="zh-CN" w:bidi="ar"/>
        </w:rPr>
        <w:t>（不包含港澳台地区）</w:t>
      </w:r>
      <w:r>
        <w:rPr>
          <w:rFonts w:hint="eastAsia" w:ascii="宋体" w:hAnsi="宋体" w:eastAsia="宋体" w:cs="宋体"/>
          <w:i w:val="0"/>
          <w:iCs w:val="0"/>
          <w:color w:val="000000"/>
          <w:kern w:val="0"/>
          <w:sz w:val="21"/>
          <w:szCs w:val="21"/>
          <w:u w:val="none"/>
          <w:lang w:val="en-US" w:eastAsia="zh-CN" w:bidi="ar"/>
        </w:rPr>
        <w:t>。</w:t>
      </w:r>
    </w:p>
    <w:p w14:paraId="381D5D3D">
      <w:pPr>
        <w:keepNext w:val="0"/>
        <w:keepLines w:val="0"/>
        <w:pageBreakBefore w:val="0"/>
        <w:widowControl/>
        <w:suppressLineNumbers w:val="0"/>
        <w:kinsoku/>
        <w:wordWrap/>
        <w:overflowPunct/>
        <w:topLinePunct w:val="0"/>
        <w:bidi w:val="0"/>
        <w:spacing w:line="500" w:lineRule="exact"/>
        <w:jc w:val="left"/>
        <w:textAlignment w:val="center"/>
        <w:rPr>
          <w:rFonts w:hint="eastAsia"/>
          <w:lang w:val="en-US" w:eastAsia="zh-CN"/>
        </w:rPr>
      </w:pPr>
      <w:r>
        <w:rPr>
          <w:rFonts w:hint="eastAsia" w:ascii="宋体" w:hAnsi="宋体" w:eastAsia="宋体" w:cs="宋体"/>
          <w:i w:val="0"/>
          <w:iCs w:val="0"/>
          <w:color w:val="000000"/>
          <w:kern w:val="0"/>
          <w:sz w:val="21"/>
          <w:szCs w:val="21"/>
          <w:u w:val="none"/>
          <w:lang w:val="en-US" w:eastAsia="zh-CN" w:bidi="ar"/>
        </w:rPr>
        <w:t>2.5本项目采购涉及的产品品类见下表，供应商负责所提供产品的供货、配送、售后服务</w:t>
      </w:r>
    </w:p>
    <w:tbl>
      <w:tblPr>
        <w:tblStyle w:val="13"/>
        <w:tblW w:w="493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2084"/>
        <w:gridCol w:w="5100"/>
      </w:tblGrid>
      <w:tr w14:paraId="17130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5" w:type="pct"/>
            <w:noWrap/>
            <w:vAlign w:val="center"/>
          </w:tcPr>
          <w:p w14:paraId="3C2C0B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招募用途</w:t>
            </w:r>
          </w:p>
        </w:tc>
        <w:tc>
          <w:tcPr>
            <w:tcW w:w="1240" w:type="pct"/>
            <w:noWrap/>
            <w:vAlign w:val="center"/>
          </w:tcPr>
          <w:p w14:paraId="7393344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品类</w:t>
            </w:r>
          </w:p>
        </w:tc>
        <w:tc>
          <w:tcPr>
            <w:tcW w:w="3034" w:type="pct"/>
            <w:noWrap/>
            <w:vAlign w:val="center"/>
          </w:tcPr>
          <w:p w14:paraId="3004753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产品名称</w:t>
            </w:r>
          </w:p>
        </w:tc>
      </w:tr>
      <w:tr w14:paraId="0529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5" w:type="pct"/>
            <w:vMerge w:val="restart"/>
            <w:noWrap w:val="0"/>
            <w:vAlign w:val="center"/>
          </w:tcPr>
          <w:p w14:paraId="0C987A7A">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中国通服电子商城福建专区供应商招募</w:t>
            </w:r>
          </w:p>
        </w:tc>
        <w:tc>
          <w:tcPr>
            <w:tcW w:w="1240" w:type="pct"/>
            <w:noWrap/>
            <w:vAlign w:val="center"/>
          </w:tcPr>
          <w:p w14:paraId="793BEB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办公文具</w:t>
            </w:r>
          </w:p>
        </w:tc>
        <w:tc>
          <w:tcPr>
            <w:tcW w:w="3034" w:type="pct"/>
            <w:noWrap w:val="0"/>
            <w:vAlign w:val="center"/>
          </w:tcPr>
          <w:p w14:paraId="2E93A2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算器、文件柜、文件夹、资料册、板夹/报告夹、文件套/文件袋、卡套/证件套、档案盒、档案袋、报刊架/书报架/展示架、办公文具、原子印油、快干印台、号码机印油、保险柜、保险箱、标签、警示牌、标识牌等。</w:t>
            </w:r>
          </w:p>
        </w:tc>
      </w:tr>
      <w:tr w14:paraId="3CA4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5" w:type="pct"/>
            <w:vMerge w:val="continue"/>
            <w:noWrap w:val="0"/>
            <w:vAlign w:val="center"/>
          </w:tcPr>
          <w:p w14:paraId="7E7BD306">
            <w:pPr>
              <w:jc w:val="center"/>
              <w:rPr>
                <w:rFonts w:hint="eastAsia" w:ascii="微软雅黑" w:hAnsi="微软雅黑" w:eastAsia="微软雅黑" w:cs="微软雅黑"/>
                <w:b/>
                <w:bCs/>
                <w:i w:val="0"/>
                <w:iCs w:val="0"/>
                <w:color w:val="000000"/>
                <w:sz w:val="22"/>
                <w:szCs w:val="22"/>
                <w:u w:val="none"/>
              </w:rPr>
            </w:pPr>
          </w:p>
        </w:tc>
        <w:tc>
          <w:tcPr>
            <w:tcW w:w="1240" w:type="pct"/>
            <w:noWrap/>
            <w:vAlign w:val="center"/>
          </w:tcPr>
          <w:p w14:paraId="1F4544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办公设备</w:t>
            </w:r>
          </w:p>
        </w:tc>
        <w:tc>
          <w:tcPr>
            <w:tcW w:w="3034" w:type="pct"/>
            <w:noWrap w:val="0"/>
            <w:vAlign w:val="center"/>
          </w:tcPr>
          <w:p w14:paraId="06BFFD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真机、复印机、多功能一体机、监控摄像头、录音笔、打印机、扫描仪、高拍仪、投影仪、投影布、收银机、电子白板、碎纸机、考勤机、装订/封装机、条码扫描、验钞/点钞机、标签打印设备、会议音频视频等。</w:t>
            </w:r>
          </w:p>
        </w:tc>
      </w:tr>
      <w:tr w14:paraId="7E9CD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5" w:type="pct"/>
            <w:vMerge w:val="continue"/>
            <w:noWrap w:val="0"/>
            <w:vAlign w:val="center"/>
          </w:tcPr>
          <w:p w14:paraId="7B28CD63">
            <w:pPr>
              <w:jc w:val="center"/>
              <w:rPr>
                <w:rFonts w:hint="eastAsia" w:ascii="微软雅黑" w:hAnsi="微软雅黑" w:eastAsia="微软雅黑" w:cs="微软雅黑"/>
                <w:b/>
                <w:bCs/>
                <w:i w:val="0"/>
                <w:iCs w:val="0"/>
                <w:color w:val="000000"/>
                <w:sz w:val="22"/>
                <w:szCs w:val="22"/>
                <w:u w:val="none"/>
              </w:rPr>
            </w:pPr>
          </w:p>
        </w:tc>
        <w:tc>
          <w:tcPr>
            <w:tcW w:w="1240" w:type="pct"/>
            <w:noWrap/>
            <w:vAlign w:val="center"/>
          </w:tcPr>
          <w:p w14:paraId="592D65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办公耗材</w:t>
            </w:r>
          </w:p>
        </w:tc>
        <w:tc>
          <w:tcPr>
            <w:tcW w:w="3034" w:type="pct"/>
            <w:noWrap w:val="0"/>
            <w:vAlign w:val="center"/>
          </w:tcPr>
          <w:p w14:paraId="7FC394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直尺 、卷尺、橡皮、回形针、订书机、订书钉、图钉、剪刀、本册/便签、硒鼓/墨粉、办公用笔、办公用纸、信封、色带、计算器、白板、复印纸、标签打印耗材、包装工具等。</w:t>
            </w:r>
          </w:p>
        </w:tc>
      </w:tr>
      <w:tr w14:paraId="6A84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5" w:type="pct"/>
            <w:vMerge w:val="continue"/>
            <w:noWrap w:val="0"/>
            <w:vAlign w:val="center"/>
          </w:tcPr>
          <w:p w14:paraId="79F1CADA">
            <w:pPr>
              <w:jc w:val="center"/>
              <w:rPr>
                <w:rFonts w:hint="eastAsia" w:ascii="微软雅黑" w:hAnsi="微软雅黑" w:eastAsia="微软雅黑" w:cs="微软雅黑"/>
                <w:b/>
                <w:bCs/>
                <w:i w:val="0"/>
                <w:iCs w:val="0"/>
                <w:color w:val="000000"/>
                <w:sz w:val="22"/>
                <w:szCs w:val="22"/>
                <w:u w:val="none"/>
              </w:rPr>
            </w:pPr>
          </w:p>
        </w:tc>
        <w:tc>
          <w:tcPr>
            <w:tcW w:w="1240" w:type="pct"/>
            <w:noWrap/>
            <w:vAlign w:val="center"/>
          </w:tcPr>
          <w:p w14:paraId="69814C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办公家具</w:t>
            </w:r>
          </w:p>
        </w:tc>
        <w:tc>
          <w:tcPr>
            <w:tcW w:w="3034" w:type="pct"/>
            <w:noWrap w:val="0"/>
            <w:vAlign w:val="center"/>
          </w:tcPr>
          <w:p w14:paraId="5AD372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桌子、椅子、柜子、储物收纳、床、床垫、沙发、茶几、鞋架、衣帽架等。</w:t>
            </w:r>
          </w:p>
        </w:tc>
      </w:tr>
      <w:tr w14:paraId="00C15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5" w:type="pct"/>
            <w:vMerge w:val="continue"/>
            <w:noWrap w:val="0"/>
            <w:vAlign w:val="center"/>
          </w:tcPr>
          <w:p w14:paraId="5F50CC5C">
            <w:pPr>
              <w:jc w:val="center"/>
              <w:rPr>
                <w:rFonts w:hint="eastAsia" w:ascii="微软雅黑" w:hAnsi="微软雅黑" w:eastAsia="微软雅黑" w:cs="微软雅黑"/>
                <w:b/>
                <w:bCs/>
                <w:i w:val="0"/>
                <w:iCs w:val="0"/>
                <w:color w:val="000000"/>
                <w:sz w:val="22"/>
                <w:szCs w:val="22"/>
                <w:u w:val="none"/>
              </w:rPr>
            </w:pPr>
          </w:p>
        </w:tc>
        <w:tc>
          <w:tcPr>
            <w:tcW w:w="1240" w:type="pct"/>
            <w:noWrap/>
            <w:vAlign w:val="center"/>
          </w:tcPr>
          <w:p w14:paraId="13593B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汽车用品</w:t>
            </w:r>
          </w:p>
        </w:tc>
        <w:tc>
          <w:tcPr>
            <w:tcW w:w="3034" w:type="pct"/>
            <w:noWrap w:val="0"/>
            <w:vAlign w:val="center"/>
          </w:tcPr>
          <w:p w14:paraId="51C894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车装饰、导航仪、安全预警仪、行车记录仪、倒车雷达、蓝牙设备、时尚影音、车载净化器、车载电源、车载吸尘器、车载冰箱、玻璃水、安全座椅、充气泵、车辆防盗设备、应急救援、车载保温箱、车用储物箱、车机、车载电器配件、车载电台、车载生活电器、驾驶辅助、逆变器等。</w:t>
            </w:r>
          </w:p>
        </w:tc>
      </w:tr>
      <w:tr w14:paraId="3922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5" w:type="pct"/>
            <w:vMerge w:val="continue"/>
            <w:noWrap w:val="0"/>
            <w:vAlign w:val="center"/>
          </w:tcPr>
          <w:p w14:paraId="1413C6F6">
            <w:pPr>
              <w:jc w:val="center"/>
              <w:rPr>
                <w:rFonts w:hint="eastAsia" w:ascii="微软雅黑" w:hAnsi="微软雅黑" w:eastAsia="微软雅黑" w:cs="微软雅黑"/>
                <w:b/>
                <w:bCs/>
                <w:i w:val="0"/>
                <w:iCs w:val="0"/>
                <w:color w:val="000000"/>
                <w:sz w:val="22"/>
                <w:szCs w:val="22"/>
                <w:u w:val="none"/>
              </w:rPr>
            </w:pPr>
          </w:p>
        </w:tc>
        <w:tc>
          <w:tcPr>
            <w:tcW w:w="1240" w:type="pct"/>
            <w:noWrap/>
            <w:vAlign w:val="center"/>
          </w:tcPr>
          <w:p w14:paraId="5A2259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收纳用品</w:t>
            </w:r>
          </w:p>
        </w:tc>
        <w:tc>
          <w:tcPr>
            <w:tcW w:w="3034" w:type="pct"/>
            <w:noWrap w:val="0"/>
            <w:vAlign w:val="center"/>
          </w:tcPr>
          <w:p w14:paraId="213C2A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收纳箱、收纳盒、压缩袋、收纳架、公文包、拉杆箱、背包、行李箱、垃圾袋等。</w:t>
            </w:r>
          </w:p>
        </w:tc>
      </w:tr>
      <w:tr w14:paraId="1279C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5" w:type="pct"/>
            <w:vMerge w:val="continue"/>
            <w:noWrap w:val="0"/>
            <w:vAlign w:val="center"/>
          </w:tcPr>
          <w:p w14:paraId="09E02B2A">
            <w:pPr>
              <w:jc w:val="center"/>
              <w:rPr>
                <w:rFonts w:hint="eastAsia" w:ascii="微软雅黑" w:hAnsi="微软雅黑" w:eastAsia="微软雅黑" w:cs="微软雅黑"/>
                <w:b/>
                <w:bCs/>
                <w:i w:val="0"/>
                <w:iCs w:val="0"/>
                <w:color w:val="000000"/>
                <w:sz w:val="22"/>
                <w:szCs w:val="22"/>
                <w:u w:val="none"/>
              </w:rPr>
            </w:pPr>
          </w:p>
        </w:tc>
        <w:tc>
          <w:tcPr>
            <w:tcW w:w="1240" w:type="pct"/>
            <w:noWrap/>
            <w:vAlign w:val="center"/>
          </w:tcPr>
          <w:p w14:paraId="6C6E60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环境电器</w:t>
            </w:r>
          </w:p>
        </w:tc>
        <w:tc>
          <w:tcPr>
            <w:tcW w:w="3034" w:type="pct"/>
            <w:noWrap w:val="0"/>
            <w:vAlign w:val="center"/>
          </w:tcPr>
          <w:p w14:paraId="1769DF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电风扇、冷风扇、茶吧机、饮水机、电暖桌、 净水器、加湿器、取暖器、暖风机、空气净化器等。</w:t>
            </w:r>
          </w:p>
        </w:tc>
      </w:tr>
      <w:tr w14:paraId="3AF35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5" w:type="pct"/>
            <w:vMerge w:val="continue"/>
            <w:noWrap w:val="0"/>
            <w:vAlign w:val="center"/>
          </w:tcPr>
          <w:p w14:paraId="267A7C55">
            <w:pPr>
              <w:jc w:val="center"/>
              <w:rPr>
                <w:rFonts w:hint="eastAsia" w:ascii="微软雅黑" w:hAnsi="微软雅黑" w:eastAsia="微软雅黑" w:cs="微软雅黑"/>
                <w:b/>
                <w:bCs/>
                <w:i w:val="0"/>
                <w:iCs w:val="0"/>
                <w:color w:val="000000"/>
                <w:sz w:val="22"/>
                <w:szCs w:val="22"/>
                <w:u w:val="none"/>
              </w:rPr>
            </w:pPr>
          </w:p>
        </w:tc>
        <w:tc>
          <w:tcPr>
            <w:tcW w:w="1240" w:type="pct"/>
            <w:noWrap/>
            <w:vAlign w:val="center"/>
          </w:tcPr>
          <w:p w14:paraId="37AF21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通信器材</w:t>
            </w:r>
          </w:p>
        </w:tc>
        <w:tc>
          <w:tcPr>
            <w:tcW w:w="3034" w:type="pct"/>
            <w:noWrap w:val="0"/>
            <w:vAlign w:val="center"/>
          </w:tcPr>
          <w:p w14:paraId="63DF02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对讲机、手机、电话机等。</w:t>
            </w:r>
          </w:p>
        </w:tc>
      </w:tr>
      <w:tr w14:paraId="24EA3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5" w:type="pct"/>
            <w:vMerge w:val="continue"/>
            <w:noWrap w:val="0"/>
            <w:vAlign w:val="center"/>
          </w:tcPr>
          <w:p w14:paraId="4AD69BE6">
            <w:pPr>
              <w:jc w:val="center"/>
              <w:rPr>
                <w:rFonts w:hint="eastAsia" w:ascii="微软雅黑" w:hAnsi="微软雅黑" w:eastAsia="微软雅黑" w:cs="微软雅黑"/>
                <w:b/>
                <w:bCs/>
                <w:i w:val="0"/>
                <w:iCs w:val="0"/>
                <w:color w:val="000000"/>
                <w:sz w:val="22"/>
                <w:szCs w:val="22"/>
                <w:u w:val="none"/>
              </w:rPr>
            </w:pPr>
          </w:p>
        </w:tc>
        <w:tc>
          <w:tcPr>
            <w:tcW w:w="1240" w:type="pct"/>
            <w:noWrap/>
            <w:vAlign w:val="center"/>
          </w:tcPr>
          <w:p w14:paraId="326773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计算机网络设备</w:t>
            </w:r>
          </w:p>
        </w:tc>
        <w:tc>
          <w:tcPr>
            <w:tcW w:w="3034" w:type="pct"/>
            <w:noWrap w:val="0"/>
            <w:vAlign w:val="center"/>
          </w:tcPr>
          <w:p w14:paraId="57DF5C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存储、交换机、防火墙、云计算、网关、串口服务器、以太网模块等。</w:t>
            </w:r>
          </w:p>
        </w:tc>
      </w:tr>
      <w:tr w14:paraId="5B878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5" w:type="pct"/>
            <w:vMerge w:val="continue"/>
            <w:noWrap w:val="0"/>
            <w:vAlign w:val="center"/>
          </w:tcPr>
          <w:p w14:paraId="419AFB15">
            <w:pPr>
              <w:jc w:val="center"/>
              <w:rPr>
                <w:rFonts w:hint="eastAsia" w:ascii="微软雅黑" w:hAnsi="微软雅黑" w:eastAsia="微软雅黑" w:cs="微软雅黑"/>
                <w:b/>
                <w:bCs/>
                <w:i w:val="0"/>
                <w:iCs w:val="0"/>
                <w:color w:val="000000"/>
                <w:sz w:val="22"/>
                <w:szCs w:val="22"/>
                <w:u w:val="none"/>
              </w:rPr>
            </w:pPr>
          </w:p>
        </w:tc>
        <w:tc>
          <w:tcPr>
            <w:tcW w:w="1240" w:type="pct"/>
            <w:noWrap/>
            <w:vAlign w:val="center"/>
          </w:tcPr>
          <w:p w14:paraId="102CAD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电脑整机</w:t>
            </w:r>
          </w:p>
        </w:tc>
        <w:tc>
          <w:tcPr>
            <w:tcW w:w="3034" w:type="pct"/>
            <w:noWrap w:val="0"/>
            <w:vAlign w:val="center"/>
          </w:tcPr>
          <w:p w14:paraId="4FFD80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一体机、台式机、平板电脑、笔记本电脑、工作站、服务器等。</w:t>
            </w:r>
          </w:p>
        </w:tc>
      </w:tr>
      <w:tr w14:paraId="03198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5" w:type="pct"/>
            <w:vMerge w:val="continue"/>
            <w:noWrap w:val="0"/>
            <w:vAlign w:val="center"/>
          </w:tcPr>
          <w:p w14:paraId="4AA4F628">
            <w:pPr>
              <w:jc w:val="center"/>
              <w:rPr>
                <w:rFonts w:hint="eastAsia" w:ascii="微软雅黑" w:hAnsi="微软雅黑" w:eastAsia="微软雅黑" w:cs="微软雅黑"/>
                <w:b/>
                <w:bCs/>
                <w:i w:val="0"/>
                <w:iCs w:val="0"/>
                <w:color w:val="000000"/>
                <w:sz w:val="22"/>
                <w:szCs w:val="22"/>
                <w:u w:val="none"/>
              </w:rPr>
            </w:pPr>
          </w:p>
        </w:tc>
        <w:tc>
          <w:tcPr>
            <w:tcW w:w="1240" w:type="pct"/>
            <w:noWrap/>
            <w:vAlign w:val="center"/>
          </w:tcPr>
          <w:p w14:paraId="7321FD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电脑组件</w:t>
            </w:r>
          </w:p>
        </w:tc>
        <w:tc>
          <w:tcPr>
            <w:tcW w:w="3034" w:type="pct"/>
            <w:noWrap w:val="0"/>
            <w:vAlign w:val="center"/>
          </w:tcPr>
          <w:p w14:paraId="7658D4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主机、主板、CD/DVD刻录盘片、SSD 固态硬盘、U盘、刻录机/光驱、显示器、液晶显示器、服务器CPU、服务器内存、服务器机柜、服务器硬盘、移动硬盘、网线、键盘、鼠标、鼠标垫、耳机、充电器等。</w:t>
            </w:r>
          </w:p>
        </w:tc>
      </w:tr>
      <w:tr w14:paraId="3B1E1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5" w:type="pct"/>
            <w:vMerge w:val="continue"/>
            <w:noWrap w:val="0"/>
            <w:vAlign w:val="center"/>
          </w:tcPr>
          <w:p w14:paraId="1761E299">
            <w:pPr>
              <w:jc w:val="center"/>
              <w:rPr>
                <w:rFonts w:hint="eastAsia" w:ascii="微软雅黑" w:hAnsi="微软雅黑" w:eastAsia="微软雅黑" w:cs="微软雅黑"/>
                <w:b/>
                <w:bCs/>
                <w:i w:val="0"/>
                <w:iCs w:val="0"/>
                <w:color w:val="000000"/>
                <w:sz w:val="22"/>
                <w:szCs w:val="22"/>
                <w:u w:val="none"/>
              </w:rPr>
            </w:pPr>
          </w:p>
        </w:tc>
        <w:tc>
          <w:tcPr>
            <w:tcW w:w="1240" w:type="pct"/>
            <w:noWrap/>
            <w:vAlign w:val="center"/>
          </w:tcPr>
          <w:p w14:paraId="098072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外设产品</w:t>
            </w:r>
          </w:p>
        </w:tc>
        <w:tc>
          <w:tcPr>
            <w:tcW w:w="3034" w:type="pct"/>
            <w:noWrap w:val="0"/>
            <w:vAlign w:val="center"/>
          </w:tcPr>
          <w:p w14:paraId="2B2805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路由器、蓄电池、不间断电源(UPS)等。</w:t>
            </w:r>
          </w:p>
        </w:tc>
      </w:tr>
      <w:tr w14:paraId="4A6D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5" w:type="pct"/>
            <w:vMerge w:val="continue"/>
            <w:noWrap w:val="0"/>
            <w:vAlign w:val="center"/>
          </w:tcPr>
          <w:p w14:paraId="6FA3E550">
            <w:pPr>
              <w:jc w:val="center"/>
              <w:rPr>
                <w:rFonts w:hint="eastAsia" w:ascii="微软雅黑" w:hAnsi="微软雅黑" w:eastAsia="微软雅黑" w:cs="微软雅黑"/>
                <w:b/>
                <w:bCs/>
                <w:i w:val="0"/>
                <w:iCs w:val="0"/>
                <w:color w:val="000000"/>
                <w:sz w:val="22"/>
                <w:szCs w:val="22"/>
                <w:u w:val="none"/>
              </w:rPr>
            </w:pPr>
          </w:p>
        </w:tc>
        <w:tc>
          <w:tcPr>
            <w:tcW w:w="1240" w:type="pct"/>
            <w:noWrap/>
            <w:vAlign w:val="center"/>
          </w:tcPr>
          <w:p w14:paraId="48BEFC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数码配件</w:t>
            </w:r>
          </w:p>
        </w:tc>
        <w:tc>
          <w:tcPr>
            <w:tcW w:w="3034" w:type="pct"/>
            <w:noWrap w:val="0"/>
            <w:vAlign w:val="center"/>
          </w:tcPr>
          <w:p w14:paraId="25F335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储卡、读卡器、滤镜、闪光灯/手柄、相机包、相机清洁、贴膜、机身附件、镜头附件、电池/充电器、移动电源、数码支架、智能设备、MP3/MP4、耳机/耳麦、收音机、专业音频、电子词典、音箱、音响、数据线、手机壳/保护套等。</w:t>
            </w:r>
          </w:p>
        </w:tc>
      </w:tr>
      <w:tr w14:paraId="4FC2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5" w:type="pct"/>
            <w:vMerge w:val="continue"/>
            <w:noWrap w:val="0"/>
            <w:vAlign w:val="center"/>
          </w:tcPr>
          <w:p w14:paraId="18F9183E">
            <w:pPr>
              <w:jc w:val="center"/>
              <w:rPr>
                <w:rFonts w:hint="eastAsia" w:ascii="微软雅黑" w:hAnsi="微软雅黑" w:eastAsia="微软雅黑" w:cs="微软雅黑"/>
                <w:b/>
                <w:bCs/>
                <w:i w:val="0"/>
                <w:iCs w:val="0"/>
                <w:color w:val="000000"/>
                <w:sz w:val="22"/>
                <w:szCs w:val="22"/>
                <w:u w:val="none"/>
              </w:rPr>
            </w:pPr>
          </w:p>
        </w:tc>
        <w:tc>
          <w:tcPr>
            <w:tcW w:w="1240" w:type="pct"/>
            <w:vMerge w:val="restart"/>
            <w:noWrap/>
            <w:vAlign w:val="center"/>
          </w:tcPr>
          <w:p w14:paraId="2DA20E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生活电器</w:t>
            </w:r>
          </w:p>
        </w:tc>
        <w:tc>
          <w:tcPr>
            <w:tcW w:w="3034" w:type="pct"/>
            <w:noWrap w:val="0"/>
            <w:vAlign w:val="center"/>
          </w:tcPr>
          <w:p w14:paraId="45F46B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电视盒子、冰箱、冰柜、电视机、油烟机、洗衣机、消毒柜、燃气灶、燃气热水器、电热水器、空调、音响等。</w:t>
            </w:r>
          </w:p>
        </w:tc>
      </w:tr>
      <w:tr w14:paraId="22AA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5" w:type="pct"/>
            <w:vMerge w:val="continue"/>
            <w:noWrap w:val="0"/>
            <w:vAlign w:val="center"/>
          </w:tcPr>
          <w:p w14:paraId="0AF0DFD7">
            <w:pPr>
              <w:jc w:val="center"/>
              <w:rPr>
                <w:rFonts w:hint="eastAsia" w:ascii="微软雅黑" w:hAnsi="微软雅黑" w:eastAsia="微软雅黑" w:cs="微软雅黑"/>
                <w:b/>
                <w:bCs/>
                <w:i w:val="0"/>
                <w:iCs w:val="0"/>
                <w:color w:val="000000"/>
                <w:sz w:val="22"/>
                <w:szCs w:val="22"/>
                <w:u w:val="none"/>
              </w:rPr>
            </w:pPr>
          </w:p>
        </w:tc>
        <w:tc>
          <w:tcPr>
            <w:tcW w:w="1240" w:type="pct"/>
            <w:vMerge w:val="continue"/>
            <w:noWrap/>
            <w:vAlign w:val="center"/>
          </w:tcPr>
          <w:p w14:paraId="686736E7">
            <w:pPr>
              <w:jc w:val="center"/>
              <w:rPr>
                <w:rFonts w:hint="eastAsia" w:ascii="宋体" w:hAnsi="宋体" w:eastAsia="宋体" w:cs="宋体"/>
                <w:i w:val="0"/>
                <w:iCs w:val="0"/>
                <w:color w:val="000000"/>
                <w:sz w:val="21"/>
                <w:szCs w:val="21"/>
                <w:u w:val="none"/>
              </w:rPr>
            </w:pPr>
          </w:p>
        </w:tc>
        <w:tc>
          <w:tcPr>
            <w:tcW w:w="3034" w:type="pct"/>
            <w:noWrap w:val="0"/>
            <w:vAlign w:val="center"/>
          </w:tcPr>
          <w:p w14:paraId="1477CB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多功能锅、微波炉、电热饭盒、养生壶、空气炸锅、电饭煲、电炖锅、榨汁机/料理机、豆浆机、绞肉/切菜机 、电饼铛、豆浆机、酸奶机、面包机、面条机、破壁机、电热水壶、电压力锅、电火锅、多功能锅、电烤炉、电磁炉/电陶炉、煮茶器、干果机等。</w:t>
            </w:r>
          </w:p>
        </w:tc>
      </w:tr>
      <w:tr w14:paraId="5D2D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5" w:type="pct"/>
            <w:vMerge w:val="continue"/>
            <w:noWrap w:val="0"/>
            <w:vAlign w:val="center"/>
          </w:tcPr>
          <w:p w14:paraId="77E91B30">
            <w:pPr>
              <w:jc w:val="center"/>
              <w:rPr>
                <w:rFonts w:hint="eastAsia" w:ascii="微软雅黑" w:hAnsi="微软雅黑" w:eastAsia="微软雅黑" w:cs="微软雅黑"/>
                <w:b/>
                <w:bCs/>
                <w:i w:val="0"/>
                <w:iCs w:val="0"/>
                <w:color w:val="000000"/>
                <w:sz w:val="22"/>
                <w:szCs w:val="22"/>
                <w:u w:val="none"/>
              </w:rPr>
            </w:pPr>
          </w:p>
        </w:tc>
        <w:tc>
          <w:tcPr>
            <w:tcW w:w="1240" w:type="pct"/>
            <w:vMerge w:val="continue"/>
            <w:noWrap/>
            <w:vAlign w:val="center"/>
          </w:tcPr>
          <w:p w14:paraId="47F83030">
            <w:pPr>
              <w:jc w:val="center"/>
              <w:rPr>
                <w:rFonts w:hint="eastAsia" w:ascii="宋体" w:hAnsi="宋体" w:eastAsia="宋体" w:cs="宋体"/>
                <w:i w:val="0"/>
                <w:iCs w:val="0"/>
                <w:color w:val="000000"/>
                <w:sz w:val="21"/>
                <w:szCs w:val="21"/>
                <w:u w:val="none"/>
              </w:rPr>
            </w:pPr>
          </w:p>
        </w:tc>
        <w:tc>
          <w:tcPr>
            <w:tcW w:w="3034" w:type="pct"/>
            <w:noWrap w:val="0"/>
            <w:vAlign w:val="center"/>
          </w:tcPr>
          <w:p w14:paraId="5884C4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吸尘器、电动牙刷、电吹风、电熨斗、挂烫机、取暖电器、净化器、加湿器、吸尘器/除螨仪、清洁机、除湿机、收录/音机、电风扇、冷风扇、干衣机、挂烫机/熨斗、净水器、饮水机、扫地机器人、生活电器配件、毛球修剪器、插线板/插座等。</w:t>
            </w:r>
          </w:p>
        </w:tc>
      </w:tr>
      <w:tr w14:paraId="63017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5" w:type="pct"/>
            <w:vMerge w:val="continue"/>
            <w:noWrap w:val="0"/>
            <w:vAlign w:val="center"/>
          </w:tcPr>
          <w:p w14:paraId="304F1883">
            <w:pPr>
              <w:jc w:val="center"/>
              <w:rPr>
                <w:rFonts w:hint="eastAsia" w:ascii="微软雅黑" w:hAnsi="微软雅黑" w:eastAsia="微软雅黑" w:cs="微软雅黑"/>
                <w:b/>
                <w:bCs/>
                <w:i w:val="0"/>
                <w:iCs w:val="0"/>
                <w:color w:val="000000"/>
                <w:sz w:val="22"/>
                <w:szCs w:val="22"/>
                <w:u w:val="none"/>
              </w:rPr>
            </w:pPr>
          </w:p>
        </w:tc>
        <w:tc>
          <w:tcPr>
            <w:tcW w:w="1240" w:type="pct"/>
            <w:noWrap/>
            <w:vAlign w:val="center"/>
          </w:tcPr>
          <w:p w14:paraId="2D74DD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健康卫生</w:t>
            </w:r>
          </w:p>
        </w:tc>
        <w:tc>
          <w:tcPr>
            <w:tcW w:w="3034" w:type="pct"/>
            <w:noWrap w:val="0"/>
            <w:vAlign w:val="center"/>
          </w:tcPr>
          <w:p w14:paraId="3C267A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剃须刀、剃/脱毛器、口腔护理、电吹风、美容器、理发器、卷/直发器、按摩椅、按摩器、足浴盆、血压计、健康秤、血糖仪、体温计、便携式指氧仪、便携式制氧机、花卉植被等。</w:t>
            </w:r>
          </w:p>
        </w:tc>
      </w:tr>
      <w:tr w14:paraId="2C483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5" w:type="pct"/>
            <w:vMerge w:val="continue"/>
            <w:noWrap w:val="0"/>
            <w:vAlign w:val="center"/>
          </w:tcPr>
          <w:p w14:paraId="77DA78AB">
            <w:pPr>
              <w:jc w:val="center"/>
              <w:rPr>
                <w:rFonts w:hint="eastAsia" w:ascii="微软雅黑" w:hAnsi="微软雅黑" w:eastAsia="微软雅黑" w:cs="微软雅黑"/>
                <w:b/>
                <w:bCs/>
                <w:i w:val="0"/>
                <w:iCs w:val="0"/>
                <w:color w:val="000000"/>
                <w:sz w:val="22"/>
                <w:szCs w:val="22"/>
                <w:u w:val="none"/>
              </w:rPr>
            </w:pPr>
          </w:p>
        </w:tc>
        <w:tc>
          <w:tcPr>
            <w:tcW w:w="1240" w:type="pct"/>
            <w:noWrap/>
            <w:vAlign w:val="center"/>
          </w:tcPr>
          <w:p w14:paraId="0DB291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智能设备</w:t>
            </w:r>
          </w:p>
        </w:tc>
        <w:tc>
          <w:tcPr>
            <w:tcW w:w="3034" w:type="pct"/>
            <w:noWrap w:val="0"/>
            <w:vAlign w:val="center"/>
          </w:tcPr>
          <w:p w14:paraId="0DC477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智能手环、智能手表、智能家居、智慧屏、物联网产品等。</w:t>
            </w:r>
          </w:p>
        </w:tc>
      </w:tr>
      <w:tr w14:paraId="33A6E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5" w:type="pct"/>
            <w:vMerge w:val="continue"/>
            <w:noWrap w:val="0"/>
            <w:vAlign w:val="center"/>
          </w:tcPr>
          <w:p w14:paraId="08D4527F">
            <w:pPr>
              <w:jc w:val="center"/>
              <w:rPr>
                <w:rFonts w:hint="eastAsia" w:ascii="微软雅黑" w:hAnsi="微软雅黑" w:eastAsia="微软雅黑" w:cs="微软雅黑"/>
                <w:b/>
                <w:bCs/>
                <w:i w:val="0"/>
                <w:iCs w:val="0"/>
                <w:color w:val="000000"/>
                <w:sz w:val="22"/>
                <w:szCs w:val="22"/>
                <w:u w:val="none"/>
              </w:rPr>
            </w:pPr>
          </w:p>
        </w:tc>
        <w:tc>
          <w:tcPr>
            <w:tcW w:w="1240" w:type="pct"/>
            <w:noWrap/>
            <w:vAlign w:val="center"/>
          </w:tcPr>
          <w:p w14:paraId="39C56F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清洁用具</w:t>
            </w:r>
          </w:p>
        </w:tc>
        <w:tc>
          <w:tcPr>
            <w:tcW w:w="3034" w:type="pct"/>
            <w:noWrap w:val="0"/>
            <w:vAlign w:val="center"/>
          </w:tcPr>
          <w:p w14:paraId="520B69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脸盆、水桶、清洁刷具、棉签、牙签/牙线棒、抹布、百洁布、一次性纸杯、桌布保鲜膜/袋、锡纸、 扫把、拖把、手套、鞋套、围裙、垃圾袋/桶、苍蝇拍、马桶疏通器、粘毛器、玻璃清洁器等。</w:t>
            </w:r>
          </w:p>
        </w:tc>
      </w:tr>
      <w:tr w14:paraId="7B11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5" w:type="pct"/>
            <w:vMerge w:val="continue"/>
            <w:noWrap w:val="0"/>
            <w:vAlign w:val="center"/>
          </w:tcPr>
          <w:p w14:paraId="334CE55C">
            <w:pPr>
              <w:jc w:val="center"/>
              <w:rPr>
                <w:rFonts w:hint="eastAsia" w:ascii="微软雅黑" w:hAnsi="微软雅黑" w:eastAsia="微软雅黑" w:cs="微软雅黑"/>
                <w:b/>
                <w:bCs/>
                <w:i w:val="0"/>
                <w:iCs w:val="0"/>
                <w:color w:val="000000"/>
                <w:sz w:val="22"/>
                <w:szCs w:val="22"/>
                <w:u w:val="none"/>
              </w:rPr>
            </w:pPr>
          </w:p>
        </w:tc>
        <w:tc>
          <w:tcPr>
            <w:tcW w:w="1240" w:type="pct"/>
            <w:noWrap/>
            <w:vAlign w:val="center"/>
          </w:tcPr>
          <w:p w14:paraId="31D70D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个性化礼品</w:t>
            </w:r>
          </w:p>
        </w:tc>
        <w:tc>
          <w:tcPr>
            <w:tcW w:w="3034" w:type="pct"/>
            <w:noWrap w:val="0"/>
            <w:vAlign w:val="center"/>
          </w:tcPr>
          <w:p w14:paraId="3DC2EBC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奖状/奖杯/奖牌、纪念品、慰问品、定制品等;</w:t>
            </w:r>
          </w:p>
        </w:tc>
      </w:tr>
      <w:tr w14:paraId="03598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5" w:type="pct"/>
            <w:vMerge w:val="continue"/>
            <w:noWrap w:val="0"/>
            <w:vAlign w:val="center"/>
          </w:tcPr>
          <w:p w14:paraId="1F809CCB">
            <w:pPr>
              <w:jc w:val="center"/>
              <w:rPr>
                <w:rFonts w:hint="eastAsia" w:ascii="微软雅黑" w:hAnsi="微软雅黑" w:eastAsia="微软雅黑" w:cs="微软雅黑"/>
                <w:b/>
                <w:bCs/>
                <w:i w:val="0"/>
                <w:iCs w:val="0"/>
                <w:color w:val="000000"/>
                <w:sz w:val="22"/>
                <w:szCs w:val="22"/>
                <w:u w:val="none"/>
              </w:rPr>
            </w:pPr>
          </w:p>
        </w:tc>
        <w:tc>
          <w:tcPr>
            <w:tcW w:w="1240" w:type="pct"/>
            <w:noWrap/>
            <w:vAlign w:val="center"/>
          </w:tcPr>
          <w:p w14:paraId="2D277A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食品饮料</w:t>
            </w:r>
          </w:p>
        </w:tc>
        <w:tc>
          <w:tcPr>
            <w:tcW w:w="3034" w:type="pct"/>
            <w:noWrap w:val="0"/>
            <w:vAlign w:val="center"/>
          </w:tcPr>
          <w:p w14:paraId="31501D7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地方特产、休闲食品、粮油调味、饮料冲调、酒类、茗茶、水果生鲜、节庆食品/礼券等。</w:t>
            </w:r>
          </w:p>
        </w:tc>
      </w:tr>
      <w:tr w14:paraId="3AA3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5" w:type="pct"/>
            <w:vMerge w:val="continue"/>
            <w:noWrap w:val="0"/>
            <w:vAlign w:val="center"/>
          </w:tcPr>
          <w:p w14:paraId="6395FDEE">
            <w:pPr>
              <w:jc w:val="center"/>
              <w:rPr>
                <w:rFonts w:hint="eastAsia" w:ascii="微软雅黑" w:hAnsi="微软雅黑" w:eastAsia="微软雅黑" w:cs="微软雅黑"/>
                <w:b/>
                <w:bCs/>
                <w:i w:val="0"/>
                <w:iCs w:val="0"/>
                <w:color w:val="000000"/>
                <w:sz w:val="22"/>
                <w:szCs w:val="22"/>
                <w:u w:val="none"/>
              </w:rPr>
            </w:pPr>
          </w:p>
        </w:tc>
        <w:tc>
          <w:tcPr>
            <w:tcW w:w="1240" w:type="pct"/>
            <w:noWrap/>
            <w:vAlign w:val="center"/>
          </w:tcPr>
          <w:p w14:paraId="56E8F6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摄影摄像</w:t>
            </w:r>
          </w:p>
        </w:tc>
        <w:tc>
          <w:tcPr>
            <w:tcW w:w="3034" w:type="pct"/>
            <w:noWrap w:val="0"/>
            <w:vAlign w:val="center"/>
          </w:tcPr>
          <w:p w14:paraId="7F8D278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单反相机、单电/微单相机、摄像头、直播设备、三脚架/云台、麦克风等。</w:t>
            </w:r>
          </w:p>
        </w:tc>
      </w:tr>
      <w:tr w14:paraId="79948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5" w:type="pct"/>
            <w:vMerge w:val="continue"/>
            <w:noWrap w:val="0"/>
            <w:vAlign w:val="center"/>
          </w:tcPr>
          <w:p w14:paraId="5820FA44">
            <w:pPr>
              <w:jc w:val="center"/>
              <w:rPr>
                <w:rFonts w:hint="eastAsia" w:ascii="微软雅黑" w:hAnsi="微软雅黑" w:eastAsia="微软雅黑" w:cs="微软雅黑"/>
                <w:b/>
                <w:bCs/>
                <w:i w:val="0"/>
                <w:iCs w:val="0"/>
                <w:color w:val="000000"/>
                <w:sz w:val="22"/>
                <w:szCs w:val="22"/>
                <w:u w:val="none"/>
              </w:rPr>
            </w:pPr>
          </w:p>
        </w:tc>
        <w:tc>
          <w:tcPr>
            <w:tcW w:w="1240" w:type="pct"/>
            <w:noWrap/>
            <w:vAlign w:val="center"/>
          </w:tcPr>
          <w:p w14:paraId="34B550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文体器材</w:t>
            </w:r>
          </w:p>
        </w:tc>
        <w:tc>
          <w:tcPr>
            <w:tcW w:w="3034" w:type="pct"/>
            <w:noWrap w:val="0"/>
            <w:vAlign w:val="center"/>
          </w:tcPr>
          <w:p w14:paraId="3605D5F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篮球类、足球类、乒乓球类、羽毛球类、排球类、网球类、台球类、棋牌类、书法用品、户外（野营）装备、健身器材、功能箱包、纪念品、乐器、运动鞋包、运动服饰、运动水壶、帐篷、垫子、户外折叠椅、折叠收纳箱、折叠桌、跑步机、动感单车、甩脂机、踏步机、美腰机、按摩器、筋膜枪、运动护具、奖牌、活动订制服饰类、鞋类等。</w:t>
            </w:r>
          </w:p>
        </w:tc>
      </w:tr>
      <w:tr w14:paraId="292E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5" w:type="pct"/>
            <w:vMerge w:val="continue"/>
            <w:noWrap w:val="0"/>
            <w:vAlign w:val="center"/>
          </w:tcPr>
          <w:p w14:paraId="6D8253A6">
            <w:pPr>
              <w:jc w:val="center"/>
              <w:rPr>
                <w:rFonts w:hint="eastAsia" w:ascii="微软雅黑" w:hAnsi="微软雅黑" w:eastAsia="微软雅黑" w:cs="微软雅黑"/>
                <w:b/>
                <w:bCs/>
                <w:i w:val="0"/>
                <w:iCs w:val="0"/>
                <w:color w:val="000000"/>
                <w:sz w:val="22"/>
                <w:szCs w:val="22"/>
                <w:u w:val="none"/>
              </w:rPr>
            </w:pPr>
          </w:p>
        </w:tc>
        <w:tc>
          <w:tcPr>
            <w:tcW w:w="1240" w:type="pct"/>
            <w:noWrap/>
            <w:vAlign w:val="center"/>
          </w:tcPr>
          <w:p w14:paraId="632E00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生活日用</w:t>
            </w:r>
          </w:p>
        </w:tc>
        <w:tc>
          <w:tcPr>
            <w:tcW w:w="3034" w:type="pct"/>
            <w:noWrap w:val="0"/>
            <w:vAlign w:val="center"/>
          </w:tcPr>
          <w:p w14:paraId="1B37FA5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皮具护理、清洁工具、驱虫用品、一次性用品、衣物清洁、纸品湿巾、沐浴、润肤、手足、护发、套装、洗发、毛巾浴巾、四件套、蚕丝被、纤维被、毛毯、羊毛/驼毛被、枕巾枕套、床垫/床褥、纤维枕、雨伞雨具、水壶、杯子、手套、洗手液、护手霜、花露水、保暖防护、太阳镜、雨伞、口罩、钟表、园艺用品、整理用具、浴室用品、家居器皿、陶瓷/马克杯、玻璃杯、保温杯、塑料杯、保温壶、爽肤水、洁面奶、沐浴露、洗发水、护发素、洗护套装、保温杯、防晒帽、防晒面罩、防晒手套、防晒衣、防晒裤等。</w:t>
            </w:r>
          </w:p>
        </w:tc>
      </w:tr>
      <w:tr w14:paraId="5F186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5" w:type="pct"/>
            <w:vMerge w:val="continue"/>
            <w:noWrap w:val="0"/>
            <w:vAlign w:val="center"/>
          </w:tcPr>
          <w:p w14:paraId="1603EAE9">
            <w:pPr>
              <w:jc w:val="center"/>
              <w:rPr>
                <w:rFonts w:hint="eastAsia" w:ascii="微软雅黑" w:hAnsi="微软雅黑" w:eastAsia="微软雅黑" w:cs="微软雅黑"/>
                <w:b/>
                <w:bCs/>
                <w:i w:val="0"/>
                <w:iCs w:val="0"/>
                <w:color w:val="000000"/>
                <w:sz w:val="22"/>
                <w:szCs w:val="22"/>
                <w:u w:val="none"/>
              </w:rPr>
            </w:pPr>
          </w:p>
        </w:tc>
        <w:tc>
          <w:tcPr>
            <w:tcW w:w="1240" w:type="pct"/>
            <w:noWrap/>
            <w:vAlign w:val="center"/>
          </w:tcPr>
          <w:p w14:paraId="2FFE2E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清洁纸品</w:t>
            </w:r>
          </w:p>
        </w:tc>
        <w:tc>
          <w:tcPr>
            <w:tcW w:w="3034" w:type="pct"/>
            <w:noWrap w:val="0"/>
            <w:vAlign w:val="center"/>
          </w:tcPr>
          <w:p w14:paraId="47B763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荷包纸、大卷纸、擦手纸、软抽、标准巾、方巾、抽纸、卷纸、厨房纸巾等。</w:t>
            </w:r>
          </w:p>
        </w:tc>
      </w:tr>
      <w:tr w14:paraId="52FD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5" w:type="pct"/>
            <w:vMerge w:val="continue"/>
            <w:noWrap w:val="0"/>
            <w:vAlign w:val="center"/>
          </w:tcPr>
          <w:p w14:paraId="5C997A6D">
            <w:pPr>
              <w:jc w:val="center"/>
              <w:rPr>
                <w:rFonts w:hint="eastAsia" w:ascii="微软雅黑" w:hAnsi="微软雅黑" w:eastAsia="微软雅黑" w:cs="微软雅黑"/>
                <w:b/>
                <w:bCs/>
                <w:i w:val="0"/>
                <w:iCs w:val="0"/>
                <w:color w:val="000000"/>
                <w:sz w:val="22"/>
                <w:szCs w:val="22"/>
                <w:u w:val="none"/>
              </w:rPr>
            </w:pPr>
          </w:p>
        </w:tc>
        <w:tc>
          <w:tcPr>
            <w:tcW w:w="1240" w:type="pct"/>
            <w:noWrap/>
            <w:vAlign w:val="center"/>
          </w:tcPr>
          <w:p w14:paraId="05ACDC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学习书籍</w:t>
            </w:r>
          </w:p>
        </w:tc>
        <w:tc>
          <w:tcPr>
            <w:tcW w:w="3034" w:type="pct"/>
            <w:noWrap w:val="0"/>
            <w:vAlign w:val="center"/>
          </w:tcPr>
          <w:p w14:paraId="7566FC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党政读物、军事历史、教育考试、经济管理、文学艺术等。</w:t>
            </w:r>
          </w:p>
        </w:tc>
      </w:tr>
      <w:tr w14:paraId="31551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5" w:type="pct"/>
            <w:vMerge w:val="continue"/>
            <w:noWrap w:val="0"/>
            <w:vAlign w:val="center"/>
          </w:tcPr>
          <w:p w14:paraId="602B1457">
            <w:pPr>
              <w:jc w:val="center"/>
              <w:rPr>
                <w:rFonts w:hint="eastAsia" w:ascii="微软雅黑" w:hAnsi="微软雅黑" w:eastAsia="微软雅黑" w:cs="微软雅黑"/>
                <w:b/>
                <w:bCs/>
                <w:i w:val="0"/>
                <w:iCs w:val="0"/>
                <w:color w:val="000000"/>
                <w:sz w:val="22"/>
                <w:szCs w:val="22"/>
                <w:u w:val="none"/>
              </w:rPr>
            </w:pPr>
          </w:p>
        </w:tc>
        <w:tc>
          <w:tcPr>
            <w:tcW w:w="1240" w:type="pct"/>
            <w:noWrap/>
            <w:vAlign w:val="center"/>
          </w:tcPr>
          <w:p w14:paraId="0FCE53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日杂用品耗材</w:t>
            </w:r>
          </w:p>
        </w:tc>
        <w:tc>
          <w:tcPr>
            <w:tcW w:w="3034" w:type="pct"/>
            <w:noWrap w:val="0"/>
            <w:vAlign w:val="center"/>
          </w:tcPr>
          <w:p w14:paraId="31D5C3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吸附棉、有毒物质密封桶、防溢围堤、排水井保护垫、防化袋、洗消剂、清洗剂、焊锡等。</w:t>
            </w:r>
          </w:p>
        </w:tc>
      </w:tr>
      <w:tr w14:paraId="397F0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5" w:type="pct"/>
            <w:vMerge w:val="continue"/>
            <w:noWrap w:val="0"/>
            <w:vAlign w:val="center"/>
          </w:tcPr>
          <w:p w14:paraId="33642901">
            <w:pPr>
              <w:jc w:val="center"/>
              <w:rPr>
                <w:rFonts w:hint="eastAsia" w:ascii="微软雅黑" w:hAnsi="微软雅黑" w:eastAsia="微软雅黑" w:cs="微软雅黑"/>
                <w:b/>
                <w:bCs/>
                <w:i w:val="0"/>
                <w:iCs w:val="0"/>
                <w:color w:val="000000"/>
                <w:sz w:val="22"/>
                <w:szCs w:val="22"/>
                <w:u w:val="none"/>
              </w:rPr>
            </w:pPr>
          </w:p>
        </w:tc>
        <w:tc>
          <w:tcPr>
            <w:tcW w:w="1240" w:type="pct"/>
            <w:noWrap/>
            <w:vAlign w:val="center"/>
          </w:tcPr>
          <w:p w14:paraId="24A874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网络安全相关设备</w:t>
            </w:r>
          </w:p>
        </w:tc>
        <w:tc>
          <w:tcPr>
            <w:tcW w:w="3034" w:type="pct"/>
            <w:noWrap w:val="0"/>
            <w:vAlign w:val="center"/>
          </w:tcPr>
          <w:p w14:paraId="056400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P协议密码机、安全路由器、线路密码机、防火墙、密码芯片、加密卡、身份识别卡、电话密码机、传真密码机、异步数据密码机、安全服务器、安全加密套件、金融加密机/卡、安全中间件、公开密钥基础设施（PKI）CA)系统、安全操作系统、防病毒软件、网络/系统扫描系统、入侵检测系统、网络安全预警与审计系统等</w:t>
            </w:r>
          </w:p>
        </w:tc>
      </w:tr>
      <w:tr w14:paraId="107F2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trPr>
        <w:tc>
          <w:tcPr>
            <w:tcW w:w="725" w:type="pct"/>
            <w:vMerge w:val="continue"/>
            <w:noWrap w:val="0"/>
            <w:vAlign w:val="center"/>
          </w:tcPr>
          <w:p w14:paraId="039109FD">
            <w:pPr>
              <w:jc w:val="center"/>
              <w:rPr>
                <w:rFonts w:hint="eastAsia" w:ascii="微软雅黑" w:hAnsi="微软雅黑" w:eastAsia="微软雅黑" w:cs="微软雅黑"/>
                <w:b/>
                <w:bCs/>
                <w:i w:val="0"/>
                <w:iCs w:val="0"/>
                <w:color w:val="000000"/>
                <w:sz w:val="22"/>
                <w:szCs w:val="22"/>
                <w:u w:val="none"/>
              </w:rPr>
            </w:pPr>
          </w:p>
        </w:tc>
        <w:tc>
          <w:tcPr>
            <w:tcW w:w="1240" w:type="pct"/>
            <w:noWrap/>
            <w:vAlign w:val="center"/>
          </w:tcPr>
          <w:p w14:paraId="5CA8AF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国产化软硬件</w:t>
            </w:r>
          </w:p>
        </w:tc>
        <w:tc>
          <w:tcPr>
            <w:tcW w:w="3034" w:type="pct"/>
            <w:noWrap w:val="0"/>
            <w:vAlign w:val="center"/>
          </w:tcPr>
          <w:p w14:paraId="471127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信创电脑、信创服务器、信创笔记本、信创显示器、信创GPU、网卡、国产化键盘、国产化鼠标、操作系统、主板、内存、Riser卡、SATA  SSD、SATA  HDD、RAID卡、超级电容、RAID卡线缆等</w:t>
            </w:r>
          </w:p>
        </w:tc>
      </w:tr>
      <w:tr w14:paraId="2F1CA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5" w:type="pct"/>
            <w:vMerge w:val="continue"/>
            <w:noWrap w:val="0"/>
            <w:vAlign w:val="center"/>
          </w:tcPr>
          <w:p w14:paraId="56E4C340">
            <w:pPr>
              <w:jc w:val="center"/>
              <w:rPr>
                <w:rFonts w:hint="eastAsia" w:ascii="微软雅黑" w:hAnsi="微软雅黑" w:eastAsia="微软雅黑" w:cs="微软雅黑"/>
                <w:b/>
                <w:bCs/>
                <w:i w:val="0"/>
                <w:iCs w:val="0"/>
                <w:color w:val="000000"/>
                <w:sz w:val="22"/>
                <w:szCs w:val="22"/>
                <w:u w:val="none"/>
              </w:rPr>
            </w:pPr>
          </w:p>
        </w:tc>
        <w:tc>
          <w:tcPr>
            <w:tcW w:w="1240" w:type="pct"/>
            <w:noWrap/>
            <w:vAlign w:val="center"/>
          </w:tcPr>
          <w:p w14:paraId="2B49EA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五金紧固件</w:t>
            </w:r>
          </w:p>
        </w:tc>
        <w:tc>
          <w:tcPr>
            <w:tcW w:w="3034" w:type="pct"/>
            <w:noWrap w:val="0"/>
            <w:vAlign w:val="center"/>
          </w:tcPr>
          <w:p w14:paraId="41D1DD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母、紧固扣件、卡销、镀锌管卡、夹头、吊线杆箍、钢丝绳卡头、夹板、扎带、D型卸扣、铜鼻子、钢钉线码、岩石地锚、抱箍、地线棒、地锚、电缆挂钩、穿钉、卡子、衬环、夹板、管码、卡码类、线槽、螺丝、螺母、紧固扣件等。</w:t>
            </w:r>
          </w:p>
        </w:tc>
      </w:tr>
      <w:tr w14:paraId="3EFFC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5" w:type="pct"/>
            <w:vMerge w:val="continue"/>
            <w:noWrap w:val="0"/>
            <w:vAlign w:val="center"/>
          </w:tcPr>
          <w:p w14:paraId="12F1275A">
            <w:pPr>
              <w:jc w:val="center"/>
              <w:rPr>
                <w:rFonts w:hint="eastAsia" w:ascii="微软雅黑" w:hAnsi="微软雅黑" w:eastAsia="微软雅黑" w:cs="微软雅黑"/>
                <w:b/>
                <w:bCs/>
                <w:i w:val="0"/>
                <w:iCs w:val="0"/>
                <w:color w:val="000000"/>
                <w:sz w:val="22"/>
                <w:szCs w:val="22"/>
                <w:u w:val="none"/>
              </w:rPr>
            </w:pPr>
          </w:p>
        </w:tc>
        <w:tc>
          <w:tcPr>
            <w:tcW w:w="1240" w:type="pct"/>
            <w:noWrap/>
            <w:vAlign w:val="center"/>
          </w:tcPr>
          <w:p w14:paraId="5CB168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电工电料</w:t>
            </w:r>
          </w:p>
        </w:tc>
        <w:tc>
          <w:tcPr>
            <w:tcW w:w="3034" w:type="pct"/>
            <w:noWrap w:val="0"/>
            <w:vAlign w:val="center"/>
          </w:tcPr>
          <w:p w14:paraId="5E12C0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线缆接头、导轨/线槽、双绞屏蔽线、热缩管、绝缘胶布、电线电缆、光纤跳线、光纤清洁笔、清洁器等。</w:t>
            </w:r>
          </w:p>
        </w:tc>
      </w:tr>
      <w:tr w14:paraId="60C2B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5" w:type="pct"/>
            <w:vMerge w:val="continue"/>
            <w:noWrap w:val="0"/>
            <w:vAlign w:val="center"/>
          </w:tcPr>
          <w:p w14:paraId="033D446D">
            <w:pPr>
              <w:jc w:val="center"/>
              <w:rPr>
                <w:rFonts w:hint="eastAsia" w:ascii="微软雅黑" w:hAnsi="微软雅黑" w:eastAsia="微软雅黑" w:cs="微软雅黑"/>
                <w:b/>
                <w:bCs/>
                <w:i w:val="0"/>
                <w:iCs w:val="0"/>
                <w:color w:val="000000"/>
                <w:sz w:val="22"/>
                <w:szCs w:val="22"/>
                <w:u w:val="none"/>
              </w:rPr>
            </w:pPr>
          </w:p>
        </w:tc>
        <w:tc>
          <w:tcPr>
            <w:tcW w:w="1240" w:type="pct"/>
            <w:noWrap/>
            <w:vAlign w:val="center"/>
          </w:tcPr>
          <w:p w14:paraId="211407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灯饰照明</w:t>
            </w:r>
          </w:p>
        </w:tc>
        <w:tc>
          <w:tcPr>
            <w:tcW w:w="3034" w:type="pct"/>
            <w:noWrap w:val="0"/>
            <w:vAlign w:val="center"/>
          </w:tcPr>
          <w:p w14:paraId="78FADB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筒灯/射灯、灯泡、灯带、灯管、吊灯、LED、手电筒、防爆灯、强光灯、时钟夜灯、灯笼灯、感应夜灯、台灯等。</w:t>
            </w:r>
          </w:p>
        </w:tc>
      </w:tr>
      <w:tr w14:paraId="11AC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5" w:type="pct"/>
            <w:vMerge w:val="continue"/>
            <w:noWrap w:val="0"/>
            <w:vAlign w:val="center"/>
          </w:tcPr>
          <w:p w14:paraId="02BBFF97">
            <w:pPr>
              <w:jc w:val="center"/>
              <w:rPr>
                <w:rFonts w:hint="eastAsia" w:ascii="微软雅黑" w:hAnsi="微软雅黑" w:eastAsia="微软雅黑" w:cs="微软雅黑"/>
                <w:b/>
                <w:bCs/>
                <w:i w:val="0"/>
                <w:iCs w:val="0"/>
                <w:color w:val="000000"/>
                <w:sz w:val="22"/>
                <w:szCs w:val="22"/>
                <w:u w:val="none"/>
              </w:rPr>
            </w:pPr>
          </w:p>
        </w:tc>
        <w:tc>
          <w:tcPr>
            <w:tcW w:w="1240" w:type="pct"/>
            <w:noWrap/>
            <w:vAlign w:val="center"/>
          </w:tcPr>
          <w:p w14:paraId="0E82CF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安全防护用品</w:t>
            </w:r>
          </w:p>
        </w:tc>
        <w:tc>
          <w:tcPr>
            <w:tcW w:w="3034" w:type="pct"/>
            <w:noWrap w:val="0"/>
            <w:vAlign w:val="center"/>
          </w:tcPr>
          <w:p w14:paraId="2CF6BE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警示灯、防撞隔离栏、应急照明灯、防护毯、反光锥、拒马/水马、安全工具柜、防护服装、防护面罩、安全头盔、防事故用手套、防割手套、反光安全背心、安全网、耐酸胶鞋、安全帽、防护眼镜、防尘口罩、通用劳保手套、职业鞋、防寒鞋/靴、一次性口罩、乳胶/橡胶手套、安全鞋、一次性手套、防护眼罩、安全带、安全绳、防毒面具、防尘面罩、劳防用品、绝缘鞋、绝缘手套等。</w:t>
            </w:r>
          </w:p>
        </w:tc>
      </w:tr>
      <w:tr w14:paraId="17C38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5" w:type="pct"/>
            <w:vMerge w:val="continue"/>
            <w:noWrap w:val="0"/>
            <w:vAlign w:val="center"/>
          </w:tcPr>
          <w:p w14:paraId="1D490A2F">
            <w:pPr>
              <w:jc w:val="center"/>
              <w:rPr>
                <w:rFonts w:hint="eastAsia" w:ascii="微软雅黑" w:hAnsi="微软雅黑" w:eastAsia="微软雅黑" w:cs="微软雅黑"/>
                <w:b/>
                <w:bCs/>
                <w:i w:val="0"/>
                <w:iCs w:val="0"/>
                <w:color w:val="000000"/>
                <w:sz w:val="22"/>
                <w:szCs w:val="22"/>
                <w:u w:val="none"/>
              </w:rPr>
            </w:pPr>
          </w:p>
        </w:tc>
        <w:tc>
          <w:tcPr>
            <w:tcW w:w="1240" w:type="pct"/>
            <w:noWrap/>
            <w:vAlign w:val="center"/>
          </w:tcPr>
          <w:p w14:paraId="228D2A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工具仪器仪表</w:t>
            </w:r>
          </w:p>
        </w:tc>
        <w:tc>
          <w:tcPr>
            <w:tcW w:w="3034" w:type="pct"/>
            <w:noWrap w:val="0"/>
            <w:vAlign w:val="center"/>
          </w:tcPr>
          <w:p w14:paraId="6DF0E3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万用表、电流表、电压表、电缆故障定位仪、验电测试仪、无线信号测试仪、气压表、测温仪、测温枪、电阻测试仪、红外超声波成像仪、数据综合测试仪、以太网测试仪、光纤线路对号器等。</w:t>
            </w:r>
          </w:p>
        </w:tc>
      </w:tr>
      <w:tr w14:paraId="6403A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5" w:type="pct"/>
            <w:vMerge w:val="continue"/>
            <w:noWrap w:val="0"/>
            <w:vAlign w:val="center"/>
          </w:tcPr>
          <w:p w14:paraId="38A8E058">
            <w:pPr>
              <w:jc w:val="center"/>
              <w:rPr>
                <w:rFonts w:hint="eastAsia" w:ascii="微软雅黑" w:hAnsi="微软雅黑" w:eastAsia="微软雅黑" w:cs="微软雅黑"/>
                <w:b/>
                <w:bCs/>
                <w:i w:val="0"/>
                <w:iCs w:val="0"/>
                <w:color w:val="000000"/>
                <w:sz w:val="22"/>
                <w:szCs w:val="22"/>
                <w:u w:val="none"/>
              </w:rPr>
            </w:pPr>
          </w:p>
        </w:tc>
        <w:tc>
          <w:tcPr>
            <w:tcW w:w="1240" w:type="pct"/>
            <w:noWrap/>
            <w:vAlign w:val="center"/>
          </w:tcPr>
          <w:p w14:paraId="536071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消防器材</w:t>
            </w:r>
          </w:p>
        </w:tc>
        <w:tc>
          <w:tcPr>
            <w:tcW w:w="3034" w:type="pct"/>
            <w:noWrap w:val="0"/>
            <w:vAlign w:val="center"/>
          </w:tcPr>
          <w:p w14:paraId="10D4F1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灭火器、灭火设备、消防泵、消防水带、个人用防事故装置、消防应急照明灯、消防警示灯、火灾逃生湿毛巾消防报警设备等。</w:t>
            </w:r>
          </w:p>
        </w:tc>
      </w:tr>
      <w:tr w14:paraId="0A4A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5" w:type="pct"/>
            <w:vMerge w:val="continue"/>
            <w:noWrap w:val="0"/>
            <w:vAlign w:val="center"/>
          </w:tcPr>
          <w:p w14:paraId="2AB9AF42">
            <w:pPr>
              <w:jc w:val="center"/>
              <w:rPr>
                <w:rFonts w:hint="eastAsia" w:ascii="微软雅黑" w:hAnsi="微软雅黑" w:eastAsia="微软雅黑" w:cs="微软雅黑"/>
                <w:b/>
                <w:bCs/>
                <w:i w:val="0"/>
                <w:iCs w:val="0"/>
                <w:color w:val="000000"/>
                <w:sz w:val="22"/>
                <w:szCs w:val="22"/>
                <w:u w:val="none"/>
              </w:rPr>
            </w:pPr>
          </w:p>
        </w:tc>
        <w:tc>
          <w:tcPr>
            <w:tcW w:w="1240" w:type="pct"/>
            <w:noWrap/>
            <w:vAlign w:val="center"/>
          </w:tcPr>
          <w:p w14:paraId="5D564D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机械设备</w:t>
            </w:r>
          </w:p>
        </w:tc>
        <w:tc>
          <w:tcPr>
            <w:tcW w:w="3034" w:type="pct"/>
            <w:noWrap w:val="0"/>
            <w:vAlign w:val="center"/>
          </w:tcPr>
          <w:p w14:paraId="408ECF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角式气砂轮机、气动冲击扳手、锂电钻、角磨机、液压钳、液压拉马、压线钳、卷尺、锤子、电动液压钳、液压拔轮器、液压千斤顶 、压线钳、液压开孔器、电动棘轮剪、多功能扭力扳手、电动扭力扳手、锂电高枝锯、电动工具、手动工具等。</w:t>
            </w:r>
          </w:p>
        </w:tc>
      </w:tr>
      <w:tr w14:paraId="4EE40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5" w:type="pct"/>
            <w:vMerge w:val="continue"/>
            <w:noWrap w:val="0"/>
            <w:vAlign w:val="center"/>
          </w:tcPr>
          <w:p w14:paraId="222F1193">
            <w:pPr>
              <w:jc w:val="center"/>
              <w:rPr>
                <w:rFonts w:hint="eastAsia" w:ascii="微软雅黑" w:hAnsi="微软雅黑" w:eastAsia="微软雅黑" w:cs="微软雅黑"/>
                <w:b/>
                <w:bCs/>
                <w:i w:val="0"/>
                <w:iCs w:val="0"/>
                <w:color w:val="000000"/>
                <w:sz w:val="22"/>
                <w:szCs w:val="22"/>
                <w:u w:val="none"/>
              </w:rPr>
            </w:pPr>
          </w:p>
        </w:tc>
        <w:tc>
          <w:tcPr>
            <w:tcW w:w="1240" w:type="pct"/>
            <w:noWrap/>
            <w:vAlign w:val="center"/>
          </w:tcPr>
          <w:p w14:paraId="336762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锁具</w:t>
            </w:r>
          </w:p>
        </w:tc>
        <w:tc>
          <w:tcPr>
            <w:tcW w:w="3034" w:type="pct"/>
            <w:noWrap w:val="0"/>
            <w:vAlign w:val="center"/>
          </w:tcPr>
          <w:p w14:paraId="041D5E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不锈钢挂锁、机械锁、安全锁、安全锁具组合套装、电锁、生物指纹门锁、微型断路锁具、电器开关锁具、安全挂锁、门阀锁具、布袋锁具等。</w:t>
            </w:r>
          </w:p>
        </w:tc>
      </w:tr>
      <w:tr w14:paraId="5424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5" w:type="pct"/>
            <w:vMerge w:val="continue"/>
            <w:noWrap w:val="0"/>
            <w:vAlign w:val="center"/>
          </w:tcPr>
          <w:p w14:paraId="2109932F">
            <w:pPr>
              <w:jc w:val="center"/>
              <w:rPr>
                <w:rFonts w:hint="eastAsia" w:ascii="微软雅黑" w:hAnsi="微软雅黑" w:eastAsia="微软雅黑" w:cs="微软雅黑"/>
                <w:b/>
                <w:bCs/>
                <w:i w:val="0"/>
                <w:iCs w:val="0"/>
                <w:color w:val="000000"/>
                <w:sz w:val="22"/>
                <w:szCs w:val="22"/>
                <w:u w:val="none"/>
              </w:rPr>
            </w:pPr>
          </w:p>
        </w:tc>
        <w:tc>
          <w:tcPr>
            <w:tcW w:w="1240" w:type="pct"/>
            <w:noWrap/>
            <w:vAlign w:val="center"/>
          </w:tcPr>
          <w:p w14:paraId="70066F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暖通</w:t>
            </w:r>
          </w:p>
        </w:tc>
        <w:tc>
          <w:tcPr>
            <w:tcW w:w="3034" w:type="pct"/>
            <w:noWrap w:val="0"/>
            <w:vAlign w:val="center"/>
          </w:tcPr>
          <w:p w14:paraId="79BD50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商用通风设备、商用空调、商用风扇、喷雾风扇、商用除湿机、工业除湿机等。</w:t>
            </w:r>
          </w:p>
        </w:tc>
      </w:tr>
      <w:tr w14:paraId="6F98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5" w:type="pct"/>
            <w:vMerge w:val="continue"/>
            <w:noWrap w:val="0"/>
            <w:vAlign w:val="center"/>
          </w:tcPr>
          <w:p w14:paraId="08640152">
            <w:pPr>
              <w:jc w:val="center"/>
              <w:rPr>
                <w:rFonts w:hint="eastAsia" w:ascii="微软雅黑" w:hAnsi="微软雅黑" w:eastAsia="微软雅黑" w:cs="微软雅黑"/>
                <w:b/>
                <w:bCs/>
                <w:i w:val="0"/>
                <w:iCs w:val="0"/>
                <w:color w:val="000000"/>
                <w:sz w:val="22"/>
                <w:szCs w:val="22"/>
                <w:u w:val="none"/>
              </w:rPr>
            </w:pPr>
          </w:p>
        </w:tc>
        <w:tc>
          <w:tcPr>
            <w:tcW w:w="1240" w:type="pct"/>
            <w:noWrap/>
            <w:vAlign w:val="center"/>
          </w:tcPr>
          <w:p w14:paraId="01B8B3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给排水</w:t>
            </w:r>
          </w:p>
        </w:tc>
        <w:tc>
          <w:tcPr>
            <w:tcW w:w="3034" w:type="pct"/>
            <w:noWrap w:val="0"/>
            <w:vAlign w:val="center"/>
          </w:tcPr>
          <w:p w14:paraId="7ABE02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管、钢管、钢丝网骨架管、孔网钢带管、不锈钢波纹管、给排水管件、污水泵、钢管、金属管道弯头、金属管道接头、金属管道配件、金属阀门(非机器零件)、油井金属套管金属管道、金属水管阀、金属集合管、金属引水管道等。</w:t>
            </w:r>
          </w:p>
        </w:tc>
      </w:tr>
      <w:tr w14:paraId="5CA6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5" w:type="pct"/>
            <w:vMerge w:val="continue"/>
            <w:noWrap w:val="0"/>
            <w:vAlign w:val="center"/>
          </w:tcPr>
          <w:p w14:paraId="5E736D51">
            <w:pPr>
              <w:jc w:val="center"/>
              <w:rPr>
                <w:rFonts w:hint="eastAsia" w:ascii="微软雅黑" w:hAnsi="微软雅黑" w:eastAsia="微软雅黑" w:cs="微软雅黑"/>
                <w:b/>
                <w:bCs/>
                <w:i w:val="0"/>
                <w:iCs w:val="0"/>
                <w:color w:val="000000"/>
                <w:sz w:val="22"/>
                <w:szCs w:val="22"/>
                <w:u w:val="none"/>
              </w:rPr>
            </w:pPr>
          </w:p>
        </w:tc>
        <w:tc>
          <w:tcPr>
            <w:tcW w:w="1240" w:type="pct"/>
            <w:noWrap/>
            <w:vAlign w:val="center"/>
          </w:tcPr>
          <w:p w14:paraId="0CAAE5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装饰材料</w:t>
            </w:r>
          </w:p>
        </w:tc>
        <w:tc>
          <w:tcPr>
            <w:tcW w:w="3034" w:type="pct"/>
            <w:noWrap w:val="0"/>
            <w:vAlign w:val="center"/>
          </w:tcPr>
          <w:p w14:paraId="3262CA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厨房卫浴、墙地面材料、定制门、门铃、电料配件、电线/电缆、接线板/排插、开关插座、配电箱/断路器、智能家居、测量工具、工具配件、工具组套、家用五金、木材/板材、管材管件、瓷砖、安全阀等。</w:t>
            </w:r>
          </w:p>
        </w:tc>
      </w:tr>
      <w:tr w14:paraId="6B125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5" w:type="pct"/>
            <w:vMerge w:val="continue"/>
            <w:noWrap w:val="0"/>
            <w:vAlign w:val="center"/>
          </w:tcPr>
          <w:p w14:paraId="2788323D">
            <w:pPr>
              <w:jc w:val="center"/>
              <w:rPr>
                <w:rFonts w:hint="eastAsia" w:ascii="微软雅黑" w:hAnsi="微软雅黑" w:eastAsia="微软雅黑" w:cs="微软雅黑"/>
                <w:b/>
                <w:bCs/>
                <w:i w:val="0"/>
                <w:iCs w:val="0"/>
                <w:color w:val="000000"/>
                <w:sz w:val="22"/>
                <w:szCs w:val="22"/>
                <w:u w:val="none"/>
              </w:rPr>
            </w:pPr>
          </w:p>
        </w:tc>
        <w:tc>
          <w:tcPr>
            <w:tcW w:w="1240" w:type="pct"/>
            <w:noWrap/>
            <w:vAlign w:val="center"/>
          </w:tcPr>
          <w:p w14:paraId="453835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安防设备</w:t>
            </w:r>
          </w:p>
        </w:tc>
        <w:tc>
          <w:tcPr>
            <w:tcW w:w="3034" w:type="pct"/>
            <w:noWrap w:val="0"/>
            <w:vAlign w:val="center"/>
          </w:tcPr>
          <w:p w14:paraId="060A56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视频监控、监控安防、门禁设备、人脸识别机、金属检测门、安防报警器、太阳能声光警报器等。</w:t>
            </w:r>
          </w:p>
        </w:tc>
      </w:tr>
      <w:tr w14:paraId="2DBAF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5" w:type="pct"/>
            <w:vMerge w:val="continue"/>
            <w:noWrap w:val="0"/>
            <w:vAlign w:val="center"/>
          </w:tcPr>
          <w:p w14:paraId="3C3D2D59">
            <w:pPr>
              <w:jc w:val="center"/>
              <w:rPr>
                <w:rFonts w:hint="eastAsia" w:ascii="微软雅黑" w:hAnsi="微软雅黑" w:eastAsia="微软雅黑" w:cs="微软雅黑"/>
                <w:b/>
                <w:bCs/>
                <w:i w:val="0"/>
                <w:iCs w:val="0"/>
                <w:color w:val="000000"/>
                <w:sz w:val="22"/>
                <w:szCs w:val="22"/>
                <w:u w:val="none"/>
              </w:rPr>
            </w:pPr>
          </w:p>
        </w:tc>
        <w:tc>
          <w:tcPr>
            <w:tcW w:w="1240" w:type="pct"/>
            <w:noWrap/>
            <w:vAlign w:val="center"/>
          </w:tcPr>
          <w:p w14:paraId="0771EC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保温材料</w:t>
            </w:r>
          </w:p>
        </w:tc>
        <w:tc>
          <w:tcPr>
            <w:tcW w:w="3034" w:type="pct"/>
            <w:noWrap w:val="0"/>
            <w:vAlign w:val="center"/>
          </w:tcPr>
          <w:p w14:paraId="0D4D55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橡塑、波浪吸音棉、鸡蛋棉、铝箔隔热棉、保温棉、自粘保温棉、玻璃棉、岩棉、橡塑、硅酸盐等。</w:t>
            </w:r>
          </w:p>
        </w:tc>
      </w:tr>
      <w:tr w14:paraId="1590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5" w:type="pct"/>
            <w:vMerge w:val="continue"/>
            <w:noWrap w:val="0"/>
            <w:vAlign w:val="center"/>
          </w:tcPr>
          <w:p w14:paraId="08108E9F">
            <w:pPr>
              <w:jc w:val="center"/>
              <w:rPr>
                <w:rFonts w:hint="eastAsia" w:ascii="微软雅黑" w:hAnsi="微软雅黑" w:eastAsia="微软雅黑" w:cs="微软雅黑"/>
                <w:b/>
                <w:bCs/>
                <w:i w:val="0"/>
                <w:iCs w:val="0"/>
                <w:color w:val="000000"/>
                <w:sz w:val="22"/>
                <w:szCs w:val="22"/>
                <w:u w:val="none"/>
              </w:rPr>
            </w:pPr>
          </w:p>
        </w:tc>
        <w:tc>
          <w:tcPr>
            <w:tcW w:w="1240" w:type="pct"/>
            <w:noWrap/>
            <w:vAlign w:val="center"/>
          </w:tcPr>
          <w:p w14:paraId="406E9B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化工涂料</w:t>
            </w:r>
          </w:p>
        </w:tc>
        <w:tc>
          <w:tcPr>
            <w:tcW w:w="3034" w:type="pct"/>
            <w:noWrap w:val="0"/>
            <w:vAlign w:val="center"/>
          </w:tcPr>
          <w:p w14:paraId="66FD29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防覆冰涂料、防凝露涂料、自喷漆、油漆、胶黏剂、袋装水泥、油漆、板材、防水涂料、防水卷材等。</w:t>
            </w:r>
          </w:p>
        </w:tc>
      </w:tr>
      <w:tr w14:paraId="4B27F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trPr>
        <w:tc>
          <w:tcPr>
            <w:tcW w:w="725" w:type="pct"/>
            <w:vMerge w:val="continue"/>
            <w:noWrap w:val="0"/>
            <w:vAlign w:val="center"/>
          </w:tcPr>
          <w:p w14:paraId="2A9BBEF8">
            <w:pPr>
              <w:jc w:val="center"/>
              <w:rPr>
                <w:rFonts w:hint="eastAsia" w:ascii="微软雅黑" w:hAnsi="微软雅黑" w:eastAsia="微软雅黑" w:cs="微软雅黑"/>
                <w:b/>
                <w:bCs/>
                <w:i w:val="0"/>
                <w:iCs w:val="0"/>
                <w:color w:val="000000"/>
                <w:sz w:val="22"/>
                <w:szCs w:val="22"/>
                <w:u w:val="none"/>
              </w:rPr>
            </w:pPr>
          </w:p>
        </w:tc>
        <w:tc>
          <w:tcPr>
            <w:tcW w:w="1240" w:type="pct"/>
            <w:noWrap/>
            <w:vAlign w:val="center"/>
          </w:tcPr>
          <w:p w14:paraId="26CF45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卫浴洁具</w:t>
            </w:r>
          </w:p>
        </w:tc>
        <w:tc>
          <w:tcPr>
            <w:tcW w:w="3034" w:type="pct"/>
            <w:noWrap w:val="0"/>
            <w:vAlign w:val="center"/>
          </w:tcPr>
          <w:p w14:paraId="065FD5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金制品及焊接材料、铝合金门窗、塑钢门窗、消火栓、灭火器、阀门、散热器、变压器、全铜面盆、水龙头、不锈钢水槽、全铜和304不锈钢淋浴花洒、角阀水嘴、地漏下水、五金挂件、陶瓷马桶、浴室柜、浴缸、洗手盆、浴室镜、蹲便器、坐便器、小便器、台盆/面盆、自动感应泡沫洗手机、牙刷消毒盒等。</w:t>
            </w:r>
          </w:p>
        </w:tc>
      </w:tr>
    </w:tbl>
    <w:p w14:paraId="33DDFB7F">
      <w:pPr>
        <w:pStyle w:val="3"/>
        <w:rPr>
          <w:rFonts w:hint="eastAsia"/>
          <w:lang w:val="en-US" w:eastAsia="zh-CN"/>
        </w:rPr>
      </w:pPr>
    </w:p>
    <w:p w14:paraId="4F6C4A40">
      <w:pPr>
        <w:keepNext w:val="0"/>
        <w:keepLines w:val="0"/>
        <w:pageBreakBefore w:val="0"/>
        <w:kinsoku/>
        <w:wordWrap/>
        <w:overflowPunct/>
        <w:topLinePunct w:val="0"/>
        <w:bidi w:val="0"/>
        <w:spacing w:line="500" w:lineRule="exact"/>
        <w:jc w:val="left"/>
        <w:rPr>
          <w:rFonts w:hint="eastAsia" w:ascii="宋体" w:hAnsi="宋体"/>
          <w:b/>
          <w:szCs w:val="21"/>
        </w:rPr>
      </w:pPr>
      <w:bookmarkStart w:id="5" w:name="_Toc31469"/>
      <w:r>
        <w:rPr>
          <w:rFonts w:hint="eastAsia" w:ascii="宋体" w:hAnsi="宋体"/>
          <w:b/>
          <w:szCs w:val="21"/>
          <w:lang w:val="en-US" w:eastAsia="zh-CN"/>
        </w:rPr>
        <w:t>3.</w:t>
      </w:r>
      <w:r>
        <w:rPr>
          <w:rFonts w:hint="eastAsia" w:ascii="宋体" w:hAnsi="宋体"/>
          <w:b/>
          <w:bCs/>
          <w:szCs w:val="21"/>
        </w:rPr>
        <w:t>※</w:t>
      </w:r>
      <w:r>
        <w:rPr>
          <w:rFonts w:hint="eastAsia" w:ascii="宋体" w:hAnsi="宋体"/>
          <w:b/>
          <w:szCs w:val="21"/>
        </w:rPr>
        <w:t>申请人资格要求</w:t>
      </w:r>
    </w:p>
    <w:p w14:paraId="1BB353C2">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rPr>
          <w:rFonts w:hint="eastAsia" w:ascii="宋体" w:hAnsi="宋体"/>
          <w:b/>
          <w:szCs w:val="21"/>
        </w:rPr>
      </w:pPr>
      <w:r>
        <w:rPr>
          <w:rFonts w:hint="eastAsia" w:ascii="宋体" w:hAnsi="宋体"/>
          <w:b/>
          <w:szCs w:val="21"/>
          <w:lang w:val="en-US" w:eastAsia="zh-CN"/>
        </w:rPr>
        <w:t>3</w:t>
      </w:r>
      <w:r>
        <w:rPr>
          <w:rFonts w:ascii="宋体" w:hAnsi="宋体"/>
          <w:b/>
          <w:szCs w:val="21"/>
        </w:rPr>
        <w:t>.</w:t>
      </w:r>
      <w:r>
        <w:rPr>
          <w:rFonts w:hint="eastAsia" w:ascii="宋体" w:hAnsi="宋体"/>
          <w:b/>
          <w:szCs w:val="21"/>
        </w:rPr>
        <w:t>1</w:t>
      </w:r>
      <w:r>
        <w:rPr>
          <w:rFonts w:ascii="宋体" w:hAnsi="宋体"/>
          <w:b/>
          <w:szCs w:val="21"/>
        </w:rPr>
        <w:t xml:space="preserve"> </w:t>
      </w:r>
      <w:r>
        <w:rPr>
          <w:rFonts w:hint="eastAsia" w:ascii="宋体" w:hAnsi="宋体"/>
          <w:b/>
          <w:szCs w:val="21"/>
        </w:rPr>
        <w:t>资质要求</w:t>
      </w:r>
    </w:p>
    <w:p w14:paraId="6C4596C1">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ascii="宋体" w:hAnsi="宋体"/>
          <w:szCs w:val="21"/>
          <w:highlight w:val="none"/>
        </w:rPr>
      </w:pPr>
      <w:r>
        <w:rPr>
          <w:rFonts w:hint="eastAsia" w:ascii="宋体" w:hAnsi="宋体"/>
          <w:szCs w:val="21"/>
          <w:lang w:val="en-US" w:eastAsia="zh-CN"/>
        </w:rPr>
        <w:t>3.1.1</w:t>
      </w:r>
      <w:r>
        <w:rPr>
          <w:rFonts w:hint="eastAsia" w:ascii="宋体" w:hAnsi="宋体"/>
          <w:szCs w:val="21"/>
        </w:rPr>
        <w:t>申请人须为合法注册的法人或其他组织，提供营业执照（或事业单位法人证书，或社会团体法人登记证书，或执业许可证）的复印件；若申请人为法人的分支机构，还须同时提供具有法人资格的总公司的营业执照复印件。注：1</w:t>
      </w:r>
      <w:r>
        <w:rPr>
          <w:rFonts w:hint="eastAsia" w:ascii="宋体" w:hAnsi="宋体"/>
          <w:szCs w:val="21"/>
          <w:lang w:val="en-US" w:eastAsia="zh-CN"/>
        </w:rPr>
        <w:t>.</w:t>
      </w:r>
      <w:r>
        <w:rPr>
          <w:rFonts w:hint="eastAsia" w:ascii="宋体" w:hAnsi="宋体"/>
          <w:szCs w:val="21"/>
        </w:rPr>
        <w:t>总公司取得的相关资质证书和授权范围内的事项对分支机</w:t>
      </w:r>
      <w:r>
        <w:rPr>
          <w:rFonts w:hint="eastAsia" w:ascii="宋体" w:hAnsi="宋体"/>
          <w:szCs w:val="21"/>
          <w:highlight w:val="none"/>
        </w:rPr>
        <w:t>构有效，但法律法规或者行业另有规定的除外；2</w:t>
      </w:r>
      <w:r>
        <w:rPr>
          <w:rFonts w:hint="eastAsia" w:ascii="宋体" w:hAnsi="宋体"/>
          <w:szCs w:val="21"/>
          <w:highlight w:val="none"/>
          <w:lang w:val="en-US" w:eastAsia="zh-CN"/>
        </w:rPr>
        <w:t>.</w:t>
      </w:r>
      <w:r>
        <w:rPr>
          <w:rFonts w:hint="eastAsia" w:ascii="宋体" w:hAnsi="宋体"/>
          <w:szCs w:val="21"/>
          <w:highlight w:val="none"/>
        </w:rPr>
        <w:t>不允许同一法人授权多个分支机构参加本项目，或该法人与其分支机构同时参加本项目的招募申请。</w:t>
      </w:r>
    </w:p>
    <w:p w14:paraId="7C524209">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highlight w:val="none"/>
          <w:lang w:val="en-US" w:eastAsia="zh-CN"/>
        </w:rPr>
      </w:pPr>
      <w:r>
        <w:rPr>
          <w:rFonts w:hint="eastAsia" w:ascii="宋体" w:hAnsi="宋体"/>
          <w:szCs w:val="21"/>
          <w:highlight w:val="none"/>
          <w:lang w:val="en-US" w:eastAsia="zh-CN"/>
        </w:rPr>
        <w:t>3.1.2申请人须具备增值税一般纳税人资格，提供有效的增值税一般纳税人资格证明(由主管税务机关在其《税务登记证》副本“资格认定”栏内加盖“增值税一般纳税人”戳记，或提供在网上税务系统查询能显示其为一般纳税人的页面的截屏打印件，或提供经主管税务机关核对后退还纳税人留存的《增值税一般纳税人资格登记表》，或主管税务机关出具的其他的增值税一般纳税人资格证明材料)(复印件)</w:t>
      </w:r>
      <w:r>
        <w:rPr>
          <w:rFonts w:hint="eastAsia"/>
          <w:highlight w:val="none"/>
          <w:lang w:val="en-US" w:eastAsia="zh-CN"/>
        </w:rPr>
        <w:t>。</w:t>
      </w:r>
    </w:p>
    <w:p w14:paraId="5AFC8B12">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szCs w:val="21"/>
          <w:lang w:val="en-US" w:eastAsia="zh-CN"/>
        </w:rPr>
      </w:pPr>
      <w:r>
        <w:rPr>
          <w:rFonts w:hint="eastAsia" w:ascii="宋体" w:hAnsi="宋体"/>
          <w:szCs w:val="21"/>
          <w:lang w:val="en-US" w:eastAsia="zh-CN"/>
        </w:rPr>
        <w:t>3.1.3</w:t>
      </w:r>
      <w:r>
        <w:rPr>
          <w:rFonts w:hint="eastAsia" w:ascii="宋体" w:hAnsi="宋体"/>
          <w:szCs w:val="21"/>
        </w:rPr>
        <w:t>本项目</w:t>
      </w:r>
      <w:r>
        <w:rPr>
          <w:rFonts w:hint="eastAsia" w:ascii="宋体" w:hAnsi="宋体"/>
          <w:b/>
          <w:szCs w:val="21"/>
        </w:rPr>
        <w:t>不接受</w:t>
      </w:r>
      <w:r>
        <w:rPr>
          <w:rFonts w:hint="eastAsia" w:ascii="宋体" w:hAnsi="宋体"/>
          <w:szCs w:val="21"/>
        </w:rPr>
        <w:t>联合体申请</w:t>
      </w:r>
    </w:p>
    <w:p w14:paraId="39CB8CF0">
      <w:pPr>
        <w:spacing w:line="500" w:lineRule="exact"/>
        <w:ind w:firstLine="420" w:firstLineChars="200"/>
        <w:jc w:val="left"/>
        <w:rPr>
          <w:rFonts w:hint="eastAsia" w:ascii="宋体" w:hAnsi="宋体" w:eastAsia="宋体" w:cs="Calibri"/>
          <w:kern w:val="2"/>
          <w:sz w:val="21"/>
          <w:szCs w:val="21"/>
          <w:lang w:val="en-US" w:eastAsia="zh-CN" w:bidi="ar-SA"/>
        </w:rPr>
      </w:pPr>
      <w:r>
        <w:rPr>
          <w:rFonts w:hint="eastAsia" w:ascii="宋体" w:hAnsi="宋体" w:eastAsia="宋体" w:cs="Calibri"/>
          <w:kern w:val="2"/>
          <w:sz w:val="21"/>
          <w:szCs w:val="21"/>
          <w:lang w:val="en-US" w:eastAsia="zh-CN" w:bidi="ar-SA"/>
        </w:rPr>
        <w:t>3.1.</w:t>
      </w:r>
      <w:r>
        <w:rPr>
          <w:rFonts w:hint="eastAsia" w:ascii="宋体" w:hAnsi="宋体" w:cs="Calibri"/>
          <w:kern w:val="2"/>
          <w:sz w:val="21"/>
          <w:szCs w:val="21"/>
          <w:lang w:val="en-US" w:eastAsia="zh-CN" w:bidi="ar-SA"/>
        </w:rPr>
        <w:t>4</w:t>
      </w:r>
      <w:r>
        <w:rPr>
          <w:rFonts w:hint="eastAsia" w:ascii="宋体" w:hAnsi="宋体" w:eastAsia="宋体" w:cs="Calibri"/>
          <w:kern w:val="2"/>
          <w:sz w:val="21"/>
          <w:szCs w:val="21"/>
          <w:lang w:val="en-US" w:eastAsia="zh-CN" w:bidi="ar-SA"/>
        </w:rPr>
        <w:t>财务要求：不存在破产清算状况，并提供以下3类证明材料中的任意1种（个体工商户除外）：</w:t>
      </w:r>
    </w:p>
    <w:p w14:paraId="50D5C04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szCs w:val="21"/>
        </w:rPr>
      </w:pPr>
      <w:r>
        <w:rPr>
          <w:rFonts w:hint="eastAsia"/>
          <w:lang w:eastAsia="zh-CN"/>
        </w:rPr>
        <w:t>（</w:t>
      </w:r>
      <w:r>
        <w:rPr>
          <w:rFonts w:hint="eastAsia"/>
          <w:lang w:val="en-US" w:eastAsia="zh-CN"/>
        </w:rPr>
        <w:t>1</w:t>
      </w:r>
      <w:r>
        <w:rPr>
          <w:rFonts w:hint="eastAsia"/>
          <w:lang w:eastAsia="zh-CN"/>
        </w:rPr>
        <w:t>）</w:t>
      </w:r>
      <w:r>
        <w:rPr>
          <w:rFonts w:hint="eastAsia" w:ascii="宋体" w:hAnsi="宋体" w:eastAsia="宋体" w:cs="Calibri"/>
          <w:kern w:val="2"/>
          <w:sz w:val="21"/>
          <w:szCs w:val="21"/>
          <w:lang w:val="en-US" w:eastAsia="zh-CN" w:bidi="ar-SA"/>
        </w:rPr>
        <w:t>申请人须提供近1年（如为新注册单位且注册未满一年的，可不提供）经会计师事务所审计的年度财务</w:t>
      </w:r>
      <w:r>
        <w:rPr>
          <w:rFonts w:hint="eastAsia" w:ascii="宋体" w:hAnsi="宋体"/>
          <w:szCs w:val="21"/>
        </w:rPr>
        <w:t>报告关键页复印件（须包含财务报告审计单位签字盖章页、资产负债表、利润表、现金流量表）。</w:t>
      </w:r>
    </w:p>
    <w:p w14:paraId="19715DE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申请人须提供近1年（如为新注册单位且注册未满一年的，可不提供）资产负债表、利润表、现金流量表的电子税务局系统查询截图。</w:t>
      </w:r>
    </w:p>
    <w:p w14:paraId="06B9C4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jc w:val="left"/>
        <w:textAlignment w:val="auto"/>
        <w:rPr>
          <w:rFonts w:ascii="宋体" w:hAnsi="宋体"/>
          <w:szCs w:val="21"/>
          <w:highlight w:val="none"/>
        </w:rPr>
      </w:pPr>
      <w:r>
        <w:rPr>
          <w:rFonts w:hint="eastAsia" w:ascii="宋体" w:hAnsi="宋体"/>
          <w:szCs w:val="21"/>
        </w:rPr>
        <w:t>（3）申请人须提供近1年（如为新注册单位且注册未满一年的，可不提供）第三方机构</w:t>
      </w:r>
      <w:r>
        <w:rPr>
          <w:rFonts w:hint="eastAsia" w:ascii="宋体" w:hAnsi="宋体"/>
          <w:szCs w:val="21"/>
          <w:highlight w:val="none"/>
        </w:rPr>
        <w:t>出具的财务报告复印件（须包含资产负债表、利润表、现金流量表）。</w:t>
      </w:r>
    </w:p>
    <w:p w14:paraId="0E5ADDB1">
      <w:pPr>
        <w:keepNext w:val="0"/>
        <w:keepLines w:val="0"/>
        <w:pageBreakBefore w:val="0"/>
        <w:widowControl w:val="0"/>
        <w:tabs>
          <w:tab w:val="left" w:pos="1418"/>
        </w:tabs>
        <w:kinsoku/>
        <w:wordWrap/>
        <w:overflowPunct/>
        <w:topLinePunct w:val="0"/>
        <w:autoSpaceDE/>
        <w:autoSpaceDN/>
        <w:bidi w:val="0"/>
        <w:adjustRightInd/>
        <w:snapToGrid/>
        <w:spacing w:line="500" w:lineRule="exact"/>
        <w:ind w:firstLine="422" w:firstLineChars="200"/>
        <w:jc w:val="left"/>
        <w:textAlignment w:val="auto"/>
        <w:rPr>
          <w:rFonts w:hint="default" w:eastAsia="宋体"/>
          <w:highlight w:val="none"/>
          <w:lang w:val="en-US" w:eastAsia="zh-CN"/>
        </w:rPr>
      </w:pPr>
      <w:r>
        <w:rPr>
          <w:rFonts w:hint="eastAsia" w:ascii="宋体" w:hAnsi="宋体"/>
          <w:b/>
          <w:bCs/>
          <w:szCs w:val="21"/>
          <w:highlight w:val="none"/>
          <w:lang w:val="en-US" w:eastAsia="zh-CN"/>
        </w:rPr>
        <w:t>3.1.5</w:t>
      </w:r>
      <w:r>
        <w:rPr>
          <w:rFonts w:hint="eastAsia"/>
          <w:highlight w:val="none"/>
          <w:lang w:val="en-US" w:eastAsia="zh-CN"/>
        </w:rPr>
        <w:t>价格要求：供应商须提供加盖单位公章的挂网毛利率承诺函，承诺入围后与招募方的结算商品成本不高于该商品在中国通服电子商城挂网销售价格的 95%。</w:t>
      </w:r>
    </w:p>
    <w:p w14:paraId="4E5ED5D5">
      <w:pPr>
        <w:keepNext w:val="0"/>
        <w:keepLines w:val="0"/>
        <w:pageBreakBefore w:val="0"/>
        <w:widowControl w:val="0"/>
        <w:tabs>
          <w:tab w:val="left" w:pos="1418"/>
        </w:tabs>
        <w:kinsoku/>
        <w:wordWrap/>
        <w:overflowPunct/>
        <w:topLinePunct w:val="0"/>
        <w:autoSpaceDE/>
        <w:autoSpaceDN/>
        <w:bidi w:val="0"/>
        <w:adjustRightInd/>
        <w:snapToGrid/>
        <w:spacing w:line="500" w:lineRule="exact"/>
        <w:ind w:firstLine="420" w:firstLineChars="200"/>
        <w:jc w:val="left"/>
        <w:textAlignment w:val="auto"/>
        <w:rPr>
          <w:rFonts w:ascii="宋体" w:hAnsi="宋体"/>
          <w:szCs w:val="21"/>
          <w:highlight w:val="none"/>
        </w:rPr>
      </w:pPr>
      <w:r>
        <w:rPr>
          <w:rFonts w:hint="eastAsia"/>
          <w:lang w:val="en-US" w:eastAsia="zh-CN"/>
        </w:rPr>
        <w:t>3.1.6：</w:t>
      </w:r>
      <w:r>
        <w:rPr>
          <w:rFonts w:hint="eastAsia" w:ascii="宋体" w:hAnsi="宋体"/>
          <w:b/>
          <w:bCs/>
          <w:szCs w:val="21"/>
          <w:highlight w:val="none"/>
        </w:rPr>
        <w:t>供货能力要求：</w:t>
      </w:r>
      <w:r>
        <w:rPr>
          <w:rFonts w:hint="eastAsia" w:ascii="宋体" w:hAnsi="宋体"/>
          <w:szCs w:val="21"/>
          <w:highlight w:val="none"/>
        </w:rPr>
        <w:t>能够合法销售所供应产品</w:t>
      </w:r>
      <w:r>
        <w:rPr>
          <w:rFonts w:hint="eastAsia" w:ascii="宋体" w:hAnsi="宋体"/>
          <w:szCs w:val="21"/>
          <w:highlight w:val="none"/>
          <w:lang w:eastAsia="zh-CN"/>
        </w:rPr>
        <w:t>（</w:t>
      </w:r>
      <w:r>
        <w:rPr>
          <w:rFonts w:hint="eastAsia" w:ascii="宋体" w:hAnsi="宋体" w:cs="宋体"/>
          <w:kern w:val="0"/>
          <w:szCs w:val="21"/>
          <w:lang w:val="en-US" w:eastAsia="zh-CN" w:bidi="ar"/>
        </w:rPr>
        <w:t>花卉等特殊品类除外）</w:t>
      </w:r>
      <w:r>
        <w:rPr>
          <w:rFonts w:hint="eastAsia" w:ascii="宋体" w:hAnsi="宋体"/>
          <w:szCs w:val="21"/>
          <w:highlight w:val="none"/>
        </w:rPr>
        <w:t>，申请人须满足以下两种情况之一：</w:t>
      </w:r>
    </w:p>
    <w:p w14:paraId="26B1E65E">
      <w:pPr>
        <w:keepNext w:val="0"/>
        <w:keepLines w:val="0"/>
        <w:pageBreakBefore w:val="0"/>
        <w:widowControl w:val="0"/>
        <w:tabs>
          <w:tab w:val="left" w:pos="1418"/>
        </w:tabs>
        <w:kinsoku/>
        <w:wordWrap/>
        <w:overflowPunct/>
        <w:topLinePunct w:val="0"/>
        <w:autoSpaceDE/>
        <w:autoSpaceDN/>
        <w:bidi w:val="0"/>
        <w:adjustRightInd/>
        <w:snapToGrid/>
        <w:spacing w:line="500" w:lineRule="exact"/>
        <w:ind w:firstLine="420" w:firstLineChars="200"/>
        <w:jc w:val="left"/>
        <w:textAlignment w:val="auto"/>
        <w:rPr>
          <w:rFonts w:ascii="宋体" w:hAnsi="宋体"/>
          <w:szCs w:val="21"/>
          <w:highlight w:val="none"/>
        </w:rPr>
      </w:pPr>
      <w:r>
        <w:rPr>
          <w:rFonts w:hint="eastAsia" w:ascii="宋体" w:hAnsi="宋体"/>
          <w:szCs w:val="21"/>
          <w:highlight w:val="none"/>
        </w:rPr>
        <w:t>1）须为</w:t>
      </w:r>
      <w:r>
        <w:rPr>
          <w:rFonts w:hint="eastAsia" w:ascii="宋体" w:hAnsi="宋体" w:cs="宋体"/>
          <w:kern w:val="0"/>
          <w:szCs w:val="21"/>
          <w:highlight w:val="none"/>
          <w:lang w:bidi="ar"/>
        </w:rPr>
        <w:t>本次采购品类中的</w:t>
      </w:r>
      <w:r>
        <w:rPr>
          <w:rFonts w:hint="eastAsia" w:ascii="宋体" w:hAnsi="宋体"/>
          <w:szCs w:val="21"/>
          <w:highlight w:val="none"/>
        </w:rPr>
        <w:t>制造商（须提供制造商证明</w:t>
      </w:r>
      <w:r>
        <w:rPr>
          <w:rFonts w:hint="eastAsia" w:ascii="宋体" w:hAnsi="宋体"/>
          <w:szCs w:val="21"/>
          <w:highlight w:val="none"/>
          <w:lang w:eastAsia="zh-CN"/>
        </w:rPr>
        <w:t>、</w:t>
      </w:r>
      <w:r>
        <w:rPr>
          <w:rFonts w:hint="eastAsia" w:ascii="宋体" w:hAnsi="宋体"/>
          <w:szCs w:val="21"/>
          <w:highlight w:val="none"/>
          <w:lang w:val="en-US" w:eastAsia="zh-CN"/>
        </w:rPr>
        <w:t>商标注册证</w:t>
      </w:r>
      <w:r>
        <w:rPr>
          <w:rFonts w:hint="eastAsia" w:ascii="宋体" w:hAnsi="宋体"/>
          <w:szCs w:val="21"/>
          <w:highlight w:val="none"/>
        </w:rPr>
        <w:t>）；</w:t>
      </w:r>
    </w:p>
    <w:p w14:paraId="4C20A7F9">
      <w:pPr>
        <w:keepNext w:val="0"/>
        <w:keepLines w:val="0"/>
        <w:pageBreakBefore w:val="0"/>
        <w:widowControl w:val="0"/>
        <w:tabs>
          <w:tab w:val="left" w:pos="1418"/>
        </w:tabs>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szCs w:val="21"/>
          <w:highlight w:val="none"/>
        </w:rPr>
      </w:pPr>
      <w:r>
        <w:rPr>
          <w:rFonts w:hint="eastAsia" w:ascii="宋体" w:hAnsi="宋体"/>
          <w:szCs w:val="21"/>
          <w:highlight w:val="none"/>
        </w:rPr>
        <w:t>2）须在本次采购品类中至少具备一个品牌的一级代理或授权（须提供制造商出具的代理或授权证明文件</w:t>
      </w:r>
      <w:r>
        <w:rPr>
          <w:rFonts w:hint="eastAsia" w:ascii="宋体" w:hAnsi="宋体"/>
          <w:szCs w:val="21"/>
          <w:highlight w:val="none"/>
          <w:lang w:eastAsia="zh-CN"/>
        </w:rPr>
        <w:t>、</w:t>
      </w:r>
      <w:r>
        <w:rPr>
          <w:rFonts w:hint="eastAsia" w:ascii="宋体" w:hAnsi="宋体"/>
          <w:szCs w:val="21"/>
          <w:highlight w:val="none"/>
          <w:lang w:val="en-US" w:eastAsia="zh-CN"/>
        </w:rPr>
        <w:t>商标注册证</w:t>
      </w:r>
      <w:r>
        <w:rPr>
          <w:rFonts w:hint="eastAsia" w:ascii="宋体" w:hAnsi="宋体"/>
          <w:szCs w:val="21"/>
          <w:highlight w:val="none"/>
        </w:rPr>
        <w:t>）。</w:t>
      </w:r>
    </w:p>
    <w:p w14:paraId="1D108371">
      <w:pPr>
        <w:pStyle w:val="12"/>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cs="宋体"/>
          <w:kern w:val="0"/>
          <w:szCs w:val="21"/>
          <w:highlight w:val="none"/>
          <w:lang w:bidi="ar"/>
        </w:rPr>
      </w:pPr>
      <w:r>
        <w:rPr>
          <w:rFonts w:hint="eastAsia" w:ascii="宋体" w:hAnsi="宋体"/>
          <w:szCs w:val="21"/>
          <w:highlight w:val="none"/>
          <w:lang w:val="en-US" w:eastAsia="zh-CN"/>
        </w:rPr>
        <w:t>3.1.7申请人承诺</w:t>
      </w:r>
      <w:r>
        <w:rPr>
          <w:rFonts w:hint="eastAsia" w:ascii="宋体" w:hAnsi="宋体" w:cs="宋体"/>
          <w:kern w:val="0"/>
          <w:szCs w:val="21"/>
          <w:highlight w:val="none"/>
          <w:lang w:bidi="ar"/>
        </w:rPr>
        <w:t>最终在</w:t>
      </w:r>
      <w:r>
        <w:rPr>
          <w:rFonts w:hint="eastAsia" w:ascii="宋体" w:hAnsi="宋体" w:eastAsia="宋体" w:cs="宋体"/>
          <w:i w:val="0"/>
          <w:iCs w:val="0"/>
          <w:color w:val="000000"/>
          <w:kern w:val="0"/>
          <w:sz w:val="21"/>
          <w:szCs w:val="21"/>
          <w:u w:val="none"/>
          <w:lang w:val="en-US" w:eastAsia="zh-CN" w:bidi="ar"/>
        </w:rPr>
        <w:t>中国通服电子商城福建专区</w:t>
      </w:r>
      <w:r>
        <w:rPr>
          <w:rFonts w:hint="eastAsia" w:ascii="宋体" w:hAnsi="宋体" w:cs="宋体"/>
          <w:kern w:val="0"/>
          <w:szCs w:val="21"/>
          <w:highlight w:val="none"/>
          <w:lang w:bidi="ar"/>
        </w:rPr>
        <w:t>推送产品价格</w:t>
      </w:r>
      <w:r>
        <w:rPr>
          <w:rFonts w:hint="eastAsia" w:ascii="宋体" w:hAnsi="宋体" w:cs="宋体"/>
          <w:kern w:val="0"/>
          <w:szCs w:val="21"/>
          <w:highlight w:val="none"/>
          <w:lang w:val="en-US" w:eastAsia="zh-CN" w:bidi="ar"/>
        </w:rPr>
        <w:t>不高于当期京东</w:t>
      </w:r>
      <w:r>
        <w:rPr>
          <w:rFonts w:hint="eastAsia" w:ascii="宋体" w:hAnsi="宋体" w:cs="宋体"/>
          <w:kern w:val="0"/>
          <w:szCs w:val="21"/>
          <w:highlight w:val="none"/>
          <w:lang w:bidi="ar"/>
        </w:rPr>
        <w:t>电商平台</w:t>
      </w:r>
      <w:r>
        <w:rPr>
          <w:rFonts w:hint="eastAsia" w:ascii="宋体" w:hAnsi="宋体" w:cs="宋体"/>
          <w:kern w:val="0"/>
          <w:szCs w:val="21"/>
          <w:highlight w:val="none"/>
          <w:lang w:val="en-US" w:eastAsia="zh-CN" w:bidi="ar"/>
        </w:rPr>
        <w:t>日常</w:t>
      </w:r>
      <w:r>
        <w:rPr>
          <w:rFonts w:hint="eastAsia" w:ascii="宋体" w:hAnsi="宋体" w:cs="宋体"/>
          <w:kern w:val="0"/>
          <w:szCs w:val="21"/>
          <w:highlight w:val="none"/>
          <w:lang w:bidi="ar"/>
        </w:rPr>
        <w:t>销售价格。</w:t>
      </w:r>
    </w:p>
    <w:p w14:paraId="4B949020">
      <w:pPr>
        <w:pStyle w:val="12"/>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宋体" w:hAnsi="宋体" w:eastAsia="宋体" w:cs="宋体"/>
          <w:kern w:val="0"/>
          <w:szCs w:val="21"/>
          <w:highlight w:val="none"/>
          <w:lang w:val="en-US" w:eastAsia="zh-CN" w:bidi="ar"/>
        </w:rPr>
      </w:pPr>
      <w:r>
        <w:rPr>
          <w:rFonts w:hint="eastAsia" w:ascii="宋体" w:hAnsi="宋体" w:cs="宋体"/>
          <w:kern w:val="0"/>
          <w:szCs w:val="21"/>
          <w:highlight w:val="none"/>
          <w:lang w:val="en-US" w:eastAsia="zh-CN" w:bidi="ar"/>
        </w:rPr>
        <w:t>3.1.8</w:t>
      </w:r>
      <w:r>
        <w:rPr>
          <w:rFonts w:hint="default" w:ascii="宋体" w:hAnsi="宋体" w:cs="宋体"/>
          <w:kern w:val="0"/>
          <w:szCs w:val="21"/>
          <w:highlight w:val="none"/>
          <w:lang w:val="en-US" w:eastAsia="zh-CN" w:bidi="ar"/>
        </w:rPr>
        <w:t>到货响应时效</w:t>
      </w:r>
      <w:r>
        <w:rPr>
          <w:rFonts w:hint="eastAsia" w:ascii="宋体" w:hAnsi="宋体" w:cs="宋体"/>
          <w:kern w:val="0"/>
          <w:szCs w:val="21"/>
          <w:highlight w:val="none"/>
          <w:lang w:val="en-US" w:eastAsia="zh-CN" w:bidi="ar"/>
        </w:rPr>
        <w:t>：</w:t>
      </w:r>
      <w:r>
        <w:rPr>
          <w:rFonts w:hint="eastAsia" w:ascii="宋体" w:hAnsi="宋体" w:cs="宋体"/>
          <w:kern w:val="0"/>
          <w:szCs w:val="21"/>
          <w:highlight w:val="none"/>
          <w:lang w:bidi="ar"/>
        </w:rPr>
        <w:t>申请人承诺</w:t>
      </w:r>
      <w:r>
        <w:rPr>
          <w:rFonts w:hint="eastAsia" w:ascii="宋体" w:hAnsi="宋体" w:cs="宋体"/>
          <w:kern w:val="0"/>
          <w:szCs w:val="21"/>
          <w:highlight w:val="none"/>
          <w:lang w:val="en-US" w:eastAsia="zh-CN" w:bidi="ar"/>
        </w:rPr>
        <w:t>下单后非定制类商品</w:t>
      </w:r>
      <w:r>
        <w:rPr>
          <w:rFonts w:hint="eastAsia" w:ascii="宋体" w:hAnsi="宋体" w:cs="宋体"/>
          <w:kern w:val="0"/>
          <w:szCs w:val="21"/>
          <w:highlight w:val="none"/>
          <w:lang w:bidi="ar"/>
        </w:rPr>
        <w:t>满足</w:t>
      </w:r>
      <w:r>
        <w:rPr>
          <w:rFonts w:hint="eastAsia" w:ascii="宋体" w:hAnsi="宋体" w:cs="宋体"/>
          <w:kern w:val="0"/>
          <w:szCs w:val="21"/>
          <w:highlight w:val="none"/>
          <w:lang w:val="en-US" w:eastAsia="zh-CN" w:bidi="ar"/>
        </w:rPr>
        <w:t>5</w:t>
      </w:r>
      <w:r>
        <w:rPr>
          <w:rFonts w:hint="eastAsia" w:ascii="宋体" w:hAnsi="宋体" w:cs="宋体"/>
          <w:kern w:val="0"/>
          <w:szCs w:val="21"/>
          <w:highlight w:val="none"/>
          <w:lang w:bidi="ar"/>
        </w:rPr>
        <w:t>日内</w:t>
      </w:r>
      <w:r>
        <w:rPr>
          <w:rFonts w:hint="eastAsia" w:ascii="宋体" w:hAnsi="宋体" w:cs="宋体"/>
          <w:kern w:val="0"/>
          <w:szCs w:val="21"/>
          <w:highlight w:val="none"/>
          <w:lang w:val="en-US" w:eastAsia="zh-CN" w:bidi="ar"/>
        </w:rPr>
        <w:t>到达订单指定地点。</w:t>
      </w:r>
    </w:p>
    <w:p w14:paraId="510A2D47">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rPr>
          <w:rFonts w:hint="eastAsia" w:ascii="宋体" w:hAnsi="宋体"/>
          <w:szCs w:val="21"/>
        </w:rPr>
      </w:pPr>
      <w:r>
        <w:rPr>
          <w:rFonts w:hint="eastAsia" w:ascii="宋体" w:hAnsi="宋体"/>
          <w:b/>
          <w:szCs w:val="21"/>
          <w:lang w:val="en-US" w:eastAsia="zh-CN"/>
        </w:rPr>
        <w:t>3.1.9</w:t>
      </w:r>
      <w:r>
        <w:rPr>
          <w:rFonts w:hint="eastAsia" w:ascii="宋体" w:hAnsi="宋体"/>
          <w:b/>
          <w:szCs w:val="21"/>
        </w:rPr>
        <w:t>信誉要求：</w:t>
      </w:r>
      <w:r>
        <w:rPr>
          <w:rFonts w:hint="eastAsia" w:ascii="宋体" w:hAnsi="宋体"/>
          <w:szCs w:val="21"/>
        </w:rPr>
        <w:t>提供《信誉承诺函》（按招募文件提供的模板）。</w:t>
      </w:r>
    </w:p>
    <w:p w14:paraId="3BCA53DD">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rPr>
          <w:rFonts w:hint="eastAsia" w:ascii="宋体" w:hAnsi="宋体"/>
          <w:szCs w:val="21"/>
        </w:rPr>
      </w:pPr>
      <w:r>
        <w:rPr>
          <w:rFonts w:hint="eastAsia" w:ascii="宋体" w:hAnsi="宋体"/>
          <w:b/>
          <w:szCs w:val="21"/>
          <w:lang w:val="en-US" w:eastAsia="zh-CN"/>
        </w:rPr>
        <w:t>3</w:t>
      </w:r>
      <w:r>
        <w:rPr>
          <w:rFonts w:ascii="宋体" w:hAnsi="宋体"/>
          <w:b/>
          <w:szCs w:val="21"/>
        </w:rPr>
        <w:t>.</w:t>
      </w:r>
      <w:r>
        <w:rPr>
          <w:rFonts w:hint="eastAsia" w:ascii="宋体" w:hAnsi="宋体"/>
          <w:b/>
          <w:szCs w:val="21"/>
          <w:lang w:val="en-US" w:eastAsia="zh-CN"/>
        </w:rPr>
        <w:t>1.10</w:t>
      </w:r>
      <w:r>
        <w:rPr>
          <w:rFonts w:hint="eastAsia" w:ascii="宋体" w:hAnsi="宋体"/>
          <w:b/>
          <w:szCs w:val="21"/>
        </w:rPr>
        <w:t>廉洁诚信要求：</w:t>
      </w:r>
      <w:r>
        <w:rPr>
          <w:rFonts w:hint="eastAsia" w:ascii="宋体" w:hAnsi="宋体"/>
          <w:szCs w:val="21"/>
        </w:rPr>
        <w:t>提供《廉洁诚信承诺书》（按招募文件提供的模板）。</w:t>
      </w:r>
    </w:p>
    <w:p w14:paraId="7B858862">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rPr>
          <w:rFonts w:ascii="宋体" w:hAnsi="宋体"/>
          <w:szCs w:val="21"/>
        </w:rPr>
      </w:pPr>
      <w:r>
        <w:rPr>
          <w:rFonts w:hint="eastAsia" w:ascii="宋体" w:hAnsi="宋体"/>
          <w:b/>
          <w:szCs w:val="21"/>
          <w:lang w:val="en-US" w:eastAsia="zh-CN"/>
        </w:rPr>
        <w:t>3</w:t>
      </w:r>
      <w:r>
        <w:rPr>
          <w:rFonts w:ascii="宋体" w:hAnsi="宋体"/>
          <w:b/>
          <w:szCs w:val="21"/>
        </w:rPr>
        <w:t>.</w:t>
      </w:r>
      <w:r>
        <w:rPr>
          <w:rFonts w:hint="eastAsia" w:ascii="宋体" w:hAnsi="宋体"/>
          <w:b/>
          <w:szCs w:val="21"/>
          <w:lang w:val="en-US" w:eastAsia="zh-CN"/>
        </w:rPr>
        <w:t>1.11</w:t>
      </w:r>
      <w:r>
        <w:rPr>
          <w:rFonts w:hint="eastAsia" w:ascii="宋体" w:hAnsi="宋体"/>
          <w:b/>
          <w:szCs w:val="21"/>
        </w:rPr>
        <w:t>黑名单要求：</w:t>
      </w:r>
      <w:r>
        <w:rPr>
          <w:rFonts w:hint="eastAsia" w:ascii="宋体" w:hAnsi="宋体"/>
          <w:szCs w:val="21"/>
        </w:rPr>
        <w:t>申请人不在中国通信服务股份有限公司供应商负面清单期限内。</w:t>
      </w:r>
    </w:p>
    <w:p w14:paraId="04925105">
      <w:pPr>
        <w:keepNext w:val="0"/>
        <w:keepLines w:val="0"/>
        <w:pageBreakBefore w:val="0"/>
        <w:widowControl w:val="0"/>
        <w:kinsoku/>
        <w:wordWrap/>
        <w:overflowPunct/>
        <w:topLinePunct w:val="0"/>
        <w:autoSpaceDE/>
        <w:autoSpaceDN/>
        <w:bidi w:val="0"/>
        <w:adjustRightInd/>
        <w:snapToGrid/>
        <w:spacing w:line="500" w:lineRule="exact"/>
        <w:ind w:left="842" w:leftChars="200" w:hanging="422" w:hangingChars="200"/>
        <w:jc w:val="left"/>
        <w:textAlignment w:val="auto"/>
        <w:rPr>
          <w:rFonts w:hint="eastAsia" w:ascii="宋体" w:hAnsi="宋体"/>
          <w:bCs/>
          <w:szCs w:val="21"/>
        </w:rPr>
      </w:pPr>
      <w:r>
        <w:rPr>
          <w:rFonts w:hint="eastAsia" w:ascii="宋体" w:hAnsi="宋体"/>
          <w:b/>
          <w:szCs w:val="21"/>
          <w:lang w:val="en-US" w:eastAsia="zh-CN"/>
        </w:rPr>
        <w:t>3</w:t>
      </w:r>
      <w:r>
        <w:rPr>
          <w:rFonts w:ascii="宋体" w:hAnsi="宋体"/>
          <w:b/>
          <w:szCs w:val="21"/>
        </w:rPr>
        <w:t>.</w:t>
      </w:r>
      <w:r>
        <w:rPr>
          <w:rFonts w:hint="eastAsia" w:ascii="宋体" w:hAnsi="宋体"/>
          <w:b/>
          <w:szCs w:val="21"/>
          <w:lang w:val="en-US" w:eastAsia="zh-CN"/>
        </w:rPr>
        <w:t>1.12</w:t>
      </w:r>
      <w:r>
        <w:rPr>
          <w:rFonts w:hint="eastAsia" w:ascii="宋体" w:hAnsi="宋体"/>
          <w:b/>
          <w:szCs w:val="21"/>
        </w:rPr>
        <w:t>其他要求：</w:t>
      </w:r>
      <w:r>
        <w:rPr>
          <w:rFonts w:hint="eastAsia" w:ascii="宋体" w:hAnsi="宋体"/>
          <w:b w:val="0"/>
          <w:bCs/>
          <w:szCs w:val="21"/>
          <w:lang w:val="en-US" w:eastAsia="zh-CN"/>
        </w:rPr>
        <w:t>(</w:t>
      </w:r>
      <w:r>
        <w:rPr>
          <w:rFonts w:hint="eastAsia" w:ascii="宋体" w:hAnsi="宋体"/>
          <w:b w:val="0"/>
          <w:bCs/>
          <w:szCs w:val="21"/>
        </w:rPr>
        <w:t>1</w:t>
      </w:r>
      <w:r>
        <w:rPr>
          <w:rFonts w:hint="eastAsia" w:ascii="宋体" w:hAnsi="宋体"/>
          <w:bCs/>
          <w:szCs w:val="21"/>
        </w:rPr>
        <w:t>）满足电子商城运营要求，具备商城运营支撑能力，须提供承诺函。</w:t>
      </w:r>
    </w:p>
    <w:p w14:paraId="32166149">
      <w:pPr>
        <w:keepNext w:val="0"/>
        <w:keepLines w:val="0"/>
        <w:pageBreakBefore w:val="0"/>
        <w:widowControl w:val="0"/>
        <w:kinsoku/>
        <w:wordWrap/>
        <w:overflowPunct/>
        <w:topLinePunct w:val="0"/>
        <w:autoSpaceDE/>
        <w:autoSpaceDN/>
        <w:bidi w:val="0"/>
        <w:adjustRightInd/>
        <w:snapToGrid/>
        <w:spacing w:line="500" w:lineRule="exact"/>
        <w:ind w:left="840" w:leftChars="200" w:hanging="420" w:hangingChars="200"/>
        <w:jc w:val="left"/>
        <w:textAlignment w:val="auto"/>
        <w:rPr>
          <w:rFonts w:hint="eastAsia" w:ascii="宋体" w:hAnsi="宋体"/>
          <w:bCs/>
          <w:szCs w:val="21"/>
        </w:rPr>
      </w:pPr>
      <w:r>
        <w:rPr>
          <w:rFonts w:hint="eastAsia" w:ascii="宋体" w:hAnsi="宋体"/>
          <w:bCs/>
          <w:szCs w:val="21"/>
          <w:lang w:val="en-US" w:eastAsia="zh-CN"/>
        </w:rPr>
        <w:t>(</w:t>
      </w:r>
      <w:r>
        <w:rPr>
          <w:rFonts w:hint="eastAsia" w:ascii="宋体" w:hAnsi="宋体"/>
          <w:bCs/>
          <w:szCs w:val="21"/>
        </w:rPr>
        <w:t>2）承诺具备向中国境内供货及售后服务的能力，须提供承诺函。</w:t>
      </w:r>
    </w:p>
    <w:p w14:paraId="6B490952">
      <w:pPr>
        <w:keepNext w:val="0"/>
        <w:keepLines w:val="0"/>
        <w:pageBreakBefore w:val="0"/>
        <w:widowControl w:val="0"/>
        <w:kinsoku/>
        <w:wordWrap/>
        <w:overflowPunct/>
        <w:topLinePunct w:val="0"/>
        <w:autoSpaceDE/>
        <w:autoSpaceDN/>
        <w:bidi w:val="0"/>
        <w:adjustRightInd/>
        <w:snapToGrid/>
        <w:spacing w:line="500" w:lineRule="exact"/>
        <w:ind w:left="840" w:leftChars="200" w:hanging="420" w:hangingChars="200"/>
        <w:jc w:val="left"/>
        <w:textAlignment w:val="auto"/>
        <w:rPr>
          <w:rFonts w:ascii="宋体" w:hAnsi="宋体"/>
          <w:b/>
          <w:szCs w:val="21"/>
        </w:rPr>
      </w:pPr>
      <w:r>
        <w:rPr>
          <w:rFonts w:hint="eastAsia" w:ascii="宋体" w:hAnsi="宋体"/>
          <w:bCs/>
          <w:szCs w:val="21"/>
          <w:lang w:val="en-US" w:eastAsia="zh-CN"/>
        </w:rPr>
        <w:t>(</w:t>
      </w:r>
      <w:r>
        <w:rPr>
          <w:rFonts w:hint="eastAsia" w:ascii="宋体" w:hAnsi="宋体"/>
          <w:bCs/>
          <w:szCs w:val="21"/>
        </w:rPr>
        <w:t>3）承诺线上向电子商城提供真实有效的物流配送信息，提供承诺函。</w:t>
      </w:r>
    </w:p>
    <w:p w14:paraId="7876386E">
      <w:pPr>
        <w:keepNext w:val="0"/>
        <w:keepLines w:val="0"/>
        <w:pageBreakBefore w:val="0"/>
        <w:widowControl w:val="0"/>
        <w:kinsoku/>
        <w:wordWrap/>
        <w:overflowPunct/>
        <w:topLinePunct w:val="0"/>
        <w:autoSpaceDE/>
        <w:autoSpaceDN/>
        <w:bidi w:val="0"/>
        <w:adjustRightInd/>
        <w:snapToGrid/>
        <w:spacing w:line="500" w:lineRule="exact"/>
        <w:ind w:firstLine="211" w:firstLineChars="100"/>
        <w:jc w:val="left"/>
        <w:textAlignment w:val="auto"/>
        <w:rPr>
          <w:rFonts w:ascii="宋体" w:hAnsi="宋体"/>
          <w:szCs w:val="21"/>
          <w:highlight w:val="none"/>
        </w:rPr>
      </w:pPr>
      <w:r>
        <w:rPr>
          <w:rFonts w:hint="eastAsia" w:ascii="宋体" w:hAnsi="宋体"/>
          <w:b/>
          <w:szCs w:val="21"/>
          <w:highlight w:val="none"/>
          <w:lang w:val="en-US" w:eastAsia="zh-CN"/>
        </w:rPr>
        <w:t>3</w:t>
      </w:r>
      <w:r>
        <w:rPr>
          <w:rFonts w:hint="eastAsia" w:ascii="宋体" w:hAnsi="宋体"/>
          <w:b/>
          <w:szCs w:val="21"/>
          <w:highlight w:val="none"/>
        </w:rPr>
        <w:t>.</w:t>
      </w:r>
      <w:r>
        <w:rPr>
          <w:rFonts w:hint="eastAsia" w:ascii="宋体" w:hAnsi="宋体"/>
          <w:b/>
          <w:szCs w:val="21"/>
          <w:highlight w:val="none"/>
          <w:lang w:val="en-US" w:eastAsia="zh-CN"/>
        </w:rPr>
        <w:t>1.13</w:t>
      </w:r>
      <w:r>
        <w:rPr>
          <w:rFonts w:hint="eastAsia" w:ascii="宋体" w:hAnsi="宋体"/>
          <w:b/>
          <w:szCs w:val="21"/>
          <w:highlight w:val="none"/>
        </w:rPr>
        <w:t>申请人不得</w:t>
      </w:r>
      <w:r>
        <w:rPr>
          <w:rFonts w:ascii="宋体" w:hAnsi="宋体"/>
          <w:b/>
          <w:szCs w:val="21"/>
          <w:highlight w:val="none"/>
        </w:rPr>
        <w:t>存在</w:t>
      </w:r>
      <w:r>
        <w:rPr>
          <w:rFonts w:hint="eastAsia" w:ascii="宋体" w:hAnsi="宋体"/>
          <w:b/>
          <w:szCs w:val="21"/>
          <w:highlight w:val="none"/>
        </w:rPr>
        <w:t>以下</w:t>
      </w:r>
      <w:r>
        <w:rPr>
          <w:rFonts w:ascii="宋体" w:hAnsi="宋体"/>
          <w:b/>
          <w:szCs w:val="21"/>
          <w:highlight w:val="none"/>
        </w:rPr>
        <w:t>情形</w:t>
      </w:r>
      <w:r>
        <w:rPr>
          <w:rFonts w:hint="eastAsia" w:ascii="宋体" w:hAnsi="宋体"/>
          <w:b/>
          <w:szCs w:val="21"/>
          <w:highlight w:val="none"/>
        </w:rPr>
        <w:t>：</w:t>
      </w:r>
    </w:p>
    <w:p w14:paraId="601C9F73">
      <w:pPr>
        <w:keepNext w:val="0"/>
        <w:keepLines w:val="0"/>
        <w:pageBreakBefore w:val="0"/>
        <w:widowControl w:val="0"/>
        <w:tabs>
          <w:tab w:val="left" w:pos="0"/>
          <w:tab w:val="left" w:pos="993"/>
          <w:tab w:val="left" w:pos="1713"/>
        </w:tabs>
        <w:kinsoku/>
        <w:wordWrap/>
        <w:overflowPunct/>
        <w:topLinePunct w:val="0"/>
        <w:autoSpaceDE/>
        <w:autoSpaceDN/>
        <w:bidi w:val="0"/>
        <w:adjustRightInd/>
        <w:snapToGrid/>
        <w:spacing w:line="500" w:lineRule="exact"/>
        <w:ind w:firstLine="420" w:firstLineChars="200"/>
        <w:jc w:val="left"/>
        <w:textAlignment w:val="auto"/>
        <w:rPr>
          <w:rFonts w:ascii="宋体" w:hAnsi="宋体"/>
          <w:bCs/>
          <w:szCs w:val="21"/>
        </w:rPr>
      </w:pPr>
      <w:r>
        <w:rPr>
          <w:rFonts w:hint="eastAsia" w:ascii="宋体" w:hAnsi="宋体"/>
          <w:bCs/>
          <w:szCs w:val="21"/>
        </w:rPr>
        <w:t>1）为招募人不具有法人资格的附属机构（单位）；</w:t>
      </w:r>
    </w:p>
    <w:p w14:paraId="795D44F4">
      <w:pPr>
        <w:keepNext w:val="0"/>
        <w:keepLines w:val="0"/>
        <w:pageBreakBefore w:val="0"/>
        <w:widowControl w:val="0"/>
        <w:tabs>
          <w:tab w:val="left" w:pos="0"/>
          <w:tab w:val="left" w:pos="993"/>
          <w:tab w:val="left" w:pos="1713"/>
        </w:tabs>
        <w:kinsoku/>
        <w:wordWrap/>
        <w:overflowPunct/>
        <w:topLinePunct w:val="0"/>
        <w:autoSpaceDE/>
        <w:autoSpaceDN/>
        <w:bidi w:val="0"/>
        <w:adjustRightInd/>
        <w:snapToGrid/>
        <w:spacing w:line="500" w:lineRule="exact"/>
        <w:ind w:left="422"/>
        <w:jc w:val="left"/>
        <w:textAlignment w:val="auto"/>
        <w:rPr>
          <w:rFonts w:ascii="宋体" w:hAnsi="宋体"/>
          <w:bCs/>
          <w:szCs w:val="21"/>
        </w:rPr>
      </w:pPr>
      <w:r>
        <w:rPr>
          <w:rFonts w:hint="eastAsia" w:ascii="宋体" w:hAnsi="宋体"/>
          <w:bCs/>
          <w:szCs w:val="21"/>
        </w:rPr>
        <w:t>2）被依法暂停或取消申请资格的；</w:t>
      </w:r>
    </w:p>
    <w:p w14:paraId="417F0173">
      <w:pPr>
        <w:keepNext w:val="0"/>
        <w:keepLines w:val="0"/>
        <w:pageBreakBefore w:val="0"/>
        <w:widowControl w:val="0"/>
        <w:tabs>
          <w:tab w:val="left" w:pos="0"/>
          <w:tab w:val="left" w:pos="993"/>
          <w:tab w:val="left" w:pos="1713"/>
        </w:tabs>
        <w:kinsoku/>
        <w:wordWrap/>
        <w:overflowPunct/>
        <w:topLinePunct w:val="0"/>
        <w:autoSpaceDE/>
        <w:autoSpaceDN/>
        <w:bidi w:val="0"/>
        <w:adjustRightInd/>
        <w:snapToGrid/>
        <w:spacing w:line="500" w:lineRule="exact"/>
        <w:ind w:left="422"/>
        <w:jc w:val="left"/>
        <w:textAlignment w:val="auto"/>
        <w:rPr>
          <w:rFonts w:ascii="宋体" w:hAnsi="宋体"/>
          <w:bCs/>
          <w:szCs w:val="21"/>
        </w:rPr>
      </w:pPr>
      <w:r>
        <w:rPr>
          <w:rFonts w:hint="eastAsia" w:ascii="宋体" w:hAnsi="宋体"/>
          <w:bCs/>
          <w:szCs w:val="21"/>
        </w:rPr>
        <w:t>3）</w:t>
      </w:r>
      <w:r>
        <w:rPr>
          <w:rFonts w:ascii="宋体" w:hAnsi="宋体"/>
          <w:bCs/>
          <w:szCs w:val="21"/>
        </w:rPr>
        <w:t xml:space="preserve">被责令停产停业、暂扣或者吊销许可证、暂扣或者吊销执照； </w:t>
      </w:r>
    </w:p>
    <w:p w14:paraId="01050468">
      <w:pPr>
        <w:keepNext w:val="0"/>
        <w:keepLines w:val="0"/>
        <w:pageBreakBefore w:val="0"/>
        <w:widowControl w:val="0"/>
        <w:tabs>
          <w:tab w:val="left" w:pos="0"/>
          <w:tab w:val="left" w:pos="993"/>
          <w:tab w:val="left" w:pos="1713"/>
        </w:tabs>
        <w:kinsoku/>
        <w:wordWrap/>
        <w:overflowPunct/>
        <w:topLinePunct w:val="0"/>
        <w:autoSpaceDE/>
        <w:autoSpaceDN/>
        <w:bidi w:val="0"/>
        <w:adjustRightInd/>
        <w:snapToGrid/>
        <w:spacing w:line="500" w:lineRule="exact"/>
        <w:ind w:left="422"/>
        <w:jc w:val="left"/>
        <w:textAlignment w:val="auto"/>
        <w:rPr>
          <w:rFonts w:ascii="宋体" w:hAnsi="宋体"/>
          <w:bCs/>
          <w:szCs w:val="21"/>
        </w:rPr>
      </w:pPr>
      <w:r>
        <w:rPr>
          <w:rFonts w:hint="eastAsia" w:ascii="宋体" w:hAnsi="宋体"/>
          <w:bCs/>
          <w:szCs w:val="21"/>
        </w:rPr>
        <w:t>4）</w:t>
      </w:r>
      <w:r>
        <w:rPr>
          <w:rFonts w:ascii="宋体" w:hAnsi="宋体"/>
          <w:bCs/>
          <w:szCs w:val="21"/>
        </w:rPr>
        <w:t xml:space="preserve">进入清算程序，或被宣告破产，或其他丧失履约能力的情形； </w:t>
      </w:r>
    </w:p>
    <w:p w14:paraId="6575A57B">
      <w:pPr>
        <w:keepNext w:val="0"/>
        <w:keepLines w:val="0"/>
        <w:pageBreakBefore w:val="0"/>
        <w:widowControl w:val="0"/>
        <w:tabs>
          <w:tab w:val="left" w:pos="0"/>
          <w:tab w:val="left" w:pos="993"/>
          <w:tab w:val="left" w:pos="1713"/>
          <w:tab w:val="left" w:pos="2564"/>
        </w:tabs>
        <w:kinsoku/>
        <w:wordWrap/>
        <w:overflowPunct/>
        <w:topLinePunct w:val="0"/>
        <w:autoSpaceDE/>
        <w:autoSpaceDN/>
        <w:bidi w:val="0"/>
        <w:adjustRightInd/>
        <w:snapToGrid/>
        <w:spacing w:line="500" w:lineRule="exact"/>
        <w:ind w:left="422"/>
        <w:jc w:val="left"/>
        <w:textAlignment w:val="auto"/>
        <w:rPr>
          <w:rFonts w:ascii="宋体" w:hAnsi="宋体"/>
          <w:bCs/>
          <w:szCs w:val="21"/>
          <w:highlight w:val="none"/>
        </w:rPr>
      </w:pPr>
      <w:r>
        <w:rPr>
          <w:rFonts w:hint="eastAsia" w:ascii="宋体" w:hAnsi="宋体"/>
          <w:bCs/>
        </w:rPr>
        <w:t>5）在最近三年内（申请截止时间前36个月）被相关行业主管部门或司法机关认定有骗取中标、</w:t>
      </w:r>
      <w:r>
        <w:rPr>
          <w:rFonts w:hint="eastAsia" w:ascii="宋体" w:hAnsi="宋体"/>
          <w:bCs/>
          <w:highlight w:val="none"/>
        </w:rPr>
        <w:t>严重违约、重大工程质量或者安全问题的；</w:t>
      </w:r>
    </w:p>
    <w:p w14:paraId="6EBD9A40">
      <w:pPr>
        <w:keepNext w:val="0"/>
        <w:keepLines w:val="0"/>
        <w:pageBreakBefore w:val="0"/>
        <w:widowControl w:val="0"/>
        <w:tabs>
          <w:tab w:val="left" w:pos="0"/>
          <w:tab w:val="left" w:pos="993"/>
          <w:tab w:val="left" w:pos="1713"/>
          <w:tab w:val="left" w:pos="2564"/>
        </w:tabs>
        <w:kinsoku/>
        <w:wordWrap/>
        <w:overflowPunct/>
        <w:topLinePunct w:val="0"/>
        <w:autoSpaceDE/>
        <w:autoSpaceDN/>
        <w:bidi w:val="0"/>
        <w:adjustRightInd/>
        <w:snapToGrid/>
        <w:spacing w:line="500" w:lineRule="exact"/>
        <w:ind w:firstLine="420" w:firstLineChars="200"/>
        <w:jc w:val="left"/>
        <w:textAlignment w:val="auto"/>
        <w:rPr>
          <w:rFonts w:ascii="宋体" w:hAnsi="宋体"/>
          <w:bCs/>
          <w:highlight w:val="none"/>
        </w:rPr>
      </w:pPr>
      <w:r>
        <w:rPr>
          <w:rFonts w:hint="eastAsia" w:ascii="宋体" w:hAnsi="宋体"/>
          <w:bCs/>
          <w:highlight w:val="none"/>
        </w:rPr>
        <w:t>6）在最近五年内（申请截止时间前</w:t>
      </w:r>
      <w:r>
        <w:rPr>
          <w:rFonts w:ascii="宋体" w:hAnsi="宋体"/>
          <w:bCs/>
          <w:highlight w:val="none"/>
        </w:rPr>
        <w:t>60</w:t>
      </w:r>
      <w:r>
        <w:rPr>
          <w:rFonts w:hint="eastAsia" w:ascii="宋体" w:hAnsi="宋体"/>
          <w:bCs/>
          <w:highlight w:val="none"/>
        </w:rPr>
        <w:t>个月）被判处单位行贿罪，且行贿行为与采购活动相关的（以“中国裁判文书网”的生效判决为准）（提供截图）；</w:t>
      </w:r>
    </w:p>
    <w:p w14:paraId="20B792EB">
      <w:pPr>
        <w:keepNext w:val="0"/>
        <w:keepLines w:val="0"/>
        <w:pageBreakBefore w:val="0"/>
        <w:widowControl w:val="0"/>
        <w:tabs>
          <w:tab w:val="left" w:pos="0"/>
          <w:tab w:val="left" w:pos="993"/>
          <w:tab w:val="left" w:pos="1713"/>
          <w:tab w:val="left" w:pos="2564"/>
        </w:tabs>
        <w:kinsoku/>
        <w:wordWrap/>
        <w:overflowPunct/>
        <w:topLinePunct w:val="0"/>
        <w:autoSpaceDE/>
        <w:autoSpaceDN/>
        <w:bidi w:val="0"/>
        <w:adjustRightInd/>
        <w:snapToGrid/>
        <w:spacing w:line="500" w:lineRule="exact"/>
        <w:ind w:left="422"/>
        <w:jc w:val="left"/>
        <w:textAlignment w:val="auto"/>
        <w:rPr>
          <w:rFonts w:ascii="宋体" w:hAnsi="宋体"/>
          <w:bCs/>
          <w:highlight w:val="none"/>
        </w:rPr>
      </w:pPr>
      <w:r>
        <w:rPr>
          <w:rFonts w:hint="eastAsia" w:ascii="宋体" w:hAnsi="宋体"/>
          <w:bCs/>
          <w:highlight w:val="none"/>
        </w:rPr>
        <w:t>7）在最近五年内（申请截止时间前</w:t>
      </w:r>
      <w:r>
        <w:rPr>
          <w:rFonts w:ascii="宋体" w:hAnsi="宋体"/>
          <w:bCs/>
          <w:highlight w:val="none"/>
        </w:rPr>
        <w:t>60</w:t>
      </w:r>
      <w:r>
        <w:rPr>
          <w:rFonts w:hint="eastAsia" w:ascii="宋体" w:hAnsi="宋体"/>
          <w:bCs/>
          <w:highlight w:val="none"/>
        </w:rPr>
        <w:t>个月）被判处合同诈骗罪的（以“中国裁判文书网”的生效判决为准）（提供截图）；</w:t>
      </w:r>
    </w:p>
    <w:p w14:paraId="3D8A87D3">
      <w:pPr>
        <w:keepNext w:val="0"/>
        <w:keepLines w:val="0"/>
        <w:pageBreakBefore w:val="0"/>
        <w:widowControl w:val="0"/>
        <w:tabs>
          <w:tab w:val="left" w:pos="0"/>
          <w:tab w:val="left" w:pos="993"/>
          <w:tab w:val="left" w:pos="1713"/>
          <w:tab w:val="left" w:pos="2564"/>
        </w:tabs>
        <w:kinsoku/>
        <w:wordWrap/>
        <w:overflowPunct/>
        <w:topLinePunct w:val="0"/>
        <w:autoSpaceDE/>
        <w:autoSpaceDN/>
        <w:bidi w:val="0"/>
        <w:adjustRightInd/>
        <w:snapToGrid/>
        <w:spacing w:line="500" w:lineRule="exact"/>
        <w:ind w:firstLine="420" w:firstLineChars="200"/>
        <w:jc w:val="left"/>
        <w:textAlignment w:val="auto"/>
        <w:rPr>
          <w:rFonts w:ascii="宋体" w:hAnsi="宋体"/>
          <w:bCs/>
          <w:highlight w:val="none"/>
        </w:rPr>
      </w:pPr>
      <w:r>
        <w:rPr>
          <w:rFonts w:hint="eastAsia" w:ascii="宋体" w:hAnsi="宋体"/>
          <w:bCs/>
          <w:highlight w:val="none"/>
        </w:rPr>
        <w:t>8）公司或其法定代表人存在被人民法院认定为失信被执行人的(以“信用中国”（www.creditchina.gov.cn）或各级信用信息共享平台公布的失信被执行人名单为准)，已执行完毕的除外；（提供截图）</w:t>
      </w:r>
    </w:p>
    <w:p w14:paraId="3F4EF5B0">
      <w:pPr>
        <w:keepNext w:val="0"/>
        <w:keepLines w:val="0"/>
        <w:pageBreakBefore w:val="0"/>
        <w:widowControl w:val="0"/>
        <w:tabs>
          <w:tab w:val="left" w:pos="993"/>
        </w:tabs>
        <w:kinsoku/>
        <w:wordWrap/>
        <w:overflowPunct/>
        <w:topLinePunct w:val="0"/>
        <w:autoSpaceDE/>
        <w:autoSpaceDN/>
        <w:bidi w:val="0"/>
        <w:adjustRightInd/>
        <w:snapToGrid/>
        <w:spacing w:line="500" w:lineRule="exact"/>
        <w:ind w:firstLine="420" w:firstLineChars="200"/>
        <w:jc w:val="left"/>
        <w:textAlignment w:val="auto"/>
        <w:rPr>
          <w:rFonts w:ascii="宋体" w:hAnsi="宋体" w:cs="宋体"/>
          <w:bCs/>
          <w:highlight w:val="none"/>
        </w:rPr>
      </w:pPr>
      <w:r>
        <w:rPr>
          <w:rFonts w:hint="eastAsia" w:ascii="宋体" w:hAnsi="宋体" w:cs="宋体"/>
          <w:bCs/>
          <w:highlight w:val="none"/>
        </w:rPr>
        <w:t>9）公司存在可能影响本项目履行的三年内的行政处罚信息；</w:t>
      </w:r>
    </w:p>
    <w:p w14:paraId="76EAA52A">
      <w:pPr>
        <w:keepNext w:val="0"/>
        <w:keepLines w:val="0"/>
        <w:pageBreakBefore w:val="0"/>
        <w:widowControl w:val="0"/>
        <w:tabs>
          <w:tab w:val="left" w:pos="993"/>
        </w:tabs>
        <w:kinsoku/>
        <w:wordWrap/>
        <w:overflowPunct/>
        <w:topLinePunct w:val="0"/>
        <w:autoSpaceDE/>
        <w:autoSpaceDN/>
        <w:bidi w:val="0"/>
        <w:adjustRightInd/>
        <w:snapToGrid/>
        <w:spacing w:line="500" w:lineRule="exact"/>
        <w:ind w:firstLine="420" w:firstLineChars="200"/>
        <w:jc w:val="left"/>
        <w:textAlignment w:val="auto"/>
        <w:rPr>
          <w:rFonts w:ascii="宋体" w:hAnsi="宋体" w:cs="宋体"/>
          <w:bCs/>
        </w:rPr>
      </w:pPr>
      <w:r>
        <w:rPr>
          <w:rFonts w:hint="eastAsia" w:ascii="宋体" w:hAnsi="宋体" w:cs="宋体"/>
          <w:bCs/>
        </w:rPr>
        <w:t>10)不允许转包、分包。</w:t>
      </w:r>
    </w:p>
    <w:p w14:paraId="24A051DB">
      <w:pPr>
        <w:keepNext w:val="0"/>
        <w:keepLines w:val="0"/>
        <w:pageBreakBefore w:val="0"/>
        <w:widowControl w:val="0"/>
        <w:tabs>
          <w:tab w:val="left" w:pos="993"/>
        </w:tabs>
        <w:kinsoku/>
        <w:wordWrap/>
        <w:overflowPunct/>
        <w:topLinePunct w:val="0"/>
        <w:autoSpaceDE/>
        <w:autoSpaceDN/>
        <w:bidi w:val="0"/>
        <w:adjustRightInd/>
        <w:snapToGrid/>
        <w:spacing w:line="500" w:lineRule="exact"/>
        <w:ind w:firstLine="420" w:firstLineChars="200"/>
        <w:jc w:val="left"/>
        <w:textAlignment w:val="auto"/>
        <w:rPr>
          <w:rFonts w:ascii="宋体" w:hAnsi="宋体" w:cs="宋体"/>
          <w:bCs/>
        </w:rPr>
      </w:pPr>
      <w:r>
        <w:rPr>
          <w:rFonts w:hint="eastAsia" w:ascii="宋体" w:hAnsi="宋体" w:cs="宋体"/>
          <w:bCs/>
        </w:rPr>
        <w:t>11)法律法规规定的其他情形。</w:t>
      </w:r>
    </w:p>
    <w:p w14:paraId="4A092258">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ascii="宋体" w:hAnsi="宋体" w:cs="宋体"/>
        </w:rPr>
      </w:pPr>
      <w:r>
        <w:rPr>
          <w:rFonts w:hint="eastAsia" w:ascii="宋体" w:hAnsi="宋体" w:cs="宋体"/>
        </w:rPr>
        <w:t>注：申请人须提供不存在以上情形的承诺函。</w:t>
      </w:r>
    </w:p>
    <w:p w14:paraId="1635FA0E">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ascii="宋体" w:hAnsi="宋体" w:cs="宋体"/>
        </w:rPr>
      </w:pPr>
      <w:r>
        <w:rPr>
          <w:rFonts w:hint="eastAsia" w:ascii="宋体" w:hAnsi="宋体" w:cs="宋体"/>
        </w:rPr>
        <w:t>不满足上述资格要求的任意一条，其申请将被直接否决。</w:t>
      </w:r>
    </w:p>
    <w:p w14:paraId="0BE6E3B0">
      <w:pPr>
        <w:keepNext w:val="0"/>
        <w:keepLines w:val="0"/>
        <w:pageBreakBefore w:val="0"/>
        <w:tabs>
          <w:tab w:val="left" w:pos="200"/>
          <w:tab w:val="left" w:pos="720"/>
        </w:tabs>
        <w:kinsoku/>
        <w:wordWrap/>
        <w:overflowPunct/>
        <w:topLinePunct w:val="0"/>
        <w:bidi w:val="0"/>
        <w:adjustRightInd/>
        <w:snapToGrid/>
        <w:spacing w:line="500" w:lineRule="exact"/>
        <w:ind w:left="210" w:firstLine="490" w:firstLineChars="200"/>
        <w:jc w:val="left"/>
        <w:rPr>
          <w:rFonts w:ascii="宋体" w:hAnsi="宋体" w:eastAsia="宋体" w:cs="宋体"/>
          <w:b/>
          <w:bCs/>
          <w:spacing w:val="2"/>
          <w:sz w:val="24"/>
          <w:szCs w:val="24"/>
        </w:rPr>
      </w:pPr>
      <w:r>
        <w:rPr>
          <w:rFonts w:hint="eastAsia" w:ascii="宋体" w:hAnsi="宋体" w:eastAsia="宋体" w:cs="宋体"/>
          <w:b/>
          <w:bCs/>
          <w:spacing w:val="2"/>
          <w:sz w:val="24"/>
          <w:szCs w:val="24"/>
        </w:rPr>
        <w:t>4．招募方法</w:t>
      </w:r>
      <w:bookmarkEnd w:id="5"/>
    </w:p>
    <w:p w14:paraId="58924369">
      <w:pPr>
        <w:keepNext w:val="0"/>
        <w:keepLines w:val="0"/>
        <w:pageBreakBefore w:val="0"/>
        <w:widowControl w:val="0"/>
        <w:tabs>
          <w:tab w:val="left" w:pos="993"/>
        </w:tabs>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cs="宋体"/>
          <w:bCs/>
        </w:rPr>
      </w:pPr>
      <w:r>
        <w:rPr>
          <w:rFonts w:hint="eastAsia" w:ascii="宋体" w:hAnsi="宋体" w:cs="宋体"/>
          <w:bCs/>
        </w:rPr>
        <w:t>本</w:t>
      </w:r>
      <w:r>
        <w:rPr>
          <w:rFonts w:hint="eastAsia" w:ascii="宋体" w:hAnsi="宋体" w:cs="宋体"/>
          <w:bCs/>
          <w:lang w:val="en-US" w:eastAsia="zh-CN"/>
        </w:rPr>
        <w:t>招募采用合格制，对申请人进行资格评审，</w:t>
      </w:r>
      <w:r>
        <w:rPr>
          <w:rFonts w:hint="eastAsia" w:ascii="宋体" w:hAnsi="宋体" w:cs="宋体"/>
          <w:bCs/>
        </w:rPr>
        <w:t>对通过资格</w:t>
      </w:r>
      <w:r>
        <w:rPr>
          <w:rFonts w:hint="eastAsia" w:ascii="宋体" w:hAnsi="宋体" w:cs="宋体"/>
          <w:bCs/>
          <w:lang w:val="en-US" w:eastAsia="zh-CN"/>
        </w:rPr>
        <w:t>要求</w:t>
      </w:r>
      <w:r>
        <w:rPr>
          <w:rFonts w:hint="eastAsia" w:ascii="宋体" w:hAnsi="宋体" w:cs="宋体"/>
          <w:bCs/>
        </w:rPr>
        <w:t>的申请人即可入围</w:t>
      </w:r>
      <w:r>
        <w:rPr>
          <w:rFonts w:hint="eastAsia" w:ascii="宋体" w:hAnsi="宋体" w:cs="宋体"/>
          <w:bCs/>
          <w:lang w:eastAsia="zh-CN"/>
        </w:rPr>
        <w:t>，</w:t>
      </w:r>
      <w:r>
        <w:rPr>
          <w:rFonts w:hint="eastAsia" w:ascii="宋体" w:hAnsi="宋体" w:cs="宋体"/>
          <w:bCs/>
        </w:rPr>
        <w:t>纳入我公司</w:t>
      </w:r>
      <w:r>
        <w:rPr>
          <w:rFonts w:hint="eastAsia" w:ascii="宋体" w:hAnsi="宋体" w:cs="宋体"/>
          <w:bCs/>
          <w:lang w:val="en-US" w:eastAsia="zh-CN"/>
        </w:rPr>
        <w:t>中国通服电子商城福建专区供应商</w:t>
      </w:r>
      <w:r>
        <w:rPr>
          <w:rFonts w:hint="eastAsia" w:ascii="宋体" w:hAnsi="宋体" w:cs="宋体"/>
          <w:bCs/>
        </w:rPr>
        <w:t>，对入围</w:t>
      </w:r>
      <w:r>
        <w:rPr>
          <w:rFonts w:hint="eastAsia" w:ascii="宋体" w:hAnsi="宋体" w:cs="宋体"/>
          <w:bCs/>
          <w:lang w:val="en-US" w:eastAsia="zh-CN"/>
        </w:rPr>
        <w:t>的</w:t>
      </w:r>
      <w:r>
        <w:rPr>
          <w:rFonts w:hint="eastAsia" w:ascii="宋体" w:hAnsi="宋体" w:cs="宋体"/>
          <w:bCs/>
        </w:rPr>
        <w:t>申请人</w:t>
      </w:r>
      <w:r>
        <w:rPr>
          <w:rFonts w:hint="eastAsia" w:ascii="宋体" w:hAnsi="宋体" w:cs="宋体"/>
          <w:bCs/>
          <w:lang w:val="en-US" w:eastAsia="zh-CN"/>
        </w:rPr>
        <w:t>可</w:t>
      </w:r>
      <w:r>
        <w:rPr>
          <w:rFonts w:hint="eastAsia" w:ascii="宋体" w:hAnsi="宋体" w:cs="宋体"/>
          <w:bCs/>
        </w:rPr>
        <w:t>通过</w:t>
      </w:r>
      <w:r>
        <w:rPr>
          <w:rFonts w:hint="eastAsia" w:ascii="宋体" w:hAnsi="宋体" w:cs="宋体"/>
          <w:bCs/>
          <w:lang w:val="en-US" w:eastAsia="zh-CN"/>
        </w:rPr>
        <w:t>询比、谈判、直接采购</w:t>
      </w:r>
      <w:r>
        <w:rPr>
          <w:rFonts w:hint="eastAsia" w:ascii="宋体" w:hAnsi="宋体" w:cs="宋体"/>
          <w:bCs/>
        </w:rPr>
        <w:t>等方式</w:t>
      </w:r>
      <w:r>
        <w:rPr>
          <w:rFonts w:hint="eastAsia" w:ascii="宋体" w:hAnsi="宋体" w:cs="宋体"/>
          <w:bCs/>
          <w:lang w:val="en-US" w:eastAsia="zh-CN"/>
        </w:rPr>
        <w:t>选定实际项目的供货商</w:t>
      </w:r>
      <w:r>
        <w:rPr>
          <w:rFonts w:hint="eastAsia" w:ascii="宋体" w:hAnsi="宋体" w:cs="宋体"/>
          <w:bCs/>
        </w:rPr>
        <w:t>。</w:t>
      </w:r>
    </w:p>
    <w:p w14:paraId="4BC79B85">
      <w:pPr>
        <w:tabs>
          <w:tab w:val="left" w:pos="993"/>
        </w:tabs>
        <w:spacing w:line="500" w:lineRule="exact"/>
        <w:ind w:firstLine="420" w:firstLineChars="200"/>
        <w:jc w:val="left"/>
        <w:rPr>
          <w:rFonts w:hint="eastAsia" w:ascii="宋体" w:hAnsi="宋体" w:eastAsia="宋体" w:cs="宋体"/>
          <w:b w:val="0"/>
          <w:bCs/>
          <w:sz w:val="21"/>
          <w:szCs w:val="24"/>
          <w:lang w:val="en-US" w:eastAsia="zh-CN"/>
        </w:rPr>
      </w:pPr>
      <w:r>
        <w:rPr>
          <w:rFonts w:hint="eastAsia" w:ascii="宋体" w:hAnsi="宋体" w:cs="宋体"/>
          <w:bCs/>
          <w:highlight w:val="none"/>
        </w:rPr>
        <w:t>本项目为常态化招募，招募公告长期有效，供应商在</w:t>
      </w:r>
      <w:r>
        <w:rPr>
          <w:rFonts w:hint="eastAsia" w:ascii="宋体" w:hAnsi="宋体" w:cs="宋体"/>
          <w:bCs/>
          <w:highlight w:val="none"/>
          <w:lang w:val="en-US" w:eastAsia="zh-CN"/>
        </w:rPr>
        <w:t>规定时间内</w:t>
      </w:r>
      <w:r>
        <w:rPr>
          <w:rFonts w:hint="eastAsia" w:ascii="宋体" w:hAnsi="宋体" w:cs="宋体"/>
          <w:bCs/>
          <w:highlight w:val="none"/>
        </w:rPr>
        <w:t>均可报名、递交申请文件，根据实际业务需要，不定期组织评审。如招募条件发生变化，重新发招募公告。（原则上每月</w:t>
      </w:r>
      <w:r>
        <w:rPr>
          <w:rFonts w:hint="eastAsia" w:ascii="宋体" w:hAnsi="宋体" w:eastAsia="宋体" w:cs="宋体"/>
          <w:bCs/>
          <w:highlight w:val="none"/>
          <w:lang w:val="en-US" w:eastAsia="zh-CN"/>
        </w:rPr>
        <w:t>20日</w:t>
      </w:r>
      <w:r>
        <w:rPr>
          <w:rFonts w:hint="eastAsia" w:ascii="宋体" w:hAnsi="宋体" w:eastAsia="宋体" w:cs="宋体"/>
          <w:bCs/>
          <w:highlight w:val="none"/>
        </w:rPr>
        <w:t>组织评审，如遇节假日或其他特殊情况可能出现提前或延后）。</w:t>
      </w:r>
    </w:p>
    <w:p w14:paraId="4A0C40BB">
      <w:pPr>
        <w:tabs>
          <w:tab w:val="left" w:pos="993"/>
        </w:tabs>
        <w:spacing w:line="500" w:lineRule="exact"/>
        <w:ind w:firstLine="422" w:firstLineChars="200"/>
        <w:rPr>
          <w:rFonts w:hint="eastAsia" w:ascii="宋体" w:hAnsi="宋体" w:eastAsia="宋体" w:cs="宋体"/>
          <w:b/>
          <w:bCs w:val="0"/>
          <w:sz w:val="21"/>
          <w:szCs w:val="24"/>
        </w:rPr>
      </w:pPr>
      <w:bookmarkStart w:id="6" w:name="_Toc18932"/>
      <w:bookmarkStart w:id="7" w:name="_Toc9633"/>
      <w:r>
        <w:rPr>
          <w:rFonts w:hint="eastAsia" w:ascii="宋体" w:hAnsi="宋体" w:eastAsia="宋体" w:cs="宋体"/>
          <w:b/>
          <w:bCs w:val="0"/>
          <w:sz w:val="21"/>
          <w:szCs w:val="24"/>
          <w:lang w:val="en-US" w:eastAsia="zh-CN"/>
        </w:rPr>
        <w:t>5</w:t>
      </w:r>
      <w:r>
        <w:rPr>
          <w:rFonts w:hint="eastAsia" w:ascii="宋体" w:hAnsi="宋体" w:eastAsia="宋体" w:cs="宋体"/>
          <w:b/>
          <w:bCs w:val="0"/>
          <w:sz w:val="21"/>
          <w:szCs w:val="24"/>
        </w:rPr>
        <w:t>．</w:t>
      </w:r>
      <w:bookmarkEnd w:id="0"/>
      <w:bookmarkEnd w:id="1"/>
      <w:bookmarkEnd w:id="2"/>
      <w:bookmarkEnd w:id="3"/>
      <w:r>
        <w:rPr>
          <w:rFonts w:hint="eastAsia" w:ascii="宋体" w:hAnsi="宋体" w:eastAsia="宋体" w:cs="宋体"/>
          <w:b/>
          <w:bCs w:val="0"/>
          <w:sz w:val="21"/>
          <w:szCs w:val="24"/>
        </w:rPr>
        <w:t>招募文件的获取</w:t>
      </w:r>
      <w:bookmarkEnd w:id="4"/>
      <w:bookmarkEnd w:id="6"/>
      <w:bookmarkEnd w:id="7"/>
    </w:p>
    <w:p w14:paraId="01F70187">
      <w:pPr>
        <w:tabs>
          <w:tab w:val="left" w:pos="993"/>
        </w:tabs>
        <w:topLinePunct w:val="0"/>
        <w:spacing w:line="500" w:lineRule="exact"/>
        <w:ind w:firstLine="420"/>
        <w:jc w:val="left"/>
        <w:rPr>
          <w:rFonts w:hint="eastAsia" w:ascii="宋体" w:hAnsi="宋体" w:eastAsia="宋体" w:cs="宋体"/>
          <w:bCs/>
          <w:sz w:val="21"/>
          <w:szCs w:val="24"/>
          <w:highlight w:val="none"/>
          <w:u w:val="none"/>
        </w:rPr>
      </w:pPr>
      <w:bookmarkStart w:id="8" w:name="_Toc152047196"/>
      <w:bookmarkStart w:id="9" w:name="_Toc144974400"/>
      <w:bookmarkStart w:id="10" w:name="_Toc478562443"/>
      <w:bookmarkStart w:id="11" w:name="_Toc467156532"/>
      <w:r>
        <w:rPr>
          <w:rFonts w:hint="eastAsia" w:ascii="宋体" w:hAnsi="宋体" w:eastAsia="宋体" w:cs="宋体"/>
          <w:bCs/>
          <w:sz w:val="21"/>
          <w:szCs w:val="24"/>
          <w:u w:val="none"/>
          <w:lang w:val="en-US" w:eastAsia="zh-CN"/>
        </w:rPr>
        <w:t>5</w:t>
      </w:r>
      <w:r>
        <w:rPr>
          <w:rFonts w:hint="eastAsia" w:ascii="宋体" w:hAnsi="宋体" w:eastAsia="宋体" w:cs="宋体"/>
          <w:bCs/>
          <w:sz w:val="21"/>
          <w:szCs w:val="24"/>
          <w:u w:val="none"/>
        </w:rPr>
        <w:t>.1招募文</w:t>
      </w:r>
      <w:r>
        <w:rPr>
          <w:rFonts w:hint="eastAsia" w:ascii="宋体" w:hAnsi="宋体" w:eastAsia="宋体" w:cs="宋体"/>
          <w:bCs/>
          <w:sz w:val="21"/>
          <w:szCs w:val="24"/>
          <w:highlight w:val="none"/>
          <w:u w:val="none"/>
        </w:rPr>
        <w:t>件获取时间：</w:t>
      </w:r>
      <w:r>
        <w:rPr>
          <w:rFonts w:hint="eastAsia" w:ascii="宋体" w:hAnsi="宋体" w:eastAsia="宋体" w:cs="宋体"/>
          <w:bCs/>
          <w:sz w:val="21"/>
          <w:szCs w:val="24"/>
          <w:highlight w:val="none"/>
          <w:u w:val="none"/>
          <w:lang w:val="en-US" w:eastAsia="zh-CN"/>
        </w:rPr>
        <w:t xml:space="preserve"> </w:t>
      </w:r>
      <w:r>
        <w:rPr>
          <w:rFonts w:hint="eastAsia" w:ascii="宋体" w:hAnsi="宋体" w:eastAsia="宋体" w:cs="宋体"/>
          <w:bCs/>
          <w:sz w:val="21"/>
          <w:szCs w:val="24"/>
          <w:highlight w:val="none"/>
          <w:u w:val="none"/>
        </w:rPr>
        <w:t>202</w:t>
      </w:r>
      <w:r>
        <w:rPr>
          <w:rFonts w:hint="eastAsia" w:ascii="宋体" w:hAnsi="宋体" w:cs="宋体"/>
          <w:bCs/>
          <w:sz w:val="21"/>
          <w:szCs w:val="24"/>
          <w:highlight w:val="none"/>
          <w:u w:val="none"/>
          <w:lang w:val="en-US" w:eastAsia="zh-CN"/>
        </w:rPr>
        <w:t>6</w:t>
      </w:r>
      <w:r>
        <w:rPr>
          <w:rFonts w:hint="eastAsia" w:ascii="宋体" w:hAnsi="宋体" w:eastAsia="宋体" w:cs="宋体"/>
          <w:bCs/>
          <w:sz w:val="21"/>
          <w:szCs w:val="24"/>
          <w:highlight w:val="none"/>
          <w:u w:val="none"/>
        </w:rPr>
        <w:t>年</w:t>
      </w:r>
      <w:r>
        <w:rPr>
          <w:rFonts w:hint="eastAsia" w:ascii="宋体" w:hAnsi="宋体" w:eastAsia="宋体" w:cs="宋体"/>
          <w:bCs/>
          <w:sz w:val="21"/>
          <w:szCs w:val="24"/>
          <w:highlight w:val="none"/>
          <w:u w:val="none"/>
          <w:lang w:val="en-US" w:eastAsia="zh-CN"/>
        </w:rPr>
        <w:t>1</w:t>
      </w:r>
      <w:r>
        <w:rPr>
          <w:rFonts w:hint="eastAsia" w:ascii="宋体" w:hAnsi="宋体" w:eastAsia="宋体" w:cs="宋体"/>
          <w:bCs/>
          <w:sz w:val="21"/>
          <w:szCs w:val="24"/>
          <w:highlight w:val="none"/>
          <w:u w:val="none"/>
        </w:rPr>
        <w:t>月</w:t>
      </w:r>
      <w:r>
        <w:rPr>
          <w:rFonts w:hint="eastAsia" w:ascii="宋体" w:hAnsi="宋体" w:cs="宋体"/>
          <w:bCs/>
          <w:sz w:val="21"/>
          <w:szCs w:val="24"/>
          <w:highlight w:val="none"/>
          <w:u w:val="none"/>
          <w:lang w:val="en-US" w:eastAsia="zh-CN"/>
        </w:rPr>
        <w:t>12</w:t>
      </w:r>
      <w:r>
        <w:rPr>
          <w:rFonts w:hint="eastAsia" w:ascii="宋体" w:hAnsi="宋体" w:eastAsia="宋体" w:cs="宋体"/>
          <w:bCs/>
          <w:sz w:val="21"/>
          <w:szCs w:val="24"/>
          <w:highlight w:val="none"/>
          <w:u w:val="none"/>
        </w:rPr>
        <w:t>日</w:t>
      </w:r>
      <w:r>
        <w:rPr>
          <w:rFonts w:hint="eastAsia" w:ascii="宋体" w:hAnsi="宋体" w:eastAsia="宋体" w:cs="宋体"/>
          <w:bCs/>
          <w:sz w:val="21"/>
          <w:szCs w:val="24"/>
          <w:highlight w:val="none"/>
          <w:u w:val="none"/>
          <w:lang w:val="en-US" w:eastAsia="zh-CN"/>
        </w:rPr>
        <w:t>17</w:t>
      </w:r>
      <w:r>
        <w:rPr>
          <w:rFonts w:hint="eastAsia" w:ascii="宋体" w:hAnsi="宋体" w:eastAsia="宋体" w:cs="宋体"/>
          <w:bCs/>
          <w:sz w:val="21"/>
          <w:szCs w:val="24"/>
          <w:highlight w:val="none"/>
          <w:u w:val="none"/>
        </w:rPr>
        <w:t>时30分至 20</w:t>
      </w:r>
      <w:r>
        <w:rPr>
          <w:rFonts w:hint="eastAsia" w:ascii="宋体" w:hAnsi="宋体" w:cs="宋体"/>
          <w:bCs/>
          <w:sz w:val="21"/>
          <w:szCs w:val="24"/>
          <w:highlight w:val="none"/>
          <w:u w:val="none"/>
          <w:lang w:val="en-US" w:eastAsia="zh-CN"/>
        </w:rPr>
        <w:t>26</w:t>
      </w:r>
      <w:r>
        <w:rPr>
          <w:rFonts w:hint="eastAsia" w:ascii="宋体" w:hAnsi="宋体" w:eastAsia="宋体" w:cs="宋体"/>
          <w:bCs/>
          <w:sz w:val="21"/>
          <w:szCs w:val="24"/>
          <w:highlight w:val="none"/>
          <w:u w:val="none"/>
        </w:rPr>
        <w:t>年</w:t>
      </w:r>
      <w:r>
        <w:rPr>
          <w:rFonts w:hint="eastAsia" w:ascii="宋体" w:hAnsi="宋体" w:eastAsia="宋体" w:cs="宋体"/>
          <w:bCs/>
          <w:sz w:val="21"/>
          <w:szCs w:val="24"/>
          <w:highlight w:val="none"/>
          <w:u w:val="none"/>
          <w:lang w:val="en-US" w:eastAsia="zh-CN"/>
        </w:rPr>
        <w:t>1</w:t>
      </w:r>
      <w:r>
        <w:rPr>
          <w:rFonts w:hint="eastAsia" w:ascii="宋体" w:hAnsi="宋体" w:eastAsia="宋体" w:cs="宋体"/>
          <w:bCs/>
          <w:sz w:val="21"/>
          <w:szCs w:val="24"/>
          <w:highlight w:val="none"/>
          <w:u w:val="none"/>
        </w:rPr>
        <w:t>月</w:t>
      </w:r>
      <w:r>
        <w:rPr>
          <w:rFonts w:hint="eastAsia" w:ascii="宋体" w:hAnsi="宋体" w:cs="宋体"/>
          <w:bCs/>
          <w:sz w:val="21"/>
          <w:szCs w:val="24"/>
          <w:highlight w:val="none"/>
          <w:u w:val="none"/>
          <w:lang w:val="en-US" w:eastAsia="zh-CN"/>
        </w:rPr>
        <w:t>19</w:t>
      </w:r>
      <w:r>
        <w:rPr>
          <w:rFonts w:hint="eastAsia" w:ascii="宋体" w:hAnsi="宋体" w:eastAsia="宋体" w:cs="宋体"/>
          <w:bCs/>
          <w:sz w:val="21"/>
          <w:szCs w:val="24"/>
          <w:highlight w:val="none"/>
          <w:u w:val="none"/>
        </w:rPr>
        <w:t>日17时30分</w:t>
      </w:r>
      <w:r>
        <w:rPr>
          <w:rFonts w:hint="eastAsia" w:ascii="宋体" w:hAnsi="宋体" w:eastAsia="宋体" w:cs="宋体"/>
          <w:bCs/>
          <w:sz w:val="21"/>
          <w:szCs w:val="24"/>
          <w:highlight w:val="none"/>
          <w:u w:val="none"/>
          <w:lang w:eastAsia="zh-CN"/>
        </w:rPr>
        <w:t>（</w:t>
      </w:r>
      <w:r>
        <w:rPr>
          <w:rFonts w:hint="eastAsia" w:ascii="宋体" w:hAnsi="宋体" w:eastAsia="宋体" w:cs="宋体"/>
          <w:bCs/>
          <w:sz w:val="21"/>
          <w:szCs w:val="24"/>
          <w:highlight w:val="none"/>
          <w:u w:val="none"/>
          <w:lang w:val="en-US" w:eastAsia="zh-CN"/>
        </w:rPr>
        <w:t>北京时间</w:t>
      </w:r>
      <w:r>
        <w:rPr>
          <w:rFonts w:hint="eastAsia" w:ascii="宋体" w:hAnsi="宋体" w:eastAsia="宋体" w:cs="宋体"/>
          <w:bCs/>
          <w:sz w:val="21"/>
          <w:szCs w:val="24"/>
          <w:highlight w:val="none"/>
          <w:u w:val="none"/>
          <w:lang w:eastAsia="zh-CN"/>
        </w:rPr>
        <w:t>）</w:t>
      </w:r>
      <w:r>
        <w:rPr>
          <w:rFonts w:hint="eastAsia" w:ascii="宋体" w:hAnsi="宋体" w:eastAsia="宋体" w:cs="宋体"/>
          <w:bCs/>
          <w:sz w:val="21"/>
          <w:szCs w:val="24"/>
          <w:highlight w:val="none"/>
          <w:u w:val="none"/>
        </w:rPr>
        <w:t>。</w:t>
      </w:r>
    </w:p>
    <w:p w14:paraId="3D233B39">
      <w:pPr>
        <w:tabs>
          <w:tab w:val="left" w:pos="993"/>
        </w:tabs>
        <w:topLinePunct w:val="0"/>
        <w:spacing w:line="500" w:lineRule="exact"/>
        <w:ind w:firstLine="420"/>
        <w:rPr>
          <w:rFonts w:hint="eastAsia" w:ascii="宋体" w:hAnsi="宋体" w:eastAsia="宋体" w:cs="宋体"/>
          <w:bCs/>
          <w:sz w:val="21"/>
          <w:szCs w:val="24"/>
          <w:highlight w:val="none"/>
          <w:u w:val="none"/>
        </w:rPr>
      </w:pPr>
      <w:bookmarkStart w:id="12" w:name="_Toc31619"/>
      <w:bookmarkStart w:id="13" w:name="_Toc14618"/>
      <w:r>
        <w:rPr>
          <w:rFonts w:hint="eastAsia" w:ascii="宋体" w:hAnsi="宋体" w:eastAsia="宋体" w:cs="宋体"/>
          <w:bCs/>
          <w:sz w:val="21"/>
          <w:szCs w:val="24"/>
          <w:highlight w:val="none"/>
          <w:u w:val="none"/>
          <w:lang w:val="en-US" w:eastAsia="zh-CN"/>
        </w:rPr>
        <w:t>5</w:t>
      </w:r>
      <w:r>
        <w:rPr>
          <w:rFonts w:hint="eastAsia" w:ascii="宋体" w:hAnsi="宋体" w:eastAsia="宋体" w:cs="宋体"/>
          <w:bCs/>
          <w:sz w:val="21"/>
          <w:szCs w:val="24"/>
          <w:highlight w:val="none"/>
          <w:u w:val="none"/>
        </w:rPr>
        <w:t>.2招募文件获取方式：</w:t>
      </w:r>
    </w:p>
    <w:p w14:paraId="10D168BC">
      <w:pPr>
        <w:tabs>
          <w:tab w:val="left" w:pos="993"/>
        </w:tabs>
        <w:topLinePunct w:val="0"/>
        <w:spacing w:line="500" w:lineRule="exact"/>
        <w:ind w:firstLine="420"/>
        <w:rPr>
          <w:rFonts w:hint="eastAsia"/>
          <w:sz w:val="21"/>
          <w:szCs w:val="21"/>
          <w:highlight w:val="none"/>
        </w:rPr>
      </w:pPr>
      <w:r>
        <w:rPr>
          <w:rFonts w:hint="eastAsia" w:ascii="宋体" w:hAnsi="宋体" w:eastAsia="宋体" w:cs="宋体"/>
          <w:bCs/>
          <w:sz w:val="21"/>
          <w:szCs w:val="24"/>
          <w:highlight w:val="none"/>
          <w:u w:val="none"/>
        </w:rPr>
        <w:t>将</w:t>
      </w:r>
      <w:r>
        <w:rPr>
          <w:rFonts w:hint="eastAsia" w:ascii="宋体" w:hAnsi="宋体" w:eastAsia="宋体" w:cs="宋体"/>
          <w:bCs/>
          <w:sz w:val="21"/>
          <w:szCs w:val="24"/>
          <w:highlight w:val="none"/>
          <w:u w:val="none"/>
          <w:lang w:val="en-US" w:eastAsia="zh-CN"/>
        </w:rPr>
        <w:t>加</w:t>
      </w:r>
      <w:r>
        <w:rPr>
          <w:rFonts w:hint="eastAsia" w:ascii="宋体" w:hAnsi="宋体" w:eastAsia="宋体" w:cs="宋体"/>
          <w:bCs/>
          <w:sz w:val="21"/>
          <w:szCs w:val="24"/>
          <w:highlight w:val="none"/>
        </w:rPr>
        <w:t>盖公章</w:t>
      </w:r>
      <w:r>
        <w:rPr>
          <w:rFonts w:hint="eastAsia" w:ascii="宋体" w:hAnsi="宋体" w:eastAsia="宋体" w:cs="宋体"/>
          <w:bCs/>
          <w:sz w:val="21"/>
          <w:szCs w:val="24"/>
          <w:highlight w:val="none"/>
          <w:lang w:val="en-US" w:eastAsia="zh-CN"/>
        </w:rPr>
        <w:t>的</w:t>
      </w:r>
      <w:r>
        <w:rPr>
          <w:rFonts w:hint="eastAsia" w:ascii="宋体" w:hAnsi="宋体" w:eastAsia="宋体" w:cs="宋体"/>
          <w:bCs/>
          <w:sz w:val="21"/>
          <w:szCs w:val="24"/>
          <w:highlight w:val="none"/>
          <w:u w:val="none"/>
        </w:rPr>
        <w:t>报名表</w:t>
      </w:r>
      <w:r>
        <w:rPr>
          <w:rFonts w:hint="eastAsia" w:ascii="宋体" w:hAnsi="宋体" w:eastAsia="宋体" w:cs="宋体"/>
          <w:bCs/>
          <w:sz w:val="21"/>
          <w:szCs w:val="24"/>
          <w:highlight w:val="none"/>
          <w:u w:val="none"/>
          <w:lang w:eastAsia="zh-CN"/>
        </w:rPr>
        <w:t>（</w:t>
      </w:r>
      <w:r>
        <w:rPr>
          <w:rFonts w:hint="eastAsia" w:ascii="宋体" w:hAnsi="宋体" w:eastAsia="宋体" w:cs="宋体"/>
          <w:bCs/>
          <w:sz w:val="21"/>
          <w:szCs w:val="24"/>
          <w:highlight w:val="none"/>
          <w:u w:val="none"/>
          <w:lang w:val="en-US" w:eastAsia="zh-CN"/>
        </w:rPr>
        <w:t>详</w:t>
      </w:r>
      <w:r>
        <w:rPr>
          <w:rFonts w:hint="eastAsia" w:ascii="宋体" w:hAnsi="宋体" w:eastAsia="宋体" w:cs="宋体"/>
          <w:bCs/>
          <w:sz w:val="21"/>
          <w:szCs w:val="24"/>
          <w:highlight w:val="none"/>
          <w:lang w:val="en-US" w:eastAsia="zh-CN"/>
        </w:rPr>
        <w:t>见附件</w:t>
      </w:r>
      <w:r>
        <w:rPr>
          <w:rFonts w:hint="eastAsia" w:ascii="宋体" w:hAnsi="宋体" w:eastAsia="宋体" w:cs="宋体"/>
          <w:bCs/>
          <w:sz w:val="21"/>
          <w:szCs w:val="24"/>
          <w:highlight w:val="none"/>
          <w:lang w:eastAsia="zh-CN"/>
        </w:rPr>
        <w:t>）</w:t>
      </w:r>
      <w:r>
        <w:rPr>
          <w:rFonts w:hint="eastAsia" w:ascii="宋体" w:hAnsi="宋体" w:eastAsia="宋体" w:cs="宋体"/>
          <w:bCs/>
          <w:sz w:val="21"/>
          <w:szCs w:val="24"/>
          <w:highlight w:val="none"/>
        </w:rPr>
        <w:t>及营业执照复印件</w:t>
      </w:r>
      <w:r>
        <w:rPr>
          <w:rFonts w:hint="eastAsia" w:ascii="宋体" w:hAnsi="宋体" w:eastAsia="宋体" w:cs="宋体"/>
          <w:bCs/>
          <w:sz w:val="21"/>
          <w:szCs w:val="24"/>
          <w:highlight w:val="none"/>
          <w:lang w:eastAsia="zh-CN"/>
        </w:rPr>
        <w:t>、</w:t>
      </w:r>
      <w:r>
        <w:rPr>
          <w:rFonts w:hint="eastAsia" w:ascii="宋体" w:hAnsi="宋体" w:eastAsia="宋体" w:cs="宋体"/>
          <w:bCs/>
          <w:sz w:val="21"/>
          <w:szCs w:val="24"/>
          <w:highlight w:val="none"/>
          <w:lang w:val="en-US" w:eastAsia="zh-CN"/>
        </w:rPr>
        <w:t>支付招募文件费用的汇款底单</w:t>
      </w:r>
      <w:r>
        <w:rPr>
          <w:rFonts w:hint="eastAsia" w:ascii="宋体" w:hAnsi="宋体" w:eastAsia="宋体" w:cs="宋体"/>
          <w:bCs/>
          <w:sz w:val="21"/>
          <w:szCs w:val="24"/>
          <w:highlight w:val="none"/>
        </w:rPr>
        <w:t>发邮件至</w:t>
      </w:r>
      <w:r>
        <w:rPr>
          <w:rFonts w:hint="eastAsia" w:ascii="宋体" w:hAnsi="宋体" w:eastAsia="宋体" w:cs="宋体"/>
          <w:bCs/>
          <w:sz w:val="21"/>
          <w:szCs w:val="24"/>
          <w:highlight w:val="none"/>
          <w:lang w:val="en-US" w:eastAsia="zh-CN"/>
        </w:rPr>
        <w:t>wulingbing.gyl@chinaccs.cn</w:t>
      </w:r>
      <w:r>
        <w:rPr>
          <w:rFonts w:hint="eastAsia" w:eastAsia="宋体"/>
          <w:sz w:val="21"/>
          <w:szCs w:val="21"/>
          <w:highlight w:val="none"/>
        </w:rPr>
        <w:t>。报名联系人将以电子邮件形式回复招募文件。</w:t>
      </w:r>
      <w:bookmarkEnd w:id="12"/>
      <w:bookmarkEnd w:id="13"/>
    </w:p>
    <w:p w14:paraId="254B67E3">
      <w:pPr>
        <w:tabs>
          <w:tab w:val="left" w:pos="993"/>
        </w:tabs>
        <w:spacing w:line="500" w:lineRule="exact"/>
        <w:ind w:firstLine="420" w:firstLineChars="200"/>
        <w:rPr>
          <w:rFonts w:hint="eastAsia" w:ascii="宋体" w:hAnsi="宋体" w:eastAsia="宋体" w:cs="宋体"/>
          <w:b/>
          <w:sz w:val="21"/>
          <w:szCs w:val="24"/>
          <w:highlight w:val="none"/>
        </w:rPr>
      </w:pPr>
      <w:bookmarkStart w:id="14" w:name="_Toc3920"/>
      <w:bookmarkStart w:id="15" w:name="_Toc27541"/>
      <w:r>
        <w:rPr>
          <w:rFonts w:hint="eastAsia" w:eastAsia="宋体"/>
          <w:sz w:val="21"/>
          <w:szCs w:val="21"/>
          <w:highlight w:val="none"/>
          <w:lang w:val="en-US" w:eastAsia="zh-CN"/>
        </w:rPr>
        <w:t>5</w:t>
      </w:r>
      <w:r>
        <w:rPr>
          <w:rFonts w:hint="eastAsia" w:eastAsia="宋体"/>
          <w:sz w:val="21"/>
          <w:szCs w:val="21"/>
          <w:highlight w:val="none"/>
        </w:rPr>
        <w:t>.3  招募文件费</w:t>
      </w:r>
      <w:r>
        <w:rPr>
          <w:rFonts w:hint="eastAsia" w:ascii="宋体" w:hAnsi="宋体" w:eastAsia="宋体" w:cs="宋体"/>
          <w:b w:val="0"/>
          <w:bCs/>
          <w:sz w:val="21"/>
          <w:szCs w:val="24"/>
          <w:highlight w:val="none"/>
        </w:rPr>
        <w:t>用</w:t>
      </w:r>
      <w:r>
        <w:rPr>
          <w:rFonts w:hint="eastAsia" w:ascii="宋体" w:hAnsi="宋体" w:eastAsia="宋体" w:cs="宋体"/>
          <w:b/>
          <w:sz w:val="21"/>
          <w:szCs w:val="24"/>
          <w:highlight w:val="none"/>
        </w:rPr>
        <w:t>：每套售价</w:t>
      </w:r>
      <w:r>
        <w:rPr>
          <w:rFonts w:hint="eastAsia" w:ascii="宋体" w:hAnsi="宋体" w:eastAsia="宋体" w:cs="宋体"/>
          <w:b/>
          <w:sz w:val="21"/>
          <w:szCs w:val="24"/>
          <w:highlight w:val="none"/>
          <w:lang w:val="en-US" w:eastAsia="zh-CN"/>
        </w:rPr>
        <w:t>20</w:t>
      </w:r>
      <w:r>
        <w:rPr>
          <w:rFonts w:hint="eastAsia" w:ascii="宋体" w:hAnsi="宋体" w:eastAsia="宋体" w:cs="宋体"/>
          <w:b/>
          <w:sz w:val="21"/>
          <w:szCs w:val="24"/>
          <w:highlight w:val="none"/>
        </w:rPr>
        <w:t>0元人民币，售后不退。</w:t>
      </w:r>
      <w:bookmarkEnd w:id="14"/>
      <w:bookmarkEnd w:id="15"/>
    </w:p>
    <w:p w14:paraId="05482514">
      <w:pPr>
        <w:tabs>
          <w:tab w:val="left" w:pos="993"/>
        </w:tabs>
        <w:spacing w:line="500" w:lineRule="exact"/>
        <w:ind w:firstLine="420" w:firstLineChars="200"/>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招募</w:t>
      </w:r>
      <w:r>
        <w:rPr>
          <w:rFonts w:hint="eastAsia" w:ascii="Times New Roman" w:hAnsi="Times New Roman" w:eastAsia="宋体" w:cs="Times New Roman"/>
          <w:sz w:val="21"/>
          <w:szCs w:val="21"/>
          <w:highlight w:val="none"/>
        </w:rPr>
        <w:t>文件费的缴纳方式：转账至银行并备注</w:t>
      </w:r>
      <w:r>
        <w:rPr>
          <w:rFonts w:hint="eastAsia" w:ascii="Times New Roman" w:hAnsi="Times New Roman" w:eastAsia="宋体" w:cs="Times New Roman"/>
          <w:sz w:val="21"/>
          <w:szCs w:val="21"/>
          <w:highlight w:val="none"/>
          <w:lang w:val="en-US" w:eastAsia="zh-CN"/>
        </w:rPr>
        <w:t>招募</w:t>
      </w:r>
      <w:r>
        <w:rPr>
          <w:rFonts w:hint="eastAsia" w:ascii="Times New Roman" w:hAnsi="Times New Roman" w:eastAsia="宋体" w:cs="Times New Roman"/>
          <w:sz w:val="21"/>
          <w:szCs w:val="21"/>
          <w:highlight w:val="none"/>
        </w:rPr>
        <w:t>编号及单位名称。</w:t>
      </w:r>
    </w:p>
    <w:p w14:paraId="11C495BC">
      <w:pPr>
        <w:tabs>
          <w:tab w:val="left" w:pos="993"/>
        </w:tabs>
        <w:spacing w:line="500" w:lineRule="exact"/>
        <w:ind w:firstLine="420" w:firstLineChars="200"/>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汇入银行信息：</w:t>
      </w:r>
    </w:p>
    <w:p w14:paraId="16FC61C4">
      <w:pPr>
        <w:tabs>
          <w:tab w:val="left" w:pos="993"/>
        </w:tabs>
        <w:spacing w:line="500" w:lineRule="exact"/>
        <w:ind w:firstLine="420" w:firstLineChars="200"/>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户名：通服云链科技（浙江）有限公司</w:t>
      </w:r>
    </w:p>
    <w:p w14:paraId="69295582">
      <w:pPr>
        <w:tabs>
          <w:tab w:val="left" w:pos="993"/>
        </w:tabs>
        <w:spacing w:line="500" w:lineRule="exact"/>
        <w:ind w:firstLine="420" w:firstLineChars="200"/>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账号：1219544395100013506</w:t>
      </w:r>
    </w:p>
    <w:p w14:paraId="32DC71FD">
      <w:pPr>
        <w:tabs>
          <w:tab w:val="left" w:pos="993"/>
        </w:tabs>
        <w:spacing w:line="500" w:lineRule="exact"/>
        <w:ind w:firstLine="420" w:firstLineChars="200"/>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开户银行：招商银行股份有限公司杭州北部软件园小微企业专营支行</w:t>
      </w:r>
    </w:p>
    <w:p w14:paraId="04E42AFC">
      <w:pPr>
        <w:tabs>
          <w:tab w:val="left" w:pos="993"/>
        </w:tabs>
        <w:spacing w:line="500" w:lineRule="exact"/>
        <w:ind w:firstLine="420" w:firstLineChars="200"/>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注：请供应商认真检查核对汇款账号，因错汇款等而产生的后果由供应商自行承担。</w:t>
      </w:r>
    </w:p>
    <w:bookmarkEnd w:id="8"/>
    <w:bookmarkEnd w:id="9"/>
    <w:bookmarkEnd w:id="10"/>
    <w:bookmarkEnd w:id="11"/>
    <w:p w14:paraId="7098A243">
      <w:pPr>
        <w:tabs>
          <w:tab w:val="left" w:pos="993"/>
        </w:tabs>
        <w:spacing w:line="500" w:lineRule="exact"/>
        <w:ind w:firstLine="422" w:firstLineChars="200"/>
        <w:rPr>
          <w:rFonts w:hint="eastAsia" w:ascii="宋体" w:hAnsi="宋体" w:eastAsia="宋体" w:cs="宋体"/>
          <w:b/>
          <w:sz w:val="21"/>
          <w:szCs w:val="24"/>
          <w:highlight w:val="none"/>
        </w:rPr>
      </w:pPr>
      <w:bookmarkStart w:id="16" w:name="_Toc28680"/>
      <w:bookmarkStart w:id="17" w:name="_Toc2702"/>
      <w:bookmarkStart w:id="18" w:name="_Toc7870"/>
      <w:bookmarkStart w:id="19" w:name="_Toc17103"/>
      <w:r>
        <w:rPr>
          <w:rFonts w:hint="eastAsia" w:ascii="宋体" w:hAnsi="宋体" w:eastAsia="宋体" w:cs="宋体"/>
          <w:b/>
          <w:sz w:val="21"/>
          <w:szCs w:val="24"/>
          <w:highlight w:val="none"/>
          <w:lang w:val="en-US" w:eastAsia="zh-CN"/>
        </w:rPr>
        <w:t>6</w:t>
      </w:r>
      <w:r>
        <w:rPr>
          <w:rFonts w:hint="eastAsia" w:ascii="宋体" w:hAnsi="宋体" w:eastAsia="宋体" w:cs="宋体"/>
          <w:b/>
          <w:sz w:val="21"/>
          <w:szCs w:val="24"/>
          <w:highlight w:val="none"/>
        </w:rPr>
        <w:t>.申请文件的递交</w:t>
      </w:r>
      <w:bookmarkEnd w:id="16"/>
      <w:bookmarkEnd w:id="17"/>
      <w:bookmarkEnd w:id="18"/>
      <w:bookmarkEnd w:id="19"/>
    </w:p>
    <w:p w14:paraId="34A7C2F6">
      <w:pPr>
        <w:pStyle w:val="15"/>
        <w:spacing w:beforeLines="0" w:afterLines="0"/>
        <w:ind w:firstLine="480"/>
        <w:rPr>
          <w:rFonts w:hint="eastAsia" w:eastAsia="宋体"/>
          <w:sz w:val="21"/>
          <w:szCs w:val="21"/>
          <w:highlight w:val="none"/>
        </w:rPr>
      </w:pPr>
      <w:r>
        <w:rPr>
          <w:rFonts w:hint="eastAsia" w:eastAsia="宋体"/>
          <w:sz w:val="21"/>
          <w:szCs w:val="21"/>
          <w:highlight w:val="none"/>
          <w:lang w:val="en-US" w:eastAsia="zh-CN"/>
        </w:rPr>
        <w:t>6</w:t>
      </w:r>
      <w:r>
        <w:rPr>
          <w:rFonts w:hint="eastAsia" w:eastAsia="宋体"/>
          <w:sz w:val="21"/>
          <w:szCs w:val="21"/>
          <w:highlight w:val="none"/>
        </w:rPr>
        <w:t>.1  纸质申请文件的递交：递交申请文件时间</w:t>
      </w:r>
      <w:r>
        <w:rPr>
          <w:rFonts w:hint="eastAsia" w:eastAsia="宋体"/>
          <w:sz w:val="21"/>
          <w:szCs w:val="21"/>
          <w:highlight w:val="none"/>
          <w:lang w:val="en-US" w:eastAsia="zh-CN"/>
        </w:rPr>
        <w:t>为</w:t>
      </w:r>
      <w:r>
        <w:rPr>
          <w:rFonts w:hint="eastAsia" w:eastAsia="宋体"/>
          <w:sz w:val="21"/>
          <w:szCs w:val="21"/>
          <w:highlight w:val="none"/>
        </w:rPr>
        <w:t xml:space="preserve"> 20</w:t>
      </w:r>
      <w:r>
        <w:rPr>
          <w:rFonts w:hint="eastAsia"/>
          <w:sz w:val="21"/>
          <w:szCs w:val="21"/>
          <w:highlight w:val="none"/>
          <w:lang w:val="en-US" w:eastAsia="zh-CN"/>
        </w:rPr>
        <w:t>26</w:t>
      </w:r>
      <w:r>
        <w:rPr>
          <w:rFonts w:hint="eastAsia" w:eastAsia="宋体"/>
          <w:sz w:val="21"/>
          <w:szCs w:val="21"/>
          <w:highlight w:val="none"/>
        </w:rPr>
        <w:t>年</w:t>
      </w:r>
      <w:r>
        <w:rPr>
          <w:rFonts w:hint="eastAsia" w:eastAsia="宋体"/>
          <w:sz w:val="21"/>
          <w:szCs w:val="21"/>
          <w:highlight w:val="none"/>
          <w:lang w:val="en-US" w:eastAsia="zh-CN"/>
        </w:rPr>
        <w:t>1</w:t>
      </w:r>
      <w:r>
        <w:rPr>
          <w:rFonts w:hint="eastAsia" w:eastAsia="宋体"/>
          <w:sz w:val="21"/>
          <w:szCs w:val="21"/>
          <w:highlight w:val="none"/>
        </w:rPr>
        <w:t>月</w:t>
      </w:r>
      <w:r>
        <w:rPr>
          <w:rFonts w:hint="eastAsia"/>
          <w:sz w:val="21"/>
          <w:szCs w:val="21"/>
          <w:highlight w:val="none"/>
          <w:lang w:val="en-US" w:eastAsia="zh-CN"/>
        </w:rPr>
        <w:t>22</w:t>
      </w:r>
      <w:r>
        <w:rPr>
          <w:rFonts w:hint="eastAsia" w:eastAsia="宋体"/>
          <w:sz w:val="21"/>
          <w:szCs w:val="21"/>
          <w:highlight w:val="none"/>
        </w:rPr>
        <w:t>日</w:t>
      </w:r>
      <w:r>
        <w:rPr>
          <w:rFonts w:hint="eastAsia"/>
          <w:sz w:val="21"/>
          <w:szCs w:val="21"/>
          <w:highlight w:val="none"/>
          <w:lang w:val="en-US" w:eastAsia="zh-CN"/>
        </w:rPr>
        <w:t>17</w:t>
      </w:r>
      <w:r>
        <w:rPr>
          <w:rFonts w:hint="eastAsia" w:eastAsia="宋体"/>
          <w:sz w:val="21"/>
          <w:szCs w:val="21"/>
          <w:highlight w:val="none"/>
        </w:rPr>
        <w:t>时</w:t>
      </w:r>
      <w:r>
        <w:rPr>
          <w:rFonts w:hint="eastAsia"/>
          <w:sz w:val="21"/>
          <w:szCs w:val="21"/>
          <w:highlight w:val="none"/>
          <w:lang w:val="en-US" w:eastAsia="zh-CN"/>
        </w:rPr>
        <w:t>30</w:t>
      </w:r>
      <w:r>
        <w:rPr>
          <w:rFonts w:hint="eastAsia" w:eastAsia="宋体"/>
          <w:sz w:val="21"/>
          <w:szCs w:val="21"/>
          <w:highlight w:val="none"/>
        </w:rPr>
        <w:t>分，地点</w:t>
      </w:r>
      <w:r>
        <w:rPr>
          <w:rFonts w:hint="eastAsia" w:eastAsia="宋体"/>
          <w:sz w:val="21"/>
          <w:szCs w:val="21"/>
          <w:highlight w:val="none"/>
          <w:lang w:val="en-US" w:eastAsia="zh-CN"/>
        </w:rPr>
        <w:t>为</w:t>
      </w:r>
      <w:r>
        <w:rPr>
          <w:rFonts w:hint="eastAsia" w:ascii="宋体" w:hAnsi="宋体" w:eastAsia="宋体"/>
          <w:spacing w:val="2"/>
          <w:sz w:val="21"/>
          <w:szCs w:val="21"/>
          <w:highlight w:val="none"/>
        </w:rPr>
        <w:t>福州市仓山区信平路10号</w:t>
      </w:r>
      <w:r>
        <w:rPr>
          <w:rFonts w:hint="eastAsia" w:eastAsia="宋体"/>
          <w:sz w:val="21"/>
          <w:szCs w:val="21"/>
          <w:highlight w:val="none"/>
        </w:rPr>
        <w:t>。</w:t>
      </w:r>
    </w:p>
    <w:p w14:paraId="50CA71DB">
      <w:pPr>
        <w:pStyle w:val="15"/>
        <w:spacing w:beforeLines="0" w:afterLines="0"/>
        <w:ind w:firstLine="480"/>
        <w:rPr>
          <w:rFonts w:hint="eastAsia" w:eastAsia="宋体"/>
          <w:sz w:val="21"/>
          <w:szCs w:val="21"/>
          <w:highlight w:val="none"/>
        </w:rPr>
      </w:pPr>
      <w:r>
        <w:rPr>
          <w:rFonts w:hint="eastAsia" w:eastAsia="宋体"/>
          <w:sz w:val="21"/>
          <w:szCs w:val="21"/>
          <w:highlight w:val="none"/>
          <w:lang w:val="en-US" w:eastAsia="zh-CN"/>
        </w:rPr>
        <w:t>6</w:t>
      </w:r>
      <w:r>
        <w:rPr>
          <w:rFonts w:hint="eastAsia" w:eastAsia="宋体"/>
          <w:sz w:val="21"/>
          <w:szCs w:val="21"/>
          <w:highlight w:val="none"/>
        </w:rPr>
        <w:t>.2  出现以下情形时，招募人/代理机构不予接收申请文件：</w:t>
      </w:r>
    </w:p>
    <w:p w14:paraId="0F090B6C">
      <w:pPr>
        <w:pStyle w:val="15"/>
        <w:spacing w:beforeLines="0" w:afterLines="0"/>
        <w:ind w:firstLine="480"/>
        <w:rPr>
          <w:rFonts w:hint="eastAsia" w:eastAsia="宋体"/>
          <w:sz w:val="21"/>
          <w:szCs w:val="21"/>
          <w:highlight w:val="none"/>
        </w:rPr>
      </w:pPr>
      <w:r>
        <w:rPr>
          <w:rFonts w:hint="eastAsia" w:eastAsia="宋体"/>
          <w:sz w:val="21"/>
          <w:szCs w:val="21"/>
          <w:highlight w:val="none"/>
          <w:lang w:val="en-US" w:eastAsia="zh-CN"/>
        </w:rPr>
        <w:t>6</w:t>
      </w:r>
      <w:r>
        <w:rPr>
          <w:rFonts w:hint="eastAsia" w:eastAsia="宋体"/>
          <w:sz w:val="21"/>
          <w:szCs w:val="21"/>
          <w:highlight w:val="none"/>
        </w:rPr>
        <w:t>.2.1  逾期送达或者未送达指定地点的；</w:t>
      </w:r>
    </w:p>
    <w:p w14:paraId="58D81C20">
      <w:pPr>
        <w:pStyle w:val="15"/>
        <w:spacing w:beforeLines="0" w:afterLines="0"/>
        <w:ind w:firstLine="480"/>
        <w:rPr>
          <w:rFonts w:hint="eastAsia" w:eastAsia="宋体"/>
          <w:sz w:val="21"/>
          <w:szCs w:val="21"/>
        </w:rPr>
      </w:pPr>
      <w:r>
        <w:rPr>
          <w:rFonts w:hint="eastAsia" w:eastAsia="宋体"/>
          <w:sz w:val="21"/>
          <w:szCs w:val="21"/>
          <w:lang w:val="en-US" w:eastAsia="zh-CN"/>
        </w:rPr>
        <w:t>6</w:t>
      </w:r>
      <w:r>
        <w:rPr>
          <w:rFonts w:hint="eastAsia" w:eastAsia="宋体"/>
          <w:sz w:val="21"/>
          <w:szCs w:val="21"/>
        </w:rPr>
        <w:t>.2.2  未按照招募文件要求密封的；</w:t>
      </w:r>
    </w:p>
    <w:p w14:paraId="69628913">
      <w:pPr>
        <w:pStyle w:val="15"/>
        <w:spacing w:beforeLines="0" w:afterLines="0"/>
        <w:ind w:firstLine="480"/>
        <w:rPr>
          <w:rFonts w:hint="eastAsia" w:eastAsia="宋体"/>
          <w:sz w:val="21"/>
          <w:szCs w:val="21"/>
        </w:rPr>
      </w:pPr>
      <w:r>
        <w:rPr>
          <w:rFonts w:hint="eastAsia" w:eastAsia="宋体"/>
          <w:sz w:val="21"/>
          <w:szCs w:val="21"/>
          <w:lang w:val="en-US" w:eastAsia="zh-CN"/>
        </w:rPr>
        <w:t>6</w:t>
      </w:r>
      <w:r>
        <w:rPr>
          <w:rFonts w:hint="eastAsia" w:eastAsia="宋体"/>
          <w:sz w:val="21"/>
          <w:szCs w:val="21"/>
        </w:rPr>
        <w:t>.2.3  未按照本公告要求获得本项目招募文件的。</w:t>
      </w:r>
    </w:p>
    <w:p w14:paraId="2DA6FC43">
      <w:pPr>
        <w:pStyle w:val="15"/>
        <w:spacing w:beforeLines="0" w:afterLines="0"/>
        <w:ind w:firstLine="0" w:firstLineChars="0"/>
        <w:rPr>
          <w:rFonts w:hint="eastAsia" w:ascii="宋体" w:hAnsi="宋体" w:eastAsia="宋体" w:cs="Times New Roman"/>
          <w:b/>
          <w:spacing w:val="2"/>
          <w:sz w:val="21"/>
          <w:szCs w:val="21"/>
        </w:rPr>
      </w:pPr>
      <w:bookmarkStart w:id="20" w:name="_Toc467156533"/>
      <w:bookmarkStart w:id="21" w:name="_Toc478562444"/>
      <w:bookmarkStart w:id="22" w:name="_Toc6885"/>
      <w:bookmarkStart w:id="23" w:name="_Toc152047197"/>
      <w:bookmarkStart w:id="24" w:name="_Toc144974401"/>
      <w:r>
        <w:rPr>
          <w:rFonts w:hint="eastAsia" w:ascii="宋体" w:hAnsi="宋体" w:eastAsia="宋体" w:cs="Times New Roman"/>
          <w:b/>
          <w:spacing w:val="2"/>
          <w:sz w:val="21"/>
          <w:szCs w:val="21"/>
          <w:lang w:val="en-US" w:eastAsia="zh-CN"/>
        </w:rPr>
        <w:t>8</w:t>
      </w:r>
      <w:r>
        <w:rPr>
          <w:rFonts w:hint="eastAsia" w:ascii="宋体" w:hAnsi="宋体" w:eastAsia="宋体" w:cs="Times New Roman"/>
          <w:b/>
          <w:spacing w:val="2"/>
          <w:sz w:val="21"/>
          <w:szCs w:val="21"/>
        </w:rPr>
        <w:t>．发布公告的媒介</w:t>
      </w:r>
      <w:bookmarkEnd w:id="20"/>
      <w:bookmarkEnd w:id="21"/>
      <w:bookmarkEnd w:id="22"/>
    </w:p>
    <w:p w14:paraId="4ECB07F5">
      <w:pPr>
        <w:pStyle w:val="15"/>
        <w:spacing w:beforeLines="0" w:afterLines="0"/>
        <w:ind w:firstLine="480"/>
        <w:jc w:val="left"/>
        <w:rPr>
          <w:rFonts w:hint="eastAsia" w:ascii="宋体" w:hAnsi="宋体" w:eastAsia="宋体" w:cs="Times New Roman"/>
          <w:spacing w:val="2"/>
          <w:sz w:val="21"/>
          <w:szCs w:val="21"/>
          <w:lang w:eastAsia="zh-CN"/>
        </w:rPr>
      </w:pPr>
      <w:bookmarkStart w:id="25" w:name="_Toc478562445"/>
      <w:bookmarkStart w:id="26" w:name="_Toc467156534"/>
      <w:bookmarkStart w:id="27" w:name="_Toc11602"/>
      <w:r>
        <w:rPr>
          <w:rFonts w:hint="eastAsia" w:ascii="宋体" w:hAnsi="宋体" w:eastAsia="宋体" w:cs="Times New Roman"/>
          <w:spacing w:val="2"/>
          <w:sz w:val="21"/>
          <w:szCs w:val="21"/>
        </w:rPr>
        <w:t>根据采购管理办法本招募公告</w:t>
      </w:r>
      <w:r>
        <w:rPr>
          <w:rFonts w:hint="eastAsia" w:ascii="宋体" w:hAnsi="宋体" w:eastAsia="宋体" w:cs="Times New Roman"/>
          <w:spacing w:val="2"/>
          <w:sz w:val="21"/>
          <w:szCs w:val="21"/>
          <w:highlight w:val="none"/>
        </w:rPr>
        <w:t>https://szyc.chinaccs.cn/portal/index</w:t>
      </w:r>
      <w:r>
        <w:rPr>
          <w:rFonts w:hint="eastAsia" w:ascii="宋体" w:hAnsi="宋体" w:eastAsia="宋体" w:cs="Times New Roman"/>
          <w:spacing w:val="2"/>
          <w:sz w:val="21"/>
          <w:szCs w:val="21"/>
          <w:highlight w:val="none"/>
          <w:lang w:eastAsia="zh-CN"/>
        </w:rPr>
        <w:t>、</w:t>
      </w:r>
      <w:r>
        <w:rPr>
          <w:rFonts w:hint="eastAsia" w:ascii="宋体" w:hAnsi="宋体" w:eastAsia="宋体" w:cs="Times New Roman"/>
          <w:spacing w:val="2"/>
          <w:sz w:val="21"/>
          <w:szCs w:val="21"/>
          <w:highlight w:val="none"/>
        </w:rPr>
        <w:t>https://www.chinabidding.cn上发</w:t>
      </w:r>
      <w:r>
        <w:rPr>
          <w:rFonts w:hint="eastAsia" w:ascii="宋体" w:hAnsi="宋体" w:eastAsia="宋体" w:cs="Times New Roman"/>
          <w:spacing w:val="2"/>
          <w:sz w:val="21"/>
          <w:szCs w:val="21"/>
        </w:rPr>
        <w:t>布，其他媒介转载无效</w:t>
      </w:r>
      <w:r>
        <w:rPr>
          <w:rFonts w:hint="eastAsia" w:ascii="宋体" w:hAnsi="宋体" w:eastAsia="宋体" w:cs="Times New Roman"/>
          <w:spacing w:val="2"/>
          <w:sz w:val="21"/>
          <w:szCs w:val="21"/>
          <w:lang w:eastAsia="zh-CN"/>
        </w:rPr>
        <w:t>。</w:t>
      </w:r>
    </w:p>
    <w:p w14:paraId="4052834D">
      <w:pPr>
        <w:pStyle w:val="15"/>
        <w:spacing w:beforeLines="0" w:afterLines="0"/>
        <w:ind w:firstLine="0" w:firstLineChars="0"/>
        <w:jc w:val="left"/>
        <w:rPr>
          <w:rFonts w:hint="eastAsia" w:ascii="宋体" w:hAnsi="宋体" w:eastAsia="宋体" w:cs="Times New Roman"/>
          <w:b/>
          <w:spacing w:val="2"/>
          <w:sz w:val="21"/>
          <w:szCs w:val="21"/>
        </w:rPr>
      </w:pPr>
      <w:r>
        <w:rPr>
          <w:rFonts w:hint="eastAsia" w:ascii="宋体" w:hAnsi="宋体" w:eastAsia="宋体" w:cs="Times New Roman"/>
          <w:b/>
          <w:spacing w:val="2"/>
          <w:sz w:val="21"/>
          <w:szCs w:val="21"/>
          <w:lang w:val="en-US" w:eastAsia="zh-CN"/>
        </w:rPr>
        <w:t>9</w:t>
      </w:r>
      <w:r>
        <w:rPr>
          <w:rFonts w:hint="eastAsia" w:ascii="宋体" w:hAnsi="宋体" w:eastAsia="宋体" w:cs="Times New Roman"/>
          <w:b/>
          <w:spacing w:val="2"/>
          <w:sz w:val="21"/>
          <w:szCs w:val="21"/>
        </w:rPr>
        <w:t>．联系方式</w:t>
      </w:r>
      <w:bookmarkEnd w:id="23"/>
      <w:bookmarkEnd w:id="24"/>
      <w:bookmarkEnd w:id="25"/>
      <w:bookmarkEnd w:id="26"/>
      <w:bookmarkEnd w:id="27"/>
    </w:p>
    <w:p w14:paraId="554DF423">
      <w:pPr>
        <w:pStyle w:val="15"/>
        <w:spacing w:beforeLines="0" w:afterLines="0"/>
        <w:ind w:firstLine="480"/>
        <w:rPr>
          <w:rFonts w:hint="eastAsia" w:ascii="宋体" w:hAnsi="宋体" w:eastAsia="宋体" w:cs="Times New Roman"/>
          <w:spacing w:val="2"/>
          <w:sz w:val="21"/>
          <w:szCs w:val="21"/>
          <w:lang w:eastAsia="zh-CN"/>
        </w:rPr>
      </w:pPr>
      <w:r>
        <w:rPr>
          <w:rFonts w:hint="eastAsia" w:ascii="宋体" w:hAnsi="宋体" w:eastAsia="宋体" w:cs="Times New Roman"/>
          <w:spacing w:val="2"/>
          <w:sz w:val="21"/>
          <w:szCs w:val="21"/>
        </w:rPr>
        <w:t>招 募 人：</w:t>
      </w:r>
      <w:r>
        <w:rPr>
          <w:rFonts w:hint="eastAsia" w:ascii="宋体" w:hAnsi="宋体" w:eastAsia="宋体" w:cs="Times New Roman"/>
          <w:spacing w:val="2"/>
          <w:sz w:val="21"/>
          <w:szCs w:val="21"/>
          <w:lang w:eastAsia="zh-CN"/>
        </w:rPr>
        <w:t>通服云链科技(浙江)有限公司</w:t>
      </w:r>
    </w:p>
    <w:p w14:paraId="7EAE1694">
      <w:pPr>
        <w:pStyle w:val="15"/>
        <w:spacing w:beforeLines="0" w:afterLines="0"/>
        <w:ind w:firstLine="480"/>
        <w:rPr>
          <w:rFonts w:hint="eastAsia" w:ascii="宋体" w:hAnsi="宋体" w:eastAsia="宋体" w:cs="Times New Roman"/>
          <w:spacing w:val="2"/>
          <w:sz w:val="21"/>
          <w:szCs w:val="21"/>
          <w:lang w:val="en-US" w:eastAsia="zh-CN"/>
        </w:rPr>
      </w:pPr>
      <w:r>
        <w:rPr>
          <w:rFonts w:hint="eastAsia" w:ascii="宋体" w:hAnsi="宋体" w:eastAsia="宋体" w:cs="Times New Roman"/>
          <w:spacing w:val="2"/>
          <w:sz w:val="21"/>
          <w:szCs w:val="21"/>
        </w:rPr>
        <w:t>地    址</w:t>
      </w:r>
      <w:r>
        <w:rPr>
          <w:rFonts w:hint="eastAsia" w:ascii="宋体" w:hAnsi="宋体" w:eastAsia="宋体" w:cs="Times New Roman"/>
          <w:spacing w:val="2"/>
          <w:sz w:val="21"/>
          <w:szCs w:val="21"/>
          <w:lang w:eastAsia="zh-CN"/>
        </w:rPr>
        <w:t>：</w:t>
      </w:r>
      <w:r>
        <w:rPr>
          <w:rFonts w:hint="eastAsia" w:ascii="宋体" w:hAnsi="宋体" w:eastAsia="宋体" w:cs="Times New Roman"/>
          <w:spacing w:val="2"/>
          <w:sz w:val="21"/>
          <w:szCs w:val="21"/>
          <w:lang w:val="en-US" w:eastAsia="zh-CN"/>
        </w:rPr>
        <w:t>福建省福州市仓山区信平路10号</w:t>
      </w:r>
    </w:p>
    <w:p w14:paraId="4F052366">
      <w:pPr>
        <w:pStyle w:val="15"/>
        <w:spacing w:beforeLines="0" w:afterLines="0"/>
        <w:ind w:firstLine="480"/>
        <w:rPr>
          <w:rFonts w:hint="eastAsia" w:ascii="宋体" w:hAnsi="宋体" w:eastAsia="宋体" w:cs="Times New Roman"/>
          <w:spacing w:val="2"/>
          <w:sz w:val="21"/>
          <w:szCs w:val="21"/>
        </w:rPr>
      </w:pPr>
      <w:r>
        <w:rPr>
          <w:rFonts w:hint="eastAsia" w:ascii="宋体" w:hAnsi="宋体" w:eastAsia="宋体" w:cs="Times New Roman"/>
          <w:spacing w:val="2"/>
          <w:sz w:val="21"/>
          <w:szCs w:val="21"/>
        </w:rPr>
        <w:t>邮    编：</w:t>
      </w:r>
      <w:r>
        <w:rPr>
          <w:rFonts w:hint="eastAsia" w:ascii="宋体" w:hAnsi="宋体" w:eastAsia="宋体" w:cs="Times New Roman"/>
          <w:spacing w:val="2"/>
          <w:sz w:val="21"/>
          <w:szCs w:val="21"/>
          <w:lang w:val="en-US" w:eastAsia="zh-CN"/>
        </w:rPr>
        <w:t>350007</w:t>
      </w:r>
    </w:p>
    <w:p w14:paraId="793F5DF6">
      <w:pPr>
        <w:pStyle w:val="15"/>
        <w:spacing w:beforeLines="0" w:afterLines="0"/>
        <w:ind w:firstLine="480"/>
        <w:rPr>
          <w:rFonts w:hint="eastAsia" w:ascii="宋体" w:hAnsi="宋体" w:eastAsia="宋体" w:cs="Times New Roman"/>
          <w:spacing w:val="2"/>
          <w:sz w:val="21"/>
          <w:szCs w:val="21"/>
        </w:rPr>
      </w:pPr>
      <w:r>
        <w:rPr>
          <w:rFonts w:hint="eastAsia" w:ascii="宋体" w:hAnsi="宋体" w:eastAsia="宋体" w:cs="Times New Roman"/>
          <w:spacing w:val="2"/>
          <w:sz w:val="21"/>
          <w:szCs w:val="21"/>
          <w:lang w:val="en-US" w:eastAsia="zh-CN"/>
        </w:rPr>
        <w:t>常态化报名以及常态化招募联系人：</w:t>
      </w:r>
      <w:r>
        <w:rPr>
          <w:rFonts w:hint="eastAsia" w:ascii="宋体" w:hAnsi="宋体" w:eastAsia="宋体" w:cs="Times New Roman"/>
          <w:spacing w:val="2"/>
          <w:sz w:val="21"/>
          <w:szCs w:val="21"/>
        </w:rPr>
        <w:t>【</w:t>
      </w:r>
      <w:r>
        <w:rPr>
          <w:rFonts w:hint="eastAsia" w:ascii="宋体" w:hAnsi="宋体" w:eastAsia="宋体" w:cs="Times New Roman"/>
          <w:spacing w:val="2"/>
          <w:sz w:val="21"/>
          <w:szCs w:val="21"/>
          <w:lang w:val="en-US" w:eastAsia="zh-CN"/>
        </w:rPr>
        <w:t>吴玲冰</w:t>
      </w:r>
      <w:r>
        <w:rPr>
          <w:rFonts w:hint="eastAsia" w:ascii="宋体" w:hAnsi="宋体" w:eastAsia="宋体" w:cs="Times New Roman"/>
          <w:spacing w:val="2"/>
          <w:sz w:val="21"/>
          <w:szCs w:val="21"/>
        </w:rPr>
        <w:t xml:space="preserve"> 】</w:t>
      </w:r>
      <w:r>
        <w:rPr>
          <w:rFonts w:hint="eastAsia" w:ascii="宋体" w:hAnsi="宋体" w:eastAsia="宋体" w:cs="Times New Roman"/>
          <w:spacing w:val="2"/>
          <w:sz w:val="21"/>
          <w:szCs w:val="21"/>
          <w:lang w:val="en-US" w:eastAsia="zh-CN"/>
        </w:rPr>
        <w:t xml:space="preserve">  电话：</w:t>
      </w:r>
      <w:r>
        <w:rPr>
          <w:rFonts w:hint="eastAsia" w:ascii="宋体" w:hAnsi="宋体" w:eastAsia="宋体" w:cs="Times New Roman"/>
          <w:spacing w:val="2"/>
          <w:sz w:val="21"/>
          <w:szCs w:val="21"/>
        </w:rPr>
        <w:t>【</w:t>
      </w:r>
      <w:r>
        <w:rPr>
          <w:rFonts w:hint="eastAsia" w:ascii="宋体" w:hAnsi="宋体" w:eastAsia="宋体" w:cs="Times New Roman"/>
          <w:spacing w:val="2"/>
          <w:sz w:val="21"/>
          <w:szCs w:val="21"/>
          <w:lang w:val="en-US" w:eastAsia="zh-CN"/>
        </w:rPr>
        <w:t>18359902967</w:t>
      </w:r>
      <w:r>
        <w:rPr>
          <w:rFonts w:hint="eastAsia" w:ascii="宋体" w:hAnsi="宋体" w:eastAsia="宋体" w:cs="Times New Roman"/>
          <w:spacing w:val="2"/>
          <w:sz w:val="21"/>
          <w:szCs w:val="21"/>
        </w:rPr>
        <w:t xml:space="preserve"> 】</w:t>
      </w:r>
    </w:p>
    <w:p w14:paraId="0C564999">
      <w:pPr>
        <w:pStyle w:val="15"/>
        <w:spacing w:beforeLines="0" w:afterLines="0"/>
        <w:ind w:firstLine="480"/>
        <w:jc w:val="left"/>
        <w:rPr>
          <w:rFonts w:hint="default" w:ascii="宋体" w:hAnsi="宋体" w:eastAsia="宋体" w:cs="Times New Roman"/>
          <w:spacing w:val="2"/>
          <w:sz w:val="21"/>
          <w:szCs w:val="21"/>
          <w:lang w:val="en-US" w:eastAsia="zh-CN"/>
        </w:rPr>
      </w:pPr>
      <w:r>
        <w:rPr>
          <w:rFonts w:hint="eastAsia" w:ascii="宋体" w:hAnsi="宋体" w:eastAsia="宋体" w:cs="Times New Roman"/>
          <w:spacing w:val="2"/>
          <w:sz w:val="21"/>
          <w:szCs w:val="21"/>
          <w:lang w:val="en-US" w:eastAsia="zh-CN"/>
        </w:rPr>
        <w:t>报名电子邮箱：</w:t>
      </w:r>
      <w:r>
        <w:rPr>
          <w:rFonts w:hint="eastAsia" w:ascii="宋体" w:hAnsi="宋体" w:eastAsia="宋体" w:cs="宋体"/>
          <w:bCs/>
          <w:sz w:val="21"/>
          <w:szCs w:val="24"/>
          <w:lang w:val="en-US" w:eastAsia="zh-CN"/>
        </w:rPr>
        <w:t>wulingbing.gyl@chinaccs.cn</w:t>
      </w:r>
    </w:p>
    <w:p w14:paraId="410E8133">
      <w:pPr>
        <w:pStyle w:val="15"/>
        <w:spacing w:beforeLines="0" w:afterLines="0"/>
        <w:ind w:firstLine="480"/>
        <w:rPr>
          <w:rFonts w:hint="eastAsia" w:ascii="宋体" w:hAnsi="宋体" w:eastAsia="宋体" w:cs="Times New Roman"/>
          <w:spacing w:val="2"/>
          <w:sz w:val="21"/>
          <w:szCs w:val="21"/>
        </w:rPr>
      </w:pPr>
      <w:r>
        <w:rPr>
          <w:rFonts w:hint="eastAsia" w:ascii="宋体" w:hAnsi="宋体" w:eastAsia="宋体" w:cs="Times New Roman"/>
          <w:spacing w:val="2"/>
          <w:sz w:val="21"/>
          <w:szCs w:val="21"/>
        </w:rPr>
        <w:t xml:space="preserve">电子邮箱（异议接收邮箱）：【  </w:t>
      </w:r>
      <w:r>
        <w:rPr>
          <w:rFonts w:hint="eastAsia" w:ascii="宋体" w:hAnsi="宋体" w:eastAsia="宋体" w:cs="Times New Roman"/>
          <w:spacing w:val="2"/>
          <w:sz w:val="21"/>
          <w:szCs w:val="21"/>
          <w:lang w:val="en-US" w:eastAsia="zh-CN"/>
        </w:rPr>
        <w:t>zhengwanxin</w:t>
      </w:r>
      <w:r>
        <w:rPr>
          <w:rFonts w:hint="eastAsia" w:ascii="宋体" w:hAnsi="宋体" w:eastAsia="宋体" w:cs="Times New Roman"/>
          <w:spacing w:val="2"/>
          <w:sz w:val="21"/>
          <w:szCs w:val="21"/>
        </w:rPr>
        <w:t>@chinaccs.cn 】</w:t>
      </w:r>
    </w:p>
    <w:p w14:paraId="248FE63A">
      <w:pPr>
        <w:pStyle w:val="15"/>
        <w:spacing w:beforeLines="0" w:afterLines="0"/>
        <w:ind w:firstLine="480"/>
        <w:rPr>
          <w:rFonts w:hint="default" w:ascii="宋体" w:hAnsi="宋体" w:eastAsia="宋体" w:cs="Times New Roman"/>
          <w:spacing w:val="2"/>
          <w:sz w:val="21"/>
          <w:szCs w:val="21"/>
          <w:lang w:val="en-US" w:eastAsia="zh-CN"/>
        </w:rPr>
      </w:pPr>
    </w:p>
    <w:p w14:paraId="74FBECF3">
      <w:pPr>
        <w:pStyle w:val="15"/>
        <w:spacing w:beforeLines="0" w:afterLines="0"/>
        <w:ind w:firstLine="480"/>
        <w:jc w:val="right"/>
        <w:rPr>
          <w:rFonts w:hint="eastAsia" w:ascii="宋体" w:hAnsi="宋体" w:eastAsia="宋体" w:cs="Times New Roman"/>
          <w:spacing w:val="2"/>
          <w:sz w:val="21"/>
          <w:szCs w:val="21"/>
          <w:lang w:val="en-US" w:eastAsia="zh-CN"/>
        </w:rPr>
      </w:pPr>
      <w:r>
        <w:rPr>
          <w:rFonts w:hint="eastAsia" w:ascii="宋体" w:hAnsi="宋体" w:eastAsia="宋体" w:cs="Times New Roman"/>
          <w:spacing w:val="2"/>
          <w:sz w:val="21"/>
          <w:szCs w:val="21"/>
          <w:lang w:val="en-US" w:eastAsia="zh-CN"/>
        </w:rPr>
        <w:t>通服云链科技(浙江)有限公司</w:t>
      </w:r>
    </w:p>
    <w:p w14:paraId="5D3EC734">
      <w:pPr>
        <w:pStyle w:val="15"/>
        <w:spacing w:beforeLines="0" w:afterLines="0"/>
        <w:ind w:firstLine="480"/>
        <w:jc w:val="right"/>
        <w:rPr>
          <w:rFonts w:hint="eastAsia" w:ascii="宋体" w:hAnsi="宋体" w:eastAsia="宋体" w:cs="Times New Roman"/>
          <w:spacing w:val="2"/>
          <w:sz w:val="21"/>
          <w:szCs w:val="21"/>
          <w:highlight w:val="none"/>
        </w:rPr>
      </w:pPr>
      <w:r>
        <w:rPr>
          <w:rFonts w:hint="eastAsia" w:ascii="宋体" w:hAnsi="宋体" w:eastAsia="宋体" w:cs="Times New Roman"/>
          <w:spacing w:val="2"/>
          <w:sz w:val="21"/>
          <w:szCs w:val="21"/>
          <w:highlight w:val="none"/>
        </w:rPr>
        <w:t>【202</w:t>
      </w:r>
      <w:r>
        <w:rPr>
          <w:rFonts w:hint="eastAsia" w:ascii="宋体" w:hAnsi="宋体" w:eastAsia="宋体" w:cs="Times New Roman"/>
          <w:spacing w:val="2"/>
          <w:sz w:val="21"/>
          <w:szCs w:val="21"/>
          <w:highlight w:val="none"/>
          <w:lang w:val="en-US" w:eastAsia="zh-CN"/>
        </w:rPr>
        <w:t>6</w:t>
      </w:r>
      <w:r>
        <w:rPr>
          <w:rFonts w:hint="eastAsia" w:ascii="宋体" w:hAnsi="宋体" w:eastAsia="宋体" w:cs="Times New Roman"/>
          <w:spacing w:val="2"/>
          <w:sz w:val="21"/>
          <w:szCs w:val="21"/>
          <w:highlight w:val="none"/>
        </w:rPr>
        <w:t>年</w:t>
      </w:r>
      <w:r>
        <w:rPr>
          <w:rFonts w:hint="eastAsia" w:ascii="宋体" w:hAnsi="宋体" w:eastAsia="宋体" w:cs="Times New Roman"/>
          <w:spacing w:val="2"/>
          <w:sz w:val="21"/>
          <w:szCs w:val="21"/>
          <w:highlight w:val="none"/>
          <w:lang w:val="en-US" w:eastAsia="zh-CN"/>
        </w:rPr>
        <w:t>1月</w:t>
      </w:r>
      <w:r>
        <w:rPr>
          <w:rFonts w:hint="eastAsia" w:ascii="宋体" w:hAnsi="宋体" w:cs="宋体"/>
          <w:sz w:val="22"/>
          <w:szCs w:val="24"/>
          <w:lang w:val="en-US" w:eastAsia="zh-CN"/>
        </w:rPr>
        <w:t>12</w:t>
      </w:r>
      <w:r>
        <w:rPr>
          <w:rFonts w:hint="eastAsia" w:ascii="宋体" w:hAnsi="宋体" w:eastAsia="宋体" w:cs="宋体"/>
          <w:sz w:val="22"/>
          <w:szCs w:val="24"/>
          <w:lang w:val="en-US" w:eastAsia="zh-CN"/>
        </w:rPr>
        <w:t>日</w:t>
      </w:r>
      <w:r>
        <w:rPr>
          <w:rFonts w:hint="eastAsia" w:ascii="宋体" w:hAnsi="宋体" w:eastAsia="宋体" w:cs="Times New Roman"/>
          <w:spacing w:val="2"/>
          <w:sz w:val="21"/>
          <w:szCs w:val="21"/>
          <w:highlight w:val="none"/>
        </w:rPr>
        <w:t>】</w:t>
      </w:r>
    </w:p>
    <w:p w14:paraId="0E39DDA9">
      <w:pPr>
        <w:pStyle w:val="15"/>
        <w:ind w:firstLine="48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Times New Roman"/>
          <w:spacing w:val="2"/>
          <w:szCs w:val="21"/>
          <w:u w:val="single"/>
        </w:rPr>
        <w:br w:type="page"/>
      </w:r>
    </w:p>
    <w:tbl>
      <w:tblPr>
        <w:tblStyle w:val="13"/>
        <w:tblpPr w:leftFromText="180" w:rightFromText="180" w:vertAnchor="text" w:horzAnchor="page" w:tblpX="1853" w:tblpY="-18"/>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60"/>
        <w:gridCol w:w="2529"/>
        <w:gridCol w:w="1805"/>
        <w:gridCol w:w="2328"/>
      </w:tblGrid>
      <w:tr w14:paraId="03972C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4"/>
            <w:tcBorders>
              <w:bottom w:val="nil"/>
            </w:tcBorders>
            <w:noWrap/>
            <w:vAlign w:val="center"/>
          </w:tcPr>
          <w:p w14:paraId="22484C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招募文件获取登记表</w:t>
            </w:r>
          </w:p>
        </w:tc>
      </w:tr>
      <w:tr w14:paraId="0D28E9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91" w:type="pct"/>
            <w:tcBorders>
              <w:top w:val="single" w:color="000000" w:sz="4" w:space="0"/>
              <w:bottom w:val="single" w:color="000000" w:sz="4" w:space="0"/>
              <w:right w:val="single" w:color="000000" w:sz="4" w:space="0"/>
            </w:tcBorders>
            <w:noWrap/>
            <w:vAlign w:val="center"/>
          </w:tcPr>
          <w:p w14:paraId="19189A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项目名称</w:t>
            </w:r>
          </w:p>
        </w:tc>
        <w:tc>
          <w:tcPr>
            <w:tcW w:w="3908" w:type="pct"/>
            <w:gridSpan w:val="3"/>
            <w:tcBorders>
              <w:top w:val="single" w:color="000000" w:sz="4" w:space="0"/>
              <w:left w:val="single" w:color="000000" w:sz="4" w:space="0"/>
              <w:bottom w:val="single" w:color="000000" w:sz="4" w:space="0"/>
            </w:tcBorders>
            <w:noWrap w:val="0"/>
            <w:vAlign w:val="center"/>
          </w:tcPr>
          <w:p w14:paraId="5BB3E060">
            <w:pPr>
              <w:keepNext w:val="0"/>
              <w:keepLines w:val="0"/>
              <w:widowControl/>
              <w:suppressLineNumbers w:val="0"/>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通服云链科技(浙江)有限公司202</w:t>
            </w:r>
            <w:r>
              <w:rPr>
                <w:rFonts w:hint="eastAsia" w:ascii="宋体" w:hAnsi="宋体" w:eastAsia="宋体" w:cs="宋体"/>
                <w:color w:val="000000"/>
                <w:kern w:val="0"/>
                <w:sz w:val="24"/>
                <w:lang w:val="en-US" w:eastAsia="zh-CN" w:bidi="ar"/>
              </w:rPr>
              <w:t>6</w:t>
            </w:r>
            <w:r>
              <w:rPr>
                <w:rFonts w:hint="eastAsia" w:ascii="宋体" w:hAnsi="宋体" w:eastAsia="宋体" w:cs="宋体"/>
                <w:color w:val="000000"/>
                <w:kern w:val="0"/>
                <w:sz w:val="24"/>
                <w:lang w:bidi="ar"/>
              </w:rPr>
              <w:t>年电商平台（福建省）</w:t>
            </w:r>
          </w:p>
          <w:p w14:paraId="02E368A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lang w:bidi="ar"/>
              </w:rPr>
              <w:t>合作供应商招募</w:t>
            </w:r>
          </w:p>
        </w:tc>
      </w:tr>
      <w:tr w14:paraId="72587B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091" w:type="pct"/>
            <w:tcBorders>
              <w:top w:val="single" w:color="000000" w:sz="4" w:space="0"/>
              <w:bottom w:val="single" w:color="000000" w:sz="4" w:space="0"/>
              <w:right w:val="single" w:color="000000" w:sz="4" w:space="0"/>
            </w:tcBorders>
            <w:noWrap/>
            <w:vAlign w:val="center"/>
          </w:tcPr>
          <w:p w14:paraId="5D847D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招募编号</w:t>
            </w:r>
          </w:p>
        </w:tc>
        <w:tc>
          <w:tcPr>
            <w:tcW w:w="3908" w:type="pct"/>
            <w:gridSpan w:val="3"/>
            <w:tcBorders>
              <w:top w:val="single" w:color="000000" w:sz="4" w:space="0"/>
              <w:left w:val="single" w:color="000000" w:sz="4" w:space="0"/>
              <w:bottom w:val="single" w:color="000000" w:sz="4" w:space="0"/>
            </w:tcBorders>
            <w:noWrap w:val="0"/>
            <w:vAlign w:val="center"/>
          </w:tcPr>
          <w:p w14:paraId="29592B2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FJZT-2026-10036</w:t>
            </w:r>
            <w:bookmarkStart w:id="28" w:name="_GoBack"/>
            <w:bookmarkEnd w:id="28"/>
            <w:r>
              <w:rPr>
                <w:rFonts w:hint="eastAsia" w:ascii="宋体" w:hAnsi="宋体" w:eastAsia="宋体" w:cs="宋体"/>
                <w:i w:val="0"/>
                <w:iCs w:val="0"/>
                <w:color w:val="000000"/>
                <w:kern w:val="0"/>
                <w:sz w:val="24"/>
                <w:szCs w:val="24"/>
                <w:u w:val="none"/>
                <w:lang w:val="en-US" w:eastAsia="zh-CN" w:bidi="ar"/>
              </w:rPr>
              <w:t xml:space="preserve"> </w:t>
            </w:r>
          </w:p>
        </w:tc>
      </w:tr>
      <w:tr w14:paraId="11C474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000" w:type="pct"/>
            <w:gridSpan w:val="4"/>
            <w:tcBorders>
              <w:top w:val="single" w:color="000000" w:sz="4" w:space="0"/>
              <w:bottom w:val="single" w:color="auto" w:sz="4" w:space="0"/>
            </w:tcBorders>
            <w:noWrap/>
            <w:vAlign w:val="center"/>
          </w:tcPr>
          <w:p w14:paraId="7B38B4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购买招募文件单位信息</w:t>
            </w:r>
          </w:p>
        </w:tc>
      </w:tr>
      <w:tr w14:paraId="18E919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091" w:type="pct"/>
            <w:tcBorders>
              <w:top w:val="single" w:color="auto" w:sz="4" w:space="0"/>
              <w:bottom w:val="single" w:color="auto" w:sz="4" w:space="0"/>
              <w:right w:val="single" w:color="auto" w:sz="4" w:space="0"/>
            </w:tcBorders>
            <w:noWrap/>
            <w:vAlign w:val="center"/>
          </w:tcPr>
          <w:p w14:paraId="33ABB2D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单位名称       </w:t>
            </w:r>
          </w:p>
        </w:tc>
        <w:tc>
          <w:tcPr>
            <w:tcW w:w="3908" w:type="pct"/>
            <w:gridSpan w:val="3"/>
            <w:tcBorders>
              <w:top w:val="single" w:color="auto" w:sz="4" w:space="0"/>
              <w:left w:val="single" w:color="auto" w:sz="4" w:space="0"/>
              <w:bottom w:val="single" w:color="auto" w:sz="4" w:space="0"/>
            </w:tcBorders>
            <w:noWrap/>
            <w:vAlign w:val="center"/>
          </w:tcPr>
          <w:p w14:paraId="12EE1E9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65608C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091" w:type="pct"/>
            <w:tcBorders>
              <w:top w:val="single" w:color="auto" w:sz="4" w:space="0"/>
              <w:bottom w:val="single" w:color="000000" w:sz="4" w:space="0"/>
              <w:right w:val="single" w:color="000000" w:sz="4" w:space="0"/>
            </w:tcBorders>
            <w:noWrap/>
            <w:vAlign w:val="center"/>
          </w:tcPr>
          <w:p w14:paraId="1D6DDA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项目负责人</w:t>
            </w:r>
          </w:p>
        </w:tc>
        <w:tc>
          <w:tcPr>
            <w:tcW w:w="1484" w:type="pct"/>
            <w:tcBorders>
              <w:top w:val="single" w:color="auto" w:sz="4" w:space="0"/>
              <w:left w:val="single" w:color="000000" w:sz="4" w:space="0"/>
              <w:bottom w:val="single" w:color="000000" w:sz="4" w:space="0"/>
              <w:right w:val="single" w:color="000000" w:sz="4" w:space="0"/>
            </w:tcBorders>
            <w:noWrap w:val="0"/>
            <w:vAlign w:val="center"/>
          </w:tcPr>
          <w:p w14:paraId="3CF536D7">
            <w:pPr>
              <w:jc w:val="center"/>
              <w:rPr>
                <w:rFonts w:hint="eastAsia" w:ascii="宋体" w:hAnsi="宋体" w:eastAsia="宋体" w:cs="宋体"/>
                <w:i w:val="0"/>
                <w:iCs w:val="0"/>
                <w:color w:val="000000"/>
                <w:kern w:val="0"/>
                <w:sz w:val="24"/>
                <w:szCs w:val="24"/>
                <w:u w:val="none"/>
                <w:lang w:val="en-US" w:eastAsia="zh-CN" w:bidi="ar"/>
              </w:rPr>
            </w:pPr>
          </w:p>
        </w:tc>
        <w:tc>
          <w:tcPr>
            <w:tcW w:w="1059" w:type="pct"/>
            <w:tcBorders>
              <w:top w:val="single" w:color="auto" w:sz="4" w:space="0"/>
              <w:left w:val="single" w:color="000000" w:sz="4" w:space="0"/>
              <w:bottom w:val="single" w:color="000000" w:sz="4" w:space="0"/>
              <w:right w:val="single" w:color="000000" w:sz="4" w:space="0"/>
            </w:tcBorders>
            <w:noWrap w:val="0"/>
            <w:vAlign w:val="center"/>
          </w:tcPr>
          <w:p w14:paraId="44C7FB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办公电话/传真</w:t>
            </w:r>
          </w:p>
        </w:tc>
        <w:tc>
          <w:tcPr>
            <w:tcW w:w="1364" w:type="pct"/>
            <w:tcBorders>
              <w:top w:val="single" w:color="auto" w:sz="4" w:space="0"/>
              <w:left w:val="single" w:color="000000" w:sz="4" w:space="0"/>
              <w:bottom w:val="single" w:color="000000" w:sz="4" w:space="0"/>
            </w:tcBorders>
            <w:noWrap w:val="0"/>
            <w:vAlign w:val="center"/>
          </w:tcPr>
          <w:p w14:paraId="151E46C3">
            <w:pPr>
              <w:jc w:val="center"/>
              <w:rPr>
                <w:rFonts w:hint="eastAsia" w:ascii="宋体" w:hAnsi="宋体" w:eastAsia="宋体" w:cs="宋体"/>
                <w:i w:val="0"/>
                <w:iCs w:val="0"/>
                <w:color w:val="000000"/>
                <w:kern w:val="0"/>
                <w:sz w:val="24"/>
                <w:szCs w:val="24"/>
                <w:u w:val="none"/>
                <w:lang w:val="en-US" w:eastAsia="zh-CN" w:bidi="ar"/>
              </w:rPr>
            </w:pPr>
          </w:p>
        </w:tc>
      </w:tr>
      <w:tr w14:paraId="14D3CF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091" w:type="pct"/>
            <w:tcBorders>
              <w:top w:val="single" w:color="000000" w:sz="4" w:space="0"/>
              <w:bottom w:val="single" w:color="000000" w:sz="4" w:space="0"/>
              <w:right w:val="single" w:color="000000" w:sz="4" w:space="0"/>
            </w:tcBorders>
            <w:noWrap w:val="0"/>
            <w:vAlign w:val="center"/>
          </w:tcPr>
          <w:p w14:paraId="72F876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移动电话</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5350CFD4">
            <w:pPr>
              <w:jc w:val="center"/>
              <w:rPr>
                <w:rFonts w:hint="eastAsia" w:ascii="宋体" w:hAnsi="宋体" w:eastAsia="宋体" w:cs="宋体"/>
                <w:i w:val="0"/>
                <w:iCs w:val="0"/>
                <w:color w:val="000000"/>
                <w:kern w:val="0"/>
                <w:sz w:val="24"/>
                <w:szCs w:val="24"/>
                <w:u w:val="none"/>
                <w:lang w:val="en-US" w:eastAsia="zh-CN" w:bidi="ar"/>
              </w:rPr>
            </w:pPr>
          </w:p>
        </w:tc>
        <w:tc>
          <w:tcPr>
            <w:tcW w:w="1059" w:type="pct"/>
            <w:tcBorders>
              <w:top w:val="single" w:color="000000" w:sz="4" w:space="0"/>
              <w:left w:val="single" w:color="000000" w:sz="4" w:space="0"/>
              <w:bottom w:val="single" w:color="000000" w:sz="4" w:space="0"/>
              <w:right w:val="single" w:color="000000" w:sz="4" w:space="0"/>
            </w:tcBorders>
            <w:noWrap/>
            <w:vAlign w:val="center"/>
          </w:tcPr>
          <w:p w14:paraId="694C3F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电子邮箱</w:t>
            </w:r>
          </w:p>
        </w:tc>
        <w:tc>
          <w:tcPr>
            <w:tcW w:w="1364" w:type="pct"/>
            <w:tcBorders>
              <w:top w:val="single" w:color="000000" w:sz="4" w:space="0"/>
              <w:left w:val="single" w:color="000000" w:sz="4" w:space="0"/>
              <w:bottom w:val="single" w:color="000000" w:sz="4" w:space="0"/>
            </w:tcBorders>
            <w:noWrap w:val="0"/>
            <w:vAlign w:val="center"/>
          </w:tcPr>
          <w:p w14:paraId="179DB1FE">
            <w:pPr>
              <w:jc w:val="center"/>
              <w:rPr>
                <w:rFonts w:hint="eastAsia" w:ascii="宋体" w:hAnsi="宋体" w:eastAsia="宋体" w:cs="宋体"/>
                <w:i w:val="0"/>
                <w:iCs w:val="0"/>
                <w:color w:val="000000"/>
                <w:kern w:val="0"/>
                <w:sz w:val="24"/>
                <w:szCs w:val="24"/>
                <w:u w:val="none"/>
                <w:lang w:val="en-US" w:eastAsia="zh-CN" w:bidi="ar"/>
              </w:rPr>
            </w:pPr>
          </w:p>
        </w:tc>
      </w:tr>
      <w:tr w14:paraId="42AA8D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1091" w:type="pct"/>
            <w:tcBorders>
              <w:top w:val="single" w:color="000000" w:sz="4" w:space="0"/>
              <w:bottom w:val="single" w:color="000000" w:sz="4" w:space="0"/>
              <w:right w:val="single" w:color="000000" w:sz="4" w:space="0"/>
            </w:tcBorders>
            <w:noWrap/>
            <w:vAlign w:val="center"/>
          </w:tcPr>
          <w:p w14:paraId="6DABF3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获取时间</w:t>
            </w:r>
          </w:p>
        </w:tc>
        <w:tc>
          <w:tcPr>
            <w:tcW w:w="1484" w:type="pct"/>
            <w:tcBorders>
              <w:top w:val="single" w:color="000000" w:sz="4" w:space="0"/>
              <w:left w:val="single" w:color="000000" w:sz="4" w:space="0"/>
              <w:bottom w:val="single" w:color="000000" w:sz="4" w:space="0"/>
              <w:right w:val="single" w:color="000000" w:sz="4" w:space="0"/>
            </w:tcBorders>
            <w:noWrap w:val="0"/>
            <w:vAlign w:val="center"/>
          </w:tcPr>
          <w:p w14:paraId="0F319BA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059" w:type="pct"/>
            <w:tcBorders>
              <w:top w:val="single" w:color="000000" w:sz="4" w:space="0"/>
              <w:left w:val="single" w:color="000000" w:sz="4" w:space="0"/>
              <w:bottom w:val="single" w:color="000000" w:sz="4" w:space="0"/>
              <w:right w:val="single" w:color="000000" w:sz="4" w:space="0"/>
            </w:tcBorders>
            <w:noWrap w:val="0"/>
            <w:vAlign w:val="center"/>
          </w:tcPr>
          <w:p w14:paraId="4FA017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招募文件费用</w:t>
            </w:r>
          </w:p>
        </w:tc>
        <w:tc>
          <w:tcPr>
            <w:tcW w:w="1364" w:type="pct"/>
            <w:tcBorders>
              <w:top w:val="single" w:color="000000" w:sz="4" w:space="0"/>
              <w:left w:val="nil"/>
              <w:bottom w:val="single" w:color="000000" w:sz="4" w:space="0"/>
            </w:tcBorders>
            <w:noWrap w:val="0"/>
            <w:vAlign w:val="center"/>
          </w:tcPr>
          <w:p w14:paraId="6FBC4B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200元</w:t>
            </w:r>
          </w:p>
        </w:tc>
      </w:tr>
      <w:tr w14:paraId="4C4EFF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91" w:type="pct"/>
            <w:tcBorders>
              <w:top w:val="single" w:color="000000" w:sz="4" w:space="0"/>
              <w:bottom w:val="single" w:color="000000" w:sz="4" w:space="0"/>
              <w:right w:val="single" w:color="000000" w:sz="4" w:space="0"/>
            </w:tcBorders>
            <w:noWrap w:val="0"/>
            <w:vAlign w:val="center"/>
          </w:tcPr>
          <w:p w14:paraId="2F5914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6"/>
                <w:lang w:val="en-US" w:eastAsia="zh-CN" w:bidi="ar"/>
              </w:rPr>
              <w:t>联系人</w:t>
            </w:r>
            <w:r>
              <w:rPr>
                <w:rStyle w:val="16"/>
                <w:lang w:val="en-US" w:eastAsia="zh-CN" w:bidi="ar"/>
              </w:rPr>
              <w:br w:type="textWrapping"/>
            </w:r>
            <w:r>
              <w:rPr>
                <w:rStyle w:val="17"/>
                <w:lang w:val="en-US" w:eastAsia="zh-CN" w:bidi="ar"/>
              </w:rPr>
              <w:t>(需为项目授权代表）</w:t>
            </w:r>
          </w:p>
        </w:tc>
        <w:tc>
          <w:tcPr>
            <w:tcW w:w="3908" w:type="pct"/>
            <w:gridSpan w:val="3"/>
            <w:tcBorders>
              <w:top w:val="single" w:color="000000" w:sz="4" w:space="0"/>
              <w:left w:val="single" w:color="000000" w:sz="4" w:space="0"/>
              <w:bottom w:val="single" w:color="000000" w:sz="4" w:space="0"/>
            </w:tcBorders>
            <w:noWrap/>
            <w:vAlign w:val="center"/>
          </w:tcPr>
          <w:p w14:paraId="3C99F58E">
            <w:pPr>
              <w:jc w:val="center"/>
              <w:rPr>
                <w:rFonts w:hint="eastAsia" w:ascii="宋体" w:hAnsi="宋体" w:eastAsia="宋体" w:cs="宋体"/>
                <w:i w:val="0"/>
                <w:iCs w:val="0"/>
                <w:color w:val="000000"/>
                <w:sz w:val="24"/>
                <w:szCs w:val="24"/>
                <w:u w:val="none"/>
              </w:rPr>
            </w:pPr>
          </w:p>
        </w:tc>
      </w:tr>
      <w:tr w14:paraId="13A0E0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5" w:hRule="atLeast"/>
        </w:trPr>
        <w:tc>
          <w:tcPr>
            <w:tcW w:w="1091" w:type="pct"/>
            <w:tcBorders>
              <w:top w:val="single" w:color="000000" w:sz="4" w:space="0"/>
              <w:bottom w:val="single" w:color="000000" w:sz="4" w:space="0"/>
              <w:right w:val="single" w:color="000000" w:sz="4" w:space="0"/>
            </w:tcBorders>
            <w:noWrap w:val="0"/>
            <w:vAlign w:val="center"/>
          </w:tcPr>
          <w:p w14:paraId="070B38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是否开具增值税专用发票</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0DE1FA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   □否</w:t>
            </w:r>
          </w:p>
        </w:tc>
        <w:tc>
          <w:tcPr>
            <w:tcW w:w="2424" w:type="pct"/>
            <w:gridSpan w:val="2"/>
            <w:tcBorders>
              <w:top w:val="single" w:color="000000" w:sz="4" w:space="0"/>
              <w:left w:val="single" w:color="000000" w:sz="4" w:space="0"/>
              <w:bottom w:val="single" w:color="000000" w:sz="4" w:space="0"/>
            </w:tcBorders>
            <w:noWrap w:val="0"/>
            <w:vAlign w:val="center"/>
          </w:tcPr>
          <w:p w14:paraId="231E13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7"/>
                <w:lang w:val="en-US" w:eastAsia="zh-CN" w:bidi="ar"/>
              </w:rPr>
              <w:t>注：客户首次申请开具增值税</w:t>
            </w:r>
            <w:r>
              <w:rPr>
                <w:rStyle w:val="18"/>
                <w:lang w:val="en-US" w:eastAsia="zh-CN" w:bidi="ar"/>
              </w:rPr>
              <w:t>专用</w:t>
            </w:r>
            <w:r>
              <w:rPr>
                <w:rStyle w:val="17"/>
                <w:lang w:val="en-US" w:eastAsia="zh-CN" w:bidi="ar"/>
              </w:rPr>
              <w:t>发票，应提供如下资料并</w:t>
            </w:r>
            <w:r>
              <w:rPr>
                <w:rStyle w:val="18"/>
                <w:lang w:val="en-US" w:eastAsia="zh-CN" w:bidi="ar"/>
              </w:rPr>
              <w:t>加盖公章：</w:t>
            </w:r>
            <w:r>
              <w:rPr>
                <w:rStyle w:val="18"/>
                <w:lang w:val="en-US" w:eastAsia="zh-CN" w:bidi="ar"/>
              </w:rPr>
              <w:br w:type="textWrapping"/>
            </w:r>
            <w:r>
              <w:rPr>
                <w:rStyle w:val="17"/>
                <w:lang w:val="en-US" w:eastAsia="zh-CN" w:bidi="ar"/>
              </w:rPr>
              <w:t>1、增值税一般纳税人资格证明复印件</w:t>
            </w:r>
            <w:r>
              <w:rPr>
                <w:rStyle w:val="17"/>
                <w:lang w:val="en-US" w:eastAsia="zh-CN" w:bidi="ar"/>
              </w:rPr>
              <w:br w:type="textWrapping"/>
            </w:r>
            <w:r>
              <w:rPr>
                <w:rStyle w:val="17"/>
                <w:lang w:val="en-US" w:eastAsia="zh-CN" w:bidi="ar"/>
              </w:rPr>
              <w:t>2、营业执照副本复印件（未“三证合一”的一般纳税人需提供税务登记证副本）</w:t>
            </w:r>
            <w:r>
              <w:rPr>
                <w:rStyle w:val="17"/>
                <w:lang w:val="en-US" w:eastAsia="zh-CN" w:bidi="ar"/>
              </w:rPr>
              <w:br w:type="textWrapping"/>
            </w:r>
            <w:r>
              <w:rPr>
                <w:rStyle w:val="17"/>
                <w:lang w:val="en-US" w:eastAsia="zh-CN" w:bidi="ar"/>
              </w:rPr>
              <w:t>3、开票信息（单位的名称、税号、地址和电话、开户银行及账号）</w:t>
            </w:r>
            <w:r>
              <w:rPr>
                <w:rStyle w:val="17"/>
                <w:lang w:val="en-US" w:eastAsia="zh-CN" w:bidi="ar"/>
              </w:rPr>
              <w:br w:type="textWrapping"/>
            </w:r>
            <w:r>
              <w:rPr>
                <w:rStyle w:val="17"/>
                <w:lang w:val="en-US" w:eastAsia="zh-CN" w:bidi="ar"/>
              </w:rPr>
              <w:t>4、经办人员身份证复印件</w:t>
            </w:r>
          </w:p>
        </w:tc>
      </w:tr>
      <w:tr w14:paraId="665632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091" w:type="pct"/>
            <w:tcBorders>
              <w:top w:val="single" w:color="000000" w:sz="4" w:space="0"/>
              <w:bottom w:val="single" w:color="000000" w:sz="4" w:space="0"/>
              <w:right w:val="single" w:color="000000" w:sz="4" w:space="0"/>
            </w:tcBorders>
            <w:noWrap/>
            <w:vAlign w:val="center"/>
          </w:tcPr>
          <w:p w14:paraId="706200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    期</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4EFB79BB">
            <w:pPr>
              <w:jc w:val="center"/>
              <w:rPr>
                <w:rFonts w:hint="eastAsia" w:ascii="宋体" w:hAnsi="宋体" w:eastAsia="宋体" w:cs="宋体"/>
                <w:i w:val="0"/>
                <w:iCs w:val="0"/>
                <w:color w:val="000000"/>
                <w:sz w:val="24"/>
                <w:szCs w:val="24"/>
                <w:u w:val="none"/>
              </w:rPr>
            </w:pPr>
          </w:p>
        </w:tc>
        <w:tc>
          <w:tcPr>
            <w:tcW w:w="2424" w:type="pct"/>
            <w:gridSpan w:val="2"/>
            <w:vMerge w:val="restart"/>
            <w:tcBorders>
              <w:top w:val="single" w:color="000000" w:sz="4" w:space="0"/>
              <w:left w:val="single" w:color="000000" w:sz="4" w:space="0"/>
              <w:bottom w:val="single" w:color="000000" w:sz="4" w:space="0"/>
            </w:tcBorders>
            <w:noWrap w:val="0"/>
            <w:vAlign w:val="top"/>
          </w:tcPr>
          <w:p w14:paraId="7C6AA77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获取人签名:</w:t>
            </w:r>
          </w:p>
        </w:tc>
      </w:tr>
      <w:tr w14:paraId="42F443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91" w:type="pct"/>
            <w:tcBorders>
              <w:top w:val="single" w:color="000000" w:sz="4" w:space="0"/>
              <w:right w:val="single" w:color="000000" w:sz="4" w:space="0"/>
            </w:tcBorders>
            <w:noWrap/>
            <w:vAlign w:val="center"/>
          </w:tcPr>
          <w:p w14:paraId="28B716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    注</w:t>
            </w:r>
          </w:p>
        </w:tc>
        <w:tc>
          <w:tcPr>
            <w:tcW w:w="1484" w:type="pct"/>
            <w:tcBorders>
              <w:top w:val="single" w:color="000000" w:sz="4" w:space="0"/>
              <w:left w:val="single" w:color="000000" w:sz="4" w:space="0"/>
              <w:right w:val="single" w:color="000000" w:sz="4" w:space="0"/>
            </w:tcBorders>
            <w:noWrap/>
            <w:vAlign w:val="center"/>
          </w:tcPr>
          <w:p w14:paraId="4093085F">
            <w:pPr>
              <w:jc w:val="center"/>
              <w:rPr>
                <w:rFonts w:hint="eastAsia" w:ascii="宋体" w:hAnsi="宋体" w:eastAsia="宋体" w:cs="宋体"/>
                <w:i w:val="0"/>
                <w:iCs w:val="0"/>
                <w:color w:val="000000"/>
                <w:sz w:val="24"/>
                <w:szCs w:val="24"/>
                <w:u w:val="none"/>
              </w:rPr>
            </w:pPr>
          </w:p>
        </w:tc>
        <w:tc>
          <w:tcPr>
            <w:tcW w:w="2424" w:type="pct"/>
            <w:gridSpan w:val="2"/>
            <w:vMerge w:val="continue"/>
            <w:tcBorders>
              <w:top w:val="single" w:color="000000" w:sz="4" w:space="0"/>
              <w:left w:val="single" w:color="000000" w:sz="4" w:space="0"/>
            </w:tcBorders>
            <w:noWrap w:val="0"/>
            <w:vAlign w:val="top"/>
          </w:tcPr>
          <w:p w14:paraId="27DEA7FB">
            <w:pPr>
              <w:jc w:val="left"/>
              <w:rPr>
                <w:rFonts w:hint="eastAsia" w:ascii="宋体" w:hAnsi="宋体" w:eastAsia="宋体" w:cs="宋体"/>
                <w:i w:val="0"/>
                <w:iCs w:val="0"/>
                <w:color w:val="000000"/>
                <w:sz w:val="24"/>
                <w:szCs w:val="24"/>
                <w:u w:val="none"/>
              </w:rPr>
            </w:pPr>
          </w:p>
        </w:tc>
      </w:tr>
    </w:tbl>
    <w:p w14:paraId="6CDCA71E"/>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8098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8833741">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6883374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6E552C"/>
    <w:rsid w:val="2A6E552C"/>
    <w:rsid w:val="33AE7798"/>
    <w:rsid w:val="51326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line="415" w:lineRule="auto"/>
      <w:outlineLvl w:val="0"/>
    </w:pPr>
  </w:style>
  <w:style w:type="character" w:default="1" w:styleId="14">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3">
    <w:name w:val="Normal Indent"/>
    <w:basedOn w:val="1"/>
    <w:next w:val="1"/>
    <w:semiHidden/>
    <w:qFormat/>
    <w:uiPriority w:val="0"/>
    <w:pPr>
      <w:ind w:firstLine="420" w:firstLineChars="200"/>
    </w:pPr>
  </w:style>
  <w:style w:type="paragraph" w:styleId="4">
    <w:name w:val="Body Text"/>
    <w:basedOn w:val="1"/>
    <w:next w:val="1"/>
    <w:semiHidden/>
    <w:qFormat/>
    <w:uiPriority w:val="0"/>
    <w:pPr>
      <w:spacing w:after="120"/>
    </w:pPr>
  </w:style>
  <w:style w:type="paragraph" w:styleId="5">
    <w:name w:val="toc 3"/>
    <w:basedOn w:val="1"/>
    <w:next w:val="1"/>
    <w:qFormat/>
    <w:uiPriority w:val="39"/>
    <w:pPr>
      <w:ind w:left="840" w:leftChars="400"/>
    </w:pPr>
  </w:style>
  <w:style w:type="paragraph" w:styleId="6">
    <w:name w:val="Plain Text"/>
    <w:basedOn w:val="1"/>
    <w:qFormat/>
    <w:uiPriority w:val="0"/>
    <w:rPr>
      <w:rFonts w:ascii="宋体" w:hAnsi="Courier New" w:cs="Courier New"/>
      <w:szCs w:val="21"/>
    </w:rPr>
  </w:style>
  <w:style w:type="paragraph" w:styleId="7">
    <w:name w:val="Body Text Indent 2"/>
    <w:basedOn w:val="1"/>
    <w:next w:val="8"/>
    <w:qFormat/>
    <w:uiPriority w:val="0"/>
    <w:pPr>
      <w:spacing w:after="120" w:afterLines="0" w:line="480" w:lineRule="auto"/>
      <w:ind w:left="420" w:leftChars="200"/>
    </w:pPr>
  </w:style>
  <w:style w:type="paragraph" w:customStyle="1" w:styleId="8">
    <w:name w:val="z正文"/>
    <w:basedOn w:val="6"/>
    <w:qFormat/>
    <w:uiPriority w:val="99"/>
    <w:pPr>
      <w:tabs>
        <w:tab w:val="left" w:pos="525"/>
      </w:tabs>
      <w:snapToGrid w:val="0"/>
      <w:spacing w:line="360" w:lineRule="auto"/>
    </w:pPr>
    <w:rPr>
      <w:rFonts w:hAnsi="宋体" w:eastAsia="宋体"/>
      <w:kern w:val="2"/>
      <w:sz w:val="24"/>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toc 1"/>
    <w:basedOn w:val="1"/>
    <w:next w:val="1"/>
    <w:qFormat/>
    <w:uiPriority w:val="39"/>
    <w:pPr>
      <w:spacing w:line="440" w:lineRule="exact"/>
    </w:pPr>
  </w:style>
  <w:style w:type="paragraph" w:styleId="11">
    <w:name w:val="toc 2"/>
    <w:basedOn w:val="1"/>
    <w:next w:val="1"/>
    <w:qFormat/>
    <w:uiPriority w:val="39"/>
    <w:pPr>
      <w:ind w:left="420" w:leftChars="200"/>
    </w:pPr>
  </w:style>
  <w:style w:type="paragraph" w:styleId="12">
    <w:name w:val="Body Text First Indent"/>
    <w:basedOn w:val="4"/>
    <w:next w:val="7"/>
    <w:qFormat/>
    <w:uiPriority w:val="99"/>
    <w:pPr>
      <w:ind w:firstLine="420" w:firstLineChars="100"/>
    </w:pPr>
  </w:style>
  <w:style w:type="paragraph" w:customStyle="1" w:styleId="15">
    <w:name w:val="正文00"/>
    <w:basedOn w:val="1"/>
    <w:qFormat/>
    <w:uiPriority w:val="0"/>
    <w:pPr>
      <w:topLinePunct/>
      <w:spacing w:line="360" w:lineRule="auto"/>
      <w:ind w:firstLine="200" w:firstLineChars="200"/>
    </w:pPr>
    <w:rPr>
      <w:sz w:val="24"/>
      <w:szCs w:val="28"/>
    </w:rPr>
  </w:style>
  <w:style w:type="character" w:customStyle="1" w:styleId="16">
    <w:name w:val="font01"/>
    <w:basedOn w:val="14"/>
    <w:qFormat/>
    <w:uiPriority w:val="0"/>
    <w:rPr>
      <w:rFonts w:hint="eastAsia" w:ascii="宋体" w:hAnsi="宋体" w:eastAsia="宋体" w:cs="宋体"/>
      <w:color w:val="000000"/>
      <w:sz w:val="24"/>
      <w:szCs w:val="24"/>
      <w:u w:val="none"/>
    </w:rPr>
  </w:style>
  <w:style w:type="character" w:customStyle="1" w:styleId="17">
    <w:name w:val="font41"/>
    <w:basedOn w:val="14"/>
    <w:qFormat/>
    <w:uiPriority w:val="0"/>
    <w:rPr>
      <w:rFonts w:hint="eastAsia" w:ascii="宋体" w:hAnsi="宋体" w:eastAsia="宋体" w:cs="宋体"/>
      <w:color w:val="000000"/>
      <w:sz w:val="20"/>
      <w:szCs w:val="20"/>
      <w:u w:val="none"/>
    </w:rPr>
  </w:style>
  <w:style w:type="character" w:customStyle="1" w:styleId="18">
    <w:name w:val="font51"/>
    <w:basedOn w:val="14"/>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6493</Words>
  <Characters>6879</Characters>
  <Lines>0</Lines>
  <Paragraphs>0</Paragraphs>
  <TotalTime>0</TotalTime>
  <ScaleCrop>false</ScaleCrop>
  <LinksUpToDate>false</LinksUpToDate>
  <CharactersWithSpaces>6950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2026-01-12T01:00:00Z</dcterms:created>
  <dc:creator>HONOR</dc:creator>
  <cp:lastModifiedBy>HONOR</cp:lastModifiedBy>
  <dcterms:modified xsi:type="dcterms:W3CDTF">2026-01-12T01:25:33Z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C89EC56A4AD24992A51F659E6BD121EF_11</vt:lpwstr>
  </property>
  <property fmtid="{D5CDD505-2E9C-101B-9397-08002B2CF9AE}" pid="4" name="KSOTemplateDocerSaveRecord">
    <vt:lpwstr>eyJoZGlkIjoiZjFmZWIzNDg2MmIzZjExOTIzMmViNTBmYTMwYTk0ZWYiLCJ1c2VySWQiOiIxNTIwODUzMzgwIn0=</vt:lpwstr>
  </property>
</Properties>
</file>