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76113">
      <w:pPr>
        <w:pStyle w:val="9"/>
        <w:keepNext/>
        <w:keepLines/>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b/>
          <w:bCs w:val="0"/>
          <w:color w:val="auto"/>
          <w:kern w:val="0"/>
          <w:sz w:val="28"/>
          <w:szCs w:val="28"/>
          <w:highlight w:val="none"/>
          <w:lang w:val="en-US" w:eastAsia="zh-CN"/>
        </w:rPr>
      </w:pPr>
      <w:bookmarkStart w:id="0" w:name="_Toc23705"/>
      <w:bookmarkStart w:id="1" w:name="_Toc11326"/>
      <w:r>
        <w:rPr>
          <w:rFonts w:hint="eastAsia" w:ascii="宋体" w:hAnsi="宋体" w:eastAsia="宋体" w:cs="宋体"/>
          <w:b/>
          <w:bCs w:val="0"/>
          <w:color w:val="auto"/>
          <w:kern w:val="0"/>
          <w:sz w:val="28"/>
          <w:szCs w:val="28"/>
          <w:highlight w:val="none"/>
          <w:lang w:val="en-US" w:eastAsia="zh-CN"/>
        </w:rPr>
        <w:t>广东省广播电视网络股份有限公司2025-2027年高速公路</w:t>
      </w:r>
    </w:p>
    <w:p w14:paraId="345F3F1C">
      <w:pPr>
        <w:pStyle w:val="9"/>
        <w:keepNext/>
        <w:keepLines/>
        <w:pageBreakBefore w:val="0"/>
        <w:widowControl w:val="0"/>
        <w:kinsoku/>
        <w:wordWrap/>
        <w:overflowPunct/>
        <w:topLinePunct w:val="0"/>
        <w:autoSpaceDE/>
        <w:autoSpaceDN/>
        <w:bidi w:val="0"/>
        <w:adjustRightInd/>
        <w:snapToGrid/>
        <w:spacing w:before="0" w:after="0" w:line="360" w:lineRule="auto"/>
        <w:ind w:firstLine="420"/>
        <w:textAlignment w:val="auto"/>
        <w:rPr>
          <w:rFonts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lang w:val="en-US" w:eastAsia="zh-CN"/>
        </w:rPr>
        <w:t>光缆干线代维采购项目</w:t>
      </w:r>
      <w:r>
        <w:rPr>
          <w:rFonts w:hint="eastAsia" w:ascii="宋体" w:hAnsi="宋体" w:eastAsia="宋体" w:cs="宋体"/>
          <w:b/>
          <w:bCs w:val="0"/>
          <w:color w:val="auto"/>
          <w:kern w:val="0"/>
          <w:sz w:val="28"/>
          <w:szCs w:val="28"/>
          <w:highlight w:val="none"/>
        </w:rPr>
        <w:t>招标公告</w:t>
      </w:r>
      <w:bookmarkEnd w:id="0"/>
      <w:bookmarkEnd w:id="1"/>
      <w:bookmarkStart w:id="15" w:name="_GoBack"/>
      <w:bookmarkEnd w:id="15"/>
    </w:p>
    <w:p w14:paraId="4BABB37F">
      <w:pPr>
        <w:spacing w:before="240" w:after="240" w:line="400" w:lineRule="exact"/>
        <w:rPr>
          <w:rFonts w:ascii="黑体" w:hAnsi="Arial" w:eastAsia="黑体"/>
          <w:b/>
          <w:bCs/>
          <w:color w:val="auto"/>
          <w:sz w:val="28"/>
          <w:szCs w:val="28"/>
          <w:highlight w:val="none"/>
        </w:rPr>
      </w:pPr>
      <w:bookmarkStart w:id="2" w:name="_bookmark2"/>
      <w:bookmarkEnd w:id="2"/>
      <w:bookmarkStart w:id="3" w:name="_Toc502224203"/>
      <w:bookmarkStart w:id="4" w:name="_Hlk503962308"/>
      <w:bookmarkStart w:id="5" w:name="_Hlk503961977"/>
      <w:r>
        <w:rPr>
          <w:rFonts w:ascii="黑体" w:hAnsi="Arial" w:eastAsia="黑体"/>
          <w:b/>
          <w:bCs/>
          <w:color w:val="auto"/>
          <w:sz w:val="28"/>
          <w:szCs w:val="28"/>
          <w:highlight w:val="none"/>
        </w:rPr>
        <w:t>1</w:t>
      </w:r>
      <w:r>
        <w:rPr>
          <w:rFonts w:hint="eastAsia" w:ascii="黑体" w:hAnsi="Arial" w:eastAsia="黑体"/>
          <w:b/>
          <w:bCs/>
          <w:color w:val="auto"/>
          <w:sz w:val="28"/>
          <w:szCs w:val="28"/>
          <w:highlight w:val="none"/>
        </w:rPr>
        <w:t>．招标条件</w:t>
      </w:r>
      <w:bookmarkEnd w:id="3"/>
    </w:p>
    <w:p w14:paraId="5798397A">
      <w:pPr>
        <w:pStyle w:val="4"/>
        <w:tabs>
          <w:tab w:val="left" w:pos="2388"/>
          <w:tab w:val="left" w:pos="2832"/>
          <w:tab w:val="left" w:pos="3472"/>
          <w:tab w:val="left" w:pos="6667"/>
          <w:tab w:val="left" w:pos="7270"/>
        </w:tabs>
        <w:spacing w:line="348" w:lineRule="auto"/>
        <w:ind w:right="153" w:firstLine="419"/>
        <w:rPr>
          <w:rFonts w:hint="eastAsia" w:ascii="宋体" w:hAnsi="宋体"/>
          <w:color w:val="auto"/>
          <w:sz w:val="21"/>
          <w:szCs w:val="21"/>
          <w:highlight w:val="none"/>
        </w:rPr>
      </w:pPr>
      <w:bookmarkStart w:id="6" w:name="_Hlk65676298"/>
      <w:r>
        <w:rPr>
          <w:rFonts w:hint="eastAsia" w:ascii="宋体" w:hAnsi="宋体"/>
          <w:color w:val="auto"/>
          <w:sz w:val="21"/>
          <w:szCs w:val="21"/>
          <w:highlight w:val="none"/>
        </w:rPr>
        <w:t>本招标项目为</w:t>
      </w:r>
      <w:r>
        <w:rPr>
          <w:rFonts w:hint="eastAsia" w:ascii="宋体" w:hAnsi="宋体"/>
          <w:color w:val="auto"/>
          <w:sz w:val="21"/>
          <w:szCs w:val="21"/>
          <w:highlight w:val="none"/>
          <w:lang w:val="en-US" w:eastAsia="zh-CN"/>
        </w:rPr>
        <w:t>（项目名称：</w:t>
      </w:r>
      <w:r>
        <w:rPr>
          <w:rFonts w:hint="eastAsia" w:ascii="宋体" w:hAnsi="宋体"/>
          <w:color w:val="auto"/>
          <w:sz w:val="21"/>
          <w:szCs w:val="21"/>
          <w:highlight w:val="none"/>
          <w:u w:val="single"/>
          <w:lang w:val="en-US" w:eastAsia="zh-CN"/>
        </w:rPr>
        <w:t>广东省广播电视网络股份有限公司2025-2027年高速公路光缆干线代维采购项目</w:t>
      </w:r>
      <w:r>
        <w:rPr>
          <w:rFonts w:hint="eastAsia" w:ascii="宋体" w:hAnsi="宋体"/>
          <w:color w:val="auto"/>
          <w:sz w:val="21"/>
          <w:szCs w:val="21"/>
          <w:highlight w:val="none"/>
          <w:lang w:val="en-US" w:eastAsia="zh-CN"/>
        </w:rPr>
        <w:t>、采购项目编号：</w:t>
      </w:r>
      <w:r>
        <w:rPr>
          <w:rFonts w:hint="eastAsia" w:ascii="宋体" w:hAnsi="宋体"/>
          <w:color w:val="auto"/>
          <w:sz w:val="21"/>
          <w:szCs w:val="21"/>
          <w:highlight w:val="none"/>
          <w:u w:val="single"/>
          <w:lang w:val="en-US" w:eastAsia="zh-CN"/>
        </w:rPr>
        <w:t>BKZX202509S002</w:t>
      </w:r>
      <w:r>
        <w:rPr>
          <w:rFonts w:hint="eastAsia" w:ascii="宋体" w:hAnsi="宋体"/>
          <w:color w:val="auto"/>
          <w:sz w:val="21"/>
          <w:szCs w:val="21"/>
          <w:highlight w:val="none"/>
          <w:lang w:val="en-US" w:eastAsia="zh-CN"/>
        </w:rPr>
        <w:t>、招标代理编号：</w:t>
      </w:r>
      <w:r>
        <w:rPr>
          <w:rFonts w:hint="eastAsia" w:ascii="宋体" w:hAnsi="宋体"/>
          <w:color w:val="auto"/>
          <w:sz w:val="21"/>
          <w:szCs w:val="21"/>
          <w:highlight w:val="none"/>
          <w:u w:val="single"/>
          <w:lang w:val="en-US" w:eastAsia="zh-CN"/>
        </w:rPr>
        <w:t>ZJZB-2025-23047</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,招标人为</w:t>
      </w:r>
      <w:r>
        <w:rPr>
          <w:rFonts w:hint="eastAsia" w:ascii="宋体" w:hAnsi="宋体"/>
          <w:color w:val="auto"/>
          <w:sz w:val="21"/>
          <w:szCs w:val="21"/>
          <w:highlight w:val="none"/>
          <w:lang w:eastAsia="zh-CN"/>
        </w:rPr>
        <w:t>广东省广播电视网络股份有限公司</w:t>
      </w:r>
      <w:r>
        <w:rPr>
          <w:rFonts w:hint="eastAsia" w:ascii="宋体" w:hAnsi="宋体"/>
          <w:color w:val="auto"/>
          <w:sz w:val="21"/>
          <w:szCs w:val="21"/>
          <w:highlight w:val="none"/>
        </w:rPr>
        <w:t>，招标代理机构为</w:t>
      </w:r>
      <w:r>
        <w:rPr>
          <w:rFonts w:hint="eastAsia" w:ascii="宋体" w:hAnsi="宋体"/>
          <w:color w:val="auto"/>
          <w:sz w:val="21"/>
          <w:szCs w:val="21"/>
          <w:highlight w:val="none"/>
          <w:lang w:val="en-US" w:eastAsia="zh-CN"/>
        </w:rPr>
        <w:t>中捷通信有限公司</w:t>
      </w:r>
      <w:r>
        <w:rPr>
          <w:rFonts w:hint="eastAsia" w:ascii="宋体" w:hAnsi="宋体"/>
          <w:color w:val="auto"/>
          <w:sz w:val="21"/>
          <w:szCs w:val="21"/>
          <w:highlight w:val="none"/>
        </w:rPr>
        <w:t>。项目资金由招标人自筹，项目已具备招标条件，现进行公开招标，有意向的潜在投标人（以下简称投标人）可前来投标。</w:t>
      </w:r>
    </w:p>
    <w:p w14:paraId="23396526">
      <w:pPr>
        <w:spacing w:before="240" w:after="240" w:line="400" w:lineRule="exact"/>
        <w:rPr>
          <w:rFonts w:ascii="黑体" w:hAnsi="Arial" w:eastAsia="黑体"/>
          <w:b/>
          <w:bCs/>
          <w:color w:val="auto"/>
          <w:sz w:val="28"/>
          <w:szCs w:val="28"/>
          <w:highlight w:val="none"/>
        </w:rPr>
      </w:pPr>
      <w:bookmarkStart w:id="7" w:name="_bookmark3"/>
      <w:bookmarkEnd w:id="7"/>
      <w:bookmarkStart w:id="8" w:name="_Toc502224204"/>
      <w:r>
        <w:rPr>
          <w:rFonts w:ascii="黑体" w:hAnsi="Arial" w:eastAsia="黑体"/>
          <w:b/>
          <w:bCs/>
          <w:color w:val="auto"/>
          <w:sz w:val="28"/>
          <w:szCs w:val="28"/>
          <w:highlight w:val="none"/>
        </w:rPr>
        <w:t>2</w:t>
      </w:r>
      <w:r>
        <w:rPr>
          <w:rFonts w:hint="eastAsia" w:ascii="黑体" w:hAnsi="Arial" w:eastAsia="黑体"/>
          <w:b/>
          <w:bCs/>
          <w:color w:val="auto"/>
          <w:sz w:val="28"/>
          <w:szCs w:val="28"/>
          <w:highlight w:val="none"/>
        </w:rPr>
        <w:t>．项目概况</w:t>
      </w:r>
      <w:bookmarkEnd w:id="8"/>
      <w:r>
        <w:rPr>
          <w:rFonts w:hint="eastAsia" w:ascii="黑体" w:hAnsi="Arial" w:eastAsia="黑体"/>
          <w:b/>
          <w:bCs/>
          <w:color w:val="auto"/>
          <w:sz w:val="28"/>
          <w:szCs w:val="28"/>
          <w:highlight w:val="none"/>
        </w:rPr>
        <w:t>和招标范围</w:t>
      </w:r>
    </w:p>
    <w:p w14:paraId="30B68DED">
      <w:pPr>
        <w:pStyle w:val="4"/>
        <w:tabs>
          <w:tab w:val="left" w:pos="2412"/>
        </w:tabs>
        <w:spacing w:line="348" w:lineRule="auto"/>
        <w:ind w:right="157" w:firstLine="419"/>
        <w:rPr>
          <w:rFonts w:hint="eastAsia"/>
          <w:color w:val="auto"/>
          <w:spacing w:val="-1"/>
          <w:sz w:val="21"/>
          <w:szCs w:val="21"/>
          <w:highlight w:val="none"/>
          <w:lang w:val="en-US" w:eastAsia="zh-CN"/>
        </w:rPr>
      </w:pPr>
      <w:r>
        <w:rPr>
          <w:rFonts w:hint="eastAsia"/>
          <w:color w:val="auto"/>
          <w:spacing w:val="-1"/>
          <w:sz w:val="21"/>
          <w:szCs w:val="21"/>
          <w:highlight w:val="none"/>
          <w:lang w:val="en-US" w:eastAsia="zh-CN"/>
        </w:rPr>
        <w:t>2.1项目概况：招标人在广东省内高速公路红线范围内的光缆线路，光缆线路长度约2500公里（最终维护长度以招标人交付的维护订单长度为准），其沿线相关中继机房、动力能源设备等需要服务单位提供日常巡查、备用纤芯测试和光缆故障抢修工作。</w:t>
      </w:r>
    </w:p>
    <w:p w14:paraId="2A0055DE">
      <w:pPr>
        <w:pStyle w:val="4"/>
        <w:tabs>
          <w:tab w:val="left" w:pos="2412"/>
        </w:tabs>
        <w:spacing w:line="348" w:lineRule="auto"/>
        <w:ind w:right="157" w:firstLine="419"/>
        <w:rPr>
          <w:rFonts w:hint="eastAsia"/>
          <w:color w:val="auto"/>
          <w:spacing w:val="-1"/>
          <w:sz w:val="21"/>
          <w:szCs w:val="21"/>
          <w:highlight w:val="none"/>
          <w:lang w:val="en-US" w:eastAsia="zh-CN"/>
        </w:rPr>
      </w:pPr>
      <w:r>
        <w:rPr>
          <w:rFonts w:hint="eastAsia"/>
          <w:color w:val="auto"/>
          <w:spacing w:val="-1"/>
          <w:sz w:val="21"/>
          <w:szCs w:val="21"/>
          <w:highlight w:val="none"/>
          <w:lang w:val="en-US" w:eastAsia="zh-CN"/>
        </w:rPr>
        <w:t>2.2招标内容</w:t>
      </w:r>
    </w:p>
    <w:p w14:paraId="7427FB0E">
      <w:pPr>
        <w:numPr>
          <w:ilvl w:val="0"/>
          <w:numId w:val="1"/>
        </w:numPr>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本项目采购</w:t>
      </w:r>
      <w:r>
        <w:rPr>
          <w:rFonts w:hint="eastAsia" w:ascii="宋体" w:hAnsi="宋体"/>
          <w:color w:val="auto"/>
          <w:sz w:val="21"/>
          <w:szCs w:val="21"/>
          <w:highlight w:val="none"/>
          <w:lang w:val="en-US" w:eastAsia="zh-CN"/>
        </w:rPr>
        <w:t>一家服务单位，为招标人</w:t>
      </w:r>
      <w:r>
        <w:rPr>
          <w:rFonts w:hint="eastAsia" w:ascii="宋体" w:hAnsi="宋体"/>
          <w:color w:val="auto"/>
          <w:sz w:val="21"/>
          <w:szCs w:val="21"/>
          <w:highlight w:val="none"/>
        </w:rPr>
        <w:t>在广东省内高速公路红线范围内光缆线路沿线相关中继机房、动力能源设备等提供日常巡查、备用纤芯测试和光缆故障抢修。</w:t>
      </w:r>
      <w:r>
        <w:rPr>
          <w:rFonts w:hint="eastAsia" w:ascii="宋体" w:hAnsi="宋体"/>
          <w:color w:val="auto"/>
          <w:sz w:val="21"/>
          <w:szCs w:val="21"/>
          <w:highlight w:val="none"/>
          <w:lang w:val="en-US" w:eastAsia="zh-CN"/>
        </w:rPr>
        <w:t>光缆线路情况见下表（最终维护长度以招标人交付的代维订单长度为准，共缆部分不重复计费）：</w:t>
      </w:r>
    </w:p>
    <w:tbl>
      <w:tblPr>
        <w:tblStyle w:val="7"/>
        <w:tblW w:w="8560" w:type="dxa"/>
        <w:jc w:val="center"/>
        <w:tblLayout w:type="fixed"/>
        <w:tblCellMar>
          <w:top w:w="0" w:type="dxa"/>
          <w:left w:w="0" w:type="dxa"/>
          <w:bottom w:w="0" w:type="dxa"/>
          <w:right w:w="0" w:type="dxa"/>
        </w:tblCellMar>
      </w:tblPr>
      <w:tblGrid>
        <w:gridCol w:w="924"/>
        <w:gridCol w:w="2004"/>
        <w:gridCol w:w="1746"/>
        <w:gridCol w:w="3886"/>
      </w:tblGrid>
      <w:tr w14:paraId="11035C5B">
        <w:tblPrEx>
          <w:tblCellMar>
            <w:top w:w="0" w:type="dxa"/>
            <w:left w:w="0" w:type="dxa"/>
            <w:bottom w:w="0" w:type="dxa"/>
            <w:right w:w="0" w:type="dxa"/>
          </w:tblCellMar>
        </w:tblPrEx>
        <w:trPr>
          <w:trHeight w:val="227" w:hRule="atLeast"/>
          <w:tblHeader/>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98C819">
            <w:pPr>
              <w:widowControl/>
              <w:snapToGrid w:val="0"/>
              <w:spacing w:line="31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2826E72">
            <w:pPr>
              <w:widowControl/>
              <w:snapToGrid w:val="0"/>
              <w:spacing w:line="31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段落</w:t>
            </w:r>
          </w:p>
        </w:tc>
        <w:tc>
          <w:tcPr>
            <w:tcW w:w="17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9456C87">
            <w:pPr>
              <w:widowControl/>
              <w:snapToGrid w:val="0"/>
              <w:spacing w:line="31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光缆皮长(Km)</w:t>
            </w:r>
          </w:p>
        </w:tc>
        <w:tc>
          <w:tcPr>
            <w:tcW w:w="388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2F2688E">
            <w:pPr>
              <w:widowControl/>
              <w:snapToGrid w:val="0"/>
              <w:spacing w:line="312"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涉及路段名称</w:t>
            </w:r>
          </w:p>
        </w:tc>
      </w:tr>
      <w:tr w14:paraId="41EB9102">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09AEC92">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31D9D581">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佛山</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5C8CDA47">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26.80</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1468E84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广佛高速、佛开高速</w:t>
            </w:r>
          </w:p>
        </w:tc>
      </w:tr>
      <w:tr w14:paraId="7985FBB8">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BA680E7">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0A0BADFA">
            <w:pPr>
              <w:widowControl/>
              <w:snapToGrid w:val="0"/>
              <w:spacing w:line="312"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佛山-江门</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35F4FD5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57.20</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5C2A7218">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佛开高速、江肇高速</w:t>
            </w:r>
          </w:p>
        </w:tc>
      </w:tr>
      <w:tr w14:paraId="1540DFED">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33AA9A9">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33A28AD9">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江门-中山</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4283CCA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42.15</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369FA4A0">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江中高速</w:t>
            </w:r>
          </w:p>
        </w:tc>
      </w:tr>
      <w:tr w14:paraId="41A0FF99">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FFA276A">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231C9C93">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中山-珠海</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421A862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40.88</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6F3ABF92">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广珠西高速、西部沿海珠海段</w:t>
            </w:r>
          </w:p>
        </w:tc>
      </w:tr>
      <w:tr w14:paraId="7ADE9285">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B780E8">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5CD80E9">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珠海-虎门</w:t>
            </w:r>
          </w:p>
        </w:tc>
        <w:tc>
          <w:tcPr>
            <w:tcW w:w="1746" w:type="dxa"/>
            <w:tcBorders>
              <w:top w:val="single" w:color="auto" w:sz="4" w:space="0"/>
              <w:left w:val="nil"/>
              <w:bottom w:val="single" w:color="auto" w:sz="4" w:space="0"/>
              <w:right w:val="single" w:color="auto" w:sz="4" w:space="0"/>
            </w:tcBorders>
            <w:vAlign w:val="center"/>
          </w:tcPr>
          <w:p w14:paraId="47D2C06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78.07</w:t>
            </w:r>
          </w:p>
        </w:tc>
        <w:tc>
          <w:tcPr>
            <w:tcW w:w="3886" w:type="dxa"/>
            <w:tcBorders>
              <w:top w:val="single" w:color="auto" w:sz="4" w:space="0"/>
              <w:left w:val="nil"/>
              <w:bottom w:val="single" w:color="auto" w:sz="4" w:space="0"/>
              <w:right w:val="single" w:color="auto" w:sz="4" w:space="0"/>
            </w:tcBorders>
            <w:vAlign w:val="center"/>
          </w:tcPr>
          <w:p w14:paraId="3213987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虎门大桥、广珠东高速</w:t>
            </w:r>
          </w:p>
        </w:tc>
      </w:tr>
      <w:tr w14:paraId="1DA12BD9">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067FFA">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F5CB7B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广州-惠州</w:t>
            </w:r>
          </w:p>
        </w:tc>
        <w:tc>
          <w:tcPr>
            <w:tcW w:w="1746" w:type="dxa"/>
            <w:tcBorders>
              <w:top w:val="single" w:color="auto" w:sz="4" w:space="0"/>
              <w:left w:val="nil"/>
              <w:bottom w:val="single" w:color="auto" w:sz="4" w:space="0"/>
              <w:right w:val="single" w:color="auto" w:sz="4" w:space="0"/>
            </w:tcBorders>
            <w:vAlign w:val="center"/>
          </w:tcPr>
          <w:p w14:paraId="636AF1FB">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103.80</w:t>
            </w:r>
          </w:p>
        </w:tc>
        <w:tc>
          <w:tcPr>
            <w:tcW w:w="3886" w:type="dxa"/>
            <w:tcBorders>
              <w:top w:val="single" w:color="auto" w:sz="4" w:space="0"/>
              <w:left w:val="nil"/>
              <w:bottom w:val="single" w:color="auto" w:sz="4" w:space="0"/>
              <w:right w:val="single" w:color="auto" w:sz="4" w:space="0"/>
            </w:tcBorders>
            <w:vAlign w:val="center"/>
          </w:tcPr>
          <w:p w14:paraId="23623873">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广惠高速</w:t>
            </w:r>
          </w:p>
        </w:tc>
      </w:tr>
      <w:tr w14:paraId="1FDF94D0">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6BDB7E">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AEBFFFB">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惠州-海丰</w:t>
            </w:r>
          </w:p>
        </w:tc>
        <w:tc>
          <w:tcPr>
            <w:tcW w:w="1746" w:type="dxa"/>
            <w:tcBorders>
              <w:top w:val="single" w:color="auto" w:sz="4" w:space="0"/>
              <w:left w:val="nil"/>
              <w:bottom w:val="single" w:color="auto" w:sz="4" w:space="0"/>
              <w:right w:val="single" w:color="auto" w:sz="4" w:space="0"/>
            </w:tcBorders>
            <w:vAlign w:val="center"/>
          </w:tcPr>
          <w:p w14:paraId="21D3ECE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127.32</w:t>
            </w:r>
          </w:p>
        </w:tc>
        <w:tc>
          <w:tcPr>
            <w:tcW w:w="3886" w:type="dxa"/>
            <w:tcBorders>
              <w:top w:val="single" w:color="auto" w:sz="4" w:space="0"/>
              <w:left w:val="nil"/>
              <w:bottom w:val="single" w:color="auto" w:sz="4" w:space="0"/>
              <w:right w:val="single" w:color="auto" w:sz="4" w:space="0"/>
            </w:tcBorders>
            <w:vAlign w:val="center"/>
          </w:tcPr>
          <w:p w14:paraId="688045C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广惠高速、潮惠高速</w:t>
            </w:r>
          </w:p>
        </w:tc>
      </w:tr>
      <w:tr w14:paraId="640361DE">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6C0EB9">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D8D6C88">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河源-揭阳</w:t>
            </w:r>
          </w:p>
        </w:tc>
        <w:tc>
          <w:tcPr>
            <w:tcW w:w="1746" w:type="dxa"/>
            <w:tcBorders>
              <w:top w:val="single" w:color="auto" w:sz="4" w:space="0"/>
              <w:left w:val="nil"/>
              <w:bottom w:val="single" w:color="auto" w:sz="4" w:space="0"/>
              <w:right w:val="single" w:color="auto" w:sz="4" w:space="0"/>
            </w:tcBorders>
            <w:vAlign w:val="center"/>
          </w:tcPr>
          <w:p w14:paraId="6546859D">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212.08</w:t>
            </w:r>
          </w:p>
        </w:tc>
        <w:tc>
          <w:tcPr>
            <w:tcW w:w="3886" w:type="dxa"/>
            <w:tcBorders>
              <w:top w:val="single" w:color="auto" w:sz="4" w:space="0"/>
              <w:left w:val="nil"/>
              <w:bottom w:val="single" w:color="auto" w:sz="4" w:space="0"/>
              <w:right w:val="single" w:color="auto" w:sz="4" w:space="0"/>
            </w:tcBorders>
            <w:vAlign w:val="center"/>
          </w:tcPr>
          <w:p w14:paraId="56C1EF8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潮惠高速、揭博高速</w:t>
            </w:r>
          </w:p>
        </w:tc>
      </w:tr>
      <w:tr w14:paraId="19C12D44">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A5058B">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A73BA9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潮州-汕头</w:t>
            </w:r>
          </w:p>
        </w:tc>
        <w:tc>
          <w:tcPr>
            <w:tcW w:w="1746" w:type="dxa"/>
            <w:tcBorders>
              <w:top w:val="single" w:color="auto" w:sz="4" w:space="0"/>
              <w:left w:val="nil"/>
              <w:bottom w:val="single" w:color="auto" w:sz="4" w:space="0"/>
              <w:right w:val="single" w:color="auto" w:sz="4" w:space="0"/>
            </w:tcBorders>
            <w:vAlign w:val="center"/>
          </w:tcPr>
          <w:p w14:paraId="59D45E76">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26.61</w:t>
            </w:r>
          </w:p>
        </w:tc>
        <w:tc>
          <w:tcPr>
            <w:tcW w:w="3886" w:type="dxa"/>
            <w:tcBorders>
              <w:top w:val="single" w:color="auto" w:sz="4" w:space="0"/>
              <w:left w:val="nil"/>
              <w:bottom w:val="single" w:color="auto" w:sz="4" w:space="0"/>
              <w:right w:val="single" w:color="auto" w:sz="4" w:space="0"/>
            </w:tcBorders>
            <w:vAlign w:val="center"/>
          </w:tcPr>
          <w:p w14:paraId="07268799">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汕汾高速、</w:t>
            </w:r>
          </w:p>
        </w:tc>
      </w:tr>
      <w:tr w14:paraId="76E0C1FC">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591DDF">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7102451">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惠州-深圳</w:t>
            </w:r>
          </w:p>
        </w:tc>
        <w:tc>
          <w:tcPr>
            <w:tcW w:w="1746" w:type="dxa"/>
            <w:tcBorders>
              <w:top w:val="single" w:color="auto" w:sz="4" w:space="0"/>
              <w:left w:val="nil"/>
              <w:bottom w:val="single" w:color="auto" w:sz="4" w:space="0"/>
              <w:right w:val="single" w:color="auto" w:sz="4" w:space="0"/>
            </w:tcBorders>
            <w:vAlign w:val="center"/>
          </w:tcPr>
          <w:p w14:paraId="7475F4C8">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53.60</w:t>
            </w:r>
          </w:p>
        </w:tc>
        <w:tc>
          <w:tcPr>
            <w:tcW w:w="3886" w:type="dxa"/>
            <w:tcBorders>
              <w:top w:val="single" w:color="auto" w:sz="4" w:space="0"/>
              <w:left w:val="nil"/>
              <w:bottom w:val="single" w:color="auto" w:sz="4" w:space="0"/>
              <w:right w:val="single" w:color="auto" w:sz="4" w:space="0"/>
            </w:tcBorders>
            <w:vAlign w:val="center"/>
          </w:tcPr>
          <w:p w14:paraId="0C2CF199">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惠盐高速</w:t>
            </w:r>
          </w:p>
        </w:tc>
      </w:tr>
      <w:tr w14:paraId="1F75EB38">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275889">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D849D1D">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惠州-河源</w:t>
            </w:r>
          </w:p>
        </w:tc>
        <w:tc>
          <w:tcPr>
            <w:tcW w:w="1746" w:type="dxa"/>
            <w:tcBorders>
              <w:top w:val="single" w:color="auto" w:sz="4" w:space="0"/>
              <w:left w:val="nil"/>
              <w:bottom w:val="single" w:color="auto" w:sz="4" w:space="0"/>
              <w:right w:val="single" w:color="auto" w:sz="4" w:space="0"/>
            </w:tcBorders>
            <w:vAlign w:val="center"/>
          </w:tcPr>
          <w:p w14:paraId="2202F0A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111.94</w:t>
            </w:r>
          </w:p>
        </w:tc>
        <w:tc>
          <w:tcPr>
            <w:tcW w:w="3886" w:type="dxa"/>
            <w:tcBorders>
              <w:top w:val="single" w:color="auto" w:sz="4" w:space="0"/>
              <w:left w:val="nil"/>
              <w:bottom w:val="single" w:color="auto" w:sz="4" w:space="0"/>
              <w:right w:val="single" w:color="auto" w:sz="4" w:space="0"/>
            </w:tcBorders>
            <w:vAlign w:val="center"/>
          </w:tcPr>
          <w:p w14:paraId="2BB8707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惠河高速、粤赣高速</w:t>
            </w:r>
          </w:p>
        </w:tc>
      </w:tr>
      <w:tr w14:paraId="7BD55EF8">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F41FA4">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B945576">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汕尾-汕头</w:t>
            </w:r>
          </w:p>
        </w:tc>
        <w:tc>
          <w:tcPr>
            <w:tcW w:w="1746" w:type="dxa"/>
            <w:tcBorders>
              <w:top w:val="single" w:color="auto" w:sz="4" w:space="0"/>
              <w:left w:val="nil"/>
              <w:bottom w:val="single" w:color="auto" w:sz="4" w:space="0"/>
              <w:right w:val="single" w:color="auto" w:sz="4" w:space="0"/>
            </w:tcBorders>
            <w:vAlign w:val="center"/>
          </w:tcPr>
          <w:p w14:paraId="1B622A70">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210.02</w:t>
            </w:r>
          </w:p>
        </w:tc>
        <w:tc>
          <w:tcPr>
            <w:tcW w:w="3886" w:type="dxa"/>
            <w:tcBorders>
              <w:top w:val="single" w:color="auto" w:sz="4" w:space="0"/>
              <w:left w:val="nil"/>
              <w:bottom w:val="single" w:color="auto" w:sz="4" w:space="0"/>
              <w:right w:val="single" w:color="auto" w:sz="4" w:space="0"/>
            </w:tcBorders>
            <w:vAlign w:val="center"/>
          </w:tcPr>
          <w:p w14:paraId="2C67EE98">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潮汕环线高速，深汕西高速，深汕东高速</w:t>
            </w:r>
          </w:p>
        </w:tc>
      </w:tr>
      <w:tr w14:paraId="497A097C">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231EE9">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11B4E7D">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河源-梅州</w:t>
            </w:r>
          </w:p>
        </w:tc>
        <w:tc>
          <w:tcPr>
            <w:tcW w:w="1746" w:type="dxa"/>
            <w:tcBorders>
              <w:top w:val="single" w:color="auto" w:sz="4" w:space="0"/>
              <w:left w:val="nil"/>
              <w:bottom w:val="single" w:color="auto" w:sz="4" w:space="0"/>
              <w:right w:val="single" w:color="auto" w:sz="4" w:space="0"/>
            </w:tcBorders>
            <w:vAlign w:val="center"/>
          </w:tcPr>
          <w:p w14:paraId="54EB322A">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182.13</w:t>
            </w:r>
          </w:p>
        </w:tc>
        <w:tc>
          <w:tcPr>
            <w:tcW w:w="3886" w:type="dxa"/>
            <w:tcBorders>
              <w:top w:val="single" w:color="auto" w:sz="4" w:space="0"/>
              <w:left w:val="nil"/>
              <w:bottom w:val="single" w:color="auto" w:sz="4" w:space="0"/>
              <w:right w:val="single" w:color="auto" w:sz="4" w:space="0"/>
            </w:tcBorders>
            <w:vAlign w:val="center"/>
          </w:tcPr>
          <w:p w14:paraId="0A97592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河龙高速、梅河高速、天汕高速</w:t>
            </w:r>
          </w:p>
        </w:tc>
      </w:tr>
      <w:tr w14:paraId="03B9874E">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CFB7A1">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41AFEE7">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揭阳-潮州</w:t>
            </w:r>
          </w:p>
        </w:tc>
        <w:tc>
          <w:tcPr>
            <w:tcW w:w="1746" w:type="dxa"/>
            <w:tcBorders>
              <w:top w:val="single" w:color="auto" w:sz="4" w:space="0"/>
              <w:left w:val="nil"/>
              <w:bottom w:val="single" w:color="auto" w:sz="4" w:space="0"/>
              <w:right w:val="single" w:color="auto" w:sz="4" w:space="0"/>
            </w:tcBorders>
            <w:vAlign w:val="center"/>
          </w:tcPr>
          <w:p w14:paraId="2C6D9C69">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22.59</w:t>
            </w:r>
          </w:p>
        </w:tc>
        <w:tc>
          <w:tcPr>
            <w:tcW w:w="3886" w:type="dxa"/>
            <w:tcBorders>
              <w:top w:val="single" w:color="auto" w:sz="4" w:space="0"/>
              <w:left w:val="nil"/>
              <w:bottom w:val="single" w:color="auto" w:sz="4" w:space="0"/>
              <w:right w:val="single" w:color="auto" w:sz="4" w:space="0"/>
            </w:tcBorders>
            <w:vAlign w:val="center"/>
          </w:tcPr>
          <w:p w14:paraId="68432F62">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潮惠高速</w:t>
            </w:r>
          </w:p>
        </w:tc>
      </w:tr>
      <w:tr w14:paraId="6BAFDB54">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50BCEE">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118E0A0">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广州-清远</w:t>
            </w:r>
          </w:p>
        </w:tc>
        <w:tc>
          <w:tcPr>
            <w:tcW w:w="1746" w:type="dxa"/>
            <w:tcBorders>
              <w:top w:val="single" w:color="auto" w:sz="4" w:space="0"/>
              <w:left w:val="nil"/>
              <w:bottom w:val="single" w:color="auto" w:sz="4" w:space="0"/>
              <w:right w:val="single" w:color="auto" w:sz="4" w:space="0"/>
            </w:tcBorders>
            <w:vAlign w:val="center"/>
          </w:tcPr>
          <w:p w14:paraId="11B3163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82.90</w:t>
            </w:r>
          </w:p>
        </w:tc>
        <w:tc>
          <w:tcPr>
            <w:tcW w:w="3886" w:type="dxa"/>
            <w:tcBorders>
              <w:top w:val="single" w:color="auto" w:sz="4" w:space="0"/>
              <w:left w:val="nil"/>
              <w:bottom w:val="single" w:color="auto" w:sz="4" w:space="0"/>
              <w:right w:val="single" w:color="auto" w:sz="4" w:space="0"/>
            </w:tcBorders>
            <w:vAlign w:val="center"/>
          </w:tcPr>
          <w:p w14:paraId="1E69D5E1">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广清高速</w:t>
            </w:r>
          </w:p>
        </w:tc>
      </w:tr>
      <w:tr w14:paraId="2E9580FF">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8E5B7B">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00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2E70A4">
            <w:pPr>
              <w:widowControl/>
              <w:snapToGrid w:val="0"/>
              <w:spacing w:line="312"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清远-韶关</w:t>
            </w:r>
          </w:p>
        </w:tc>
        <w:tc>
          <w:tcPr>
            <w:tcW w:w="1746" w:type="dxa"/>
            <w:tcBorders>
              <w:top w:val="single" w:color="auto" w:sz="4" w:space="0"/>
              <w:left w:val="nil"/>
              <w:bottom w:val="single" w:color="auto" w:sz="4" w:space="0"/>
              <w:right w:val="single" w:color="auto" w:sz="4" w:space="0"/>
            </w:tcBorders>
            <w:shd w:val="clear" w:color="auto" w:fill="auto"/>
            <w:vAlign w:val="center"/>
          </w:tcPr>
          <w:p w14:paraId="43962F74">
            <w:pPr>
              <w:widowControl/>
              <w:snapToGrid w:val="0"/>
              <w:spacing w:line="312"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172.10</w:t>
            </w:r>
          </w:p>
        </w:tc>
        <w:tc>
          <w:tcPr>
            <w:tcW w:w="3886" w:type="dxa"/>
            <w:tcBorders>
              <w:top w:val="single" w:color="auto" w:sz="4" w:space="0"/>
              <w:left w:val="nil"/>
              <w:bottom w:val="single" w:color="auto" w:sz="4" w:space="0"/>
              <w:right w:val="single" w:color="auto" w:sz="4" w:space="0"/>
            </w:tcBorders>
            <w:shd w:val="clear" w:color="auto" w:fill="auto"/>
            <w:vAlign w:val="center"/>
          </w:tcPr>
          <w:p w14:paraId="6E62C10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乐广高速</w:t>
            </w:r>
          </w:p>
        </w:tc>
      </w:tr>
      <w:tr w14:paraId="11119657">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7CEFB5">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39C2152A">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佛山-阳江</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7FD7B7BF">
            <w:pPr>
              <w:widowControl/>
              <w:snapToGrid w:val="0"/>
              <w:spacing w:line="312"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122.35</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5D87F0DD">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佛开高速、开阳高速、西部沿海高速</w:t>
            </w:r>
          </w:p>
        </w:tc>
      </w:tr>
      <w:tr w14:paraId="11B21C7B">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A410251">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40E6107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阳江-茂名</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3128B14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111.19</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7750276E">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茂湛高速、阳茂高速、开阳高速</w:t>
            </w:r>
          </w:p>
        </w:tc>
      </w:tr>
      <w:tr w14:paraId="4BC1BD3A">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CAC8C6F">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165F963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茂名-湛江</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6BF9340E">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93.05</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720F1363">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茂湛高速、渝湛高速</w:t>
            </w:r>
          </w:p>
        </w:tc>
      </w:tr>
      <w:tr w14:paraId="14FA79C2">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2DAF4BC">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103AC1C7">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阳江-罗定</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76C1D33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124.92</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3421E3E7">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阳阳高速</w:t>
            </w:r>
          </w:p>
        </w:tc>
      </w:tr>
      <w:tr w14:paraId="38154F57">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DC83625">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935B2FF">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罗定-信宜</w:t>
            </w:r>
          </w:p>
        </w:tc>
        <w:tc>
          <w:tcPr>
            <w:tcW w:w="1746" w:type="dxa"/>
            <w:tcBorders>
              <w:top w:val="single" w:color="auto" w:sz="4" w:space="0"/>
              <w:left w:val="nil"/>
              <w:bottom w:val="single" w:color="auto" w:sz="4" w:space="0"/>
              <w:right w:val="single" w:color="auto" w:sz="4" w:space="0"/>
            </w:tcBorders>
            <w:vAlign w:val="center"/>
          </w:tcPr>
          <w:p w14:paraId="1BF32E49">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103.29</w:t>
            </w:r>
          </w:p>
        </w:tc>
        <w:tc>
          <w:tcPr>
            <w:tcW w:w="3886" w:type="dxa"/>
            <w:tcBorders>
              <w:top w:val="single" w:color="auto" w:sz="4" w:space="0"/>
              <w:left w:val="nil"/>
              <w:bottom w:val="single" w:color="auto" w:sz="4" w:space="0"/>
              <w:right w:val="single" w:color="auto" w:sz="4" w:space="0"/>
            </w:tcBorders>
            <w:vAlign w:val="center"/>
          </w:tcPr>
          <w:p w14:paraId="2BC6B389">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罗阳高速、云茂高速</w:t>
            </w:r>
          </w:p>
        </w:tc>
      </w:tr>
      <w:tr w14:paraId="36999F8C">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E04118">
            <w:pPr>
              <w:widowControl/>
              <w:snapToGrid w:val="0"/>
              <w:spacing w:line="312"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A05A968">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罗定-云浮</w:t>
            </w:r>
          </w:p>
        </w:tc>
        <w:tc>
          <w:tcPr>
            <w:tcW w:w="1746" w:type="dxa"/>
            <w:tcBorders>
              <w:top w:val="single" w:color="auto" w:sz="4" w:space="0"/>
              <w:left w:val="nil"/>
              <w:bottom w:val="single" w:color="auto" w:sz="4" w:space="0"/>
              <w:right w:val="single" w:color="auto" w:sz="4" w:space="0"/>
            </w:tcBorders>
            <w:vAlign w:val="center"/>
          </w:tcPr>
          <w:p w14:paraId="3F941973">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72.39</w:t>
            </w:r>
          </w:p>
        </w:tc>
        <w:tc>
          <w:tcPr>
            <w:tcW w:w="3886" w:type="dxa"/>
            <w:tcBorders>
              <w:top w:val="single" w:color="auto" w:sz="4" w:space="0"/>
              <w:left w:val="nil"/>
              <w:bottom w:val="single" w:color="auto" w:sz="4" w:space="0"/>
              <w:right w:val="single" w:color="auto" w:sz="4" w:space="0"/>
            </w:tcBorders>
            <w:vAlign w:val="center"/>
          </w:tcPr>
          <w:p w14:paraId="0928B0D8">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云罗高速、云梧高速</w:t>
            </w:r>
          </w:p>
        </w:tc>
      </w:tr>
      <w:tr w14:paraId="536E72C5">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82EDC4">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3ACD992">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信宜-茂名</w:t>
            </w:r>
          </w:p>
        </w:tc>
        <w:tc>
          <w:tcPr>
            <w:tcW w:w="1746" w:type="dxa"/>
            <w:tcBorders>
              <w:top w:val="single" w:color="auto" w:sz="4" w:space="0"/>
              <w:left w:val="nil"/>
              <w:bottom w:val="single" w:color="auto" w:sz="4" w:space="0"/>
              <w:right w:val="single" w:color="auto" w:sz="4" w:space="0"/>
            </w:tcBorders>
            <w:vAlign w:val="center"/>
          </w:tcPr>
          <w:p w14:paraId="58E2C6A8">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94.99</w:t>
            </w:r>
          </w:p>
        </w:tc>
        <w:tc>
          <w:tcPr>
            <w:tcW w:w="3886" w:type="dxa"/>
            <w:tcBorders>
              <w:top w:val="single" w:color="auto" w:sz="4" w:space="0"/>
              <w:left w:val="nil"/>
              <w:bottom w:val="single" w:color="auto" w:sz="4" w:space="0"/>
              <w:right w:val="single" w:color="auto" w:sz="4" w:space="0"/>
            </w:tcBorders>
            <w:vAlign w:val="center"/>
          </w:tcPr>
          <w:p w14:paraId="5F242FB6">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云茂高速、包茂高速</w:t>
            </w:r>
          </w:p>
        </w:tc>
      </w:tr>
      <w:tr w14:paraId="2D753B71">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4AF630">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00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56DB7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肇庆-三水</w:t>
            </w:r>
          </w:p>
        </w:tc>
        <w:tc>
          <w:tcPr>
            <w:tcW w:w="1746" w:type="dxa"/>
            <w:tcBorders>
              <w:top w:val="single" w:color="auto" w:sz="4" w:space="0"/>
              <w:left w:val="nil"/>
              <w:bottom w:val="single" w:color="auto" w:sz="4" w:space="0"/>
              <w:right w:val="single" w:color="auto" w:sz="4" w:space="0"/>
            </w:tcBorders>
            <w:shd w:val="clear" w:color="auto" w:fill="auto"/>
            <w:vAlign w:val="center"/>
          </w:tcPr>
          <w:p w14:paraId="7A2ACE8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63.13</w:t>
            </w:r>
          </w:p>
        </w:tc>
        <w:tc>
          <w:tcPr>
            <w:tcW w:w="3886" w:type="dxa"/>
            <w:tcBorders>
              <w:top w:val="single" w:color="auto" w:sz="4" w:space="0"/>
              <w:left w:val="nil"/>
              <w:bottom w:val="single" w:color="auto" w:sz="4" w:space="0"/>
              <w:right w:val="single" w:color="auto" w:sz="4" w:space="0"/>
            </w:tcBorders>
            <w:shd w:val="clear" w:color="auto" w:fill="auto"/>
            <w:vAlign w:val="center"/>
          </w:tcPr>
          <w:p w14:paraId="16A5D11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广贺高速、广佛肇高速</w:t>
            </w:r>
          </w:p>
        </w:tc>
      </w:tr>
      <w:tr w14:paraId="66CED215">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CDC836">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200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103406">
            <w:pPr>
              <w:widowControl/>
              <w:snapToGrid w:val="0"/>
              <w:spacing w:line="312"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佛山-三水</w:t>
            </w:r>
          </w:p>
        </w:tc>
        <w:tc>
          <w:tcPr>
            <w:tcW w:w="1746" w:type="dxa"/>
            <w:tcBorders>
              <w:top w:val="single" w:color="auto" w:sz="4" w:space="0"/>
              <w:left w:val="nil"/>
              <w:bottom w:val="single" w:color="auto" w:sz="4" w:space="0"/>
              <w:right w:val="single" w:color="auto" w:sz="4" w:space="0"/>
            </w:tcBorders>
            <w:shd w:val="clear" w:color="auto" w:fill="auto"/>
            <w:vAlign w:val="center"/>
          </w:tcPr>
          <w:p w14:paraId="2479B581">
            <w:pPr>
              <w:widowControl/>
              <w:snapToGrid w:val="0"/>
              <w:spacing w:line="312"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30.85</w:t>
            </w:r>
          </w:p>
        </w:tc>
        <w:tc>
          <w:tcPr>
            <w:tcW w:w="3886" w:type="dxa"/>
            <w:tcBorders>
              <w:top w:val="single" w:color="auto" w:sz="4" w:space="0"/>
              <w:left w:val="nil"/>
              <w:bottom w:val="single" w:color="auto" w:sz="4" w:space="0"/>
              <w:right w:val="single" w:color="auto" w:sz="4" w:space="0"/>
            </w:tcBorders>
            <w:shd w:val="clear" w:color="auto" w:fill="auto"/>
            <w:vAlign w:val="center"/>
          </w:tcPr>
          <w:p w14:paraId="747C960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广三高速</w:t>
            </w:r>
          </w:p>
        </w:tc>
      </w:tr>
    </w:tbl>
    <w:p w14:paraId="60C2E22A">
      <w:pPr>
        <w:pStyle w:val="4"/>
        <w:tabs>
          <w:tab w:val="left" w:pos="2412"/>
        </w:tabs>
        <w:spacing w:line="348" w:lineRule="auto"/>
        <w:ind w:left="420" w:leftChars="200" w:right="157" w:firstLine="0" w:firstLineChars="0"/>
        <w:rPr>
          <w:rFonts w:hint="eastAsia" w:ascii="宋体" w:hAnsi="宋体"/>
          <w:color w:val="auto"/>
          <w:sz w:val="21"/>
          <w:szCs w:val="21"/>
          <w:highlight w:val="none"/>
        </w:rPr>
      </w:pPr>
      <w:r>
        <w:rPr>
          <w:rFonts w:hint="eastAsia" w:ascii="宋体" w:hAnsi="宋体"/>
          <w:color w:val="auto"/>
          <w:sz w:val="21"/>
          <w:szCs w:val="21"/>
          <w:highlight w:val="none"/>
        </w:rPr>
        <w:t>注：具体服务要求及执行标准详见招标文件中的“</w:t>
      </w:r>
      <w:r>
        <w:rPr>
          <w:rFonts w:hint="eastAsia" w:ascii="宋体" w:hAnsi="宋体"/>
          <w:color w:val="auto"/>
          <w:sz w:val="21"/>
          <w:szCs w:val="21"/>
          <w:highlight w:val="none"/>
          <w:lang w:val="en-US" w:eastAsia="zh-CN"/>
        </w:rPr>
        <w:t>服务规范</w:t>
      </w:r>
      <w:r>
        <w:rPr>
          <w:rFonts w:hint="eastAsia" w:ascii="宋体" w:hAnsi="宋体"/>
          <w:color w:val="auto"/>
          <w:sz w:val="21"/>
          <w:szCs w:val="21"/>
          <w:highlight w:val="none"/>
        </w:rPr>
        <w:t>书”。</w:t>
      </w:r>
    </w:p>
    <w:p w14:paraId="7F2D8F83">
      <w:pPr>
        <w:pStyle w:val="4"/>
        <w:numPr>
          <w:ilvl w:val="0"/>
          <w:numId w:val="0"/>
        </w:numPr>
        <w:tabs>
          <w:tab w:val="left" w:pos="2412"/>
        </w:tabs>
        <w:spacing w:line="348" w:lineRule="auto"/>
        <w:ind w:left="420" w:leftChars="200" w:right="157" w:rightChars="0" w:firstLine="0" w:firstLineChars="0"/>
        <w:rPr>
          <w:rFonts w:hint="eastAsia" w:ascii="宋体" w:hAnsi="宋体"/>
          <w:color w:val="auto"/>
          <w:sz w:val="21"/>
          <w:szCs w:val="21"/>
          <w:highlight w:val="none"/>
          <w:lang w:eastAsia="zh-CN"/>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color w:val="auto"/>
          <w:sz w:val="21"/>
          <w:szCs w:val="21"/>
          <w:highlight w:val="none"/>
          <w:lang w:eastAsia="zh-CN"/>
        </w:rPr>
        <w:t>项目预算：</w:t>
      </w:r>
      <w:r>
        <w:rPr>
          <w:rFonts w:hint="eastAsia" w:ascii="宋体" w:hAnsi="宋体"/>
          <w:color w:val="auto"/>
          <w:sz w:val="21"/>
          <w:szCs w:val="21"/>
          <w:highlight w:val="none"/>
          <w:lang w:val="en-US" w:eastAsia="zh-CN"/>
        </w:rPr>
        <w:t>720万元人民币</w:t>
      </w:r>
      <w:r>
        <w:rPr>
          <w:rFonts w:hint="eastAsia" w:ascii="宋体" w:hAnsi="宋体"/>
          <w:color w:val="auto"/>
          <w:sz w:val="21"/>
          <w:szCs w:val="21"/>
          <w:highlight w:val="none"/>
          <w:lang w:eastAsia="zh-CN"/>
        </w:rPr>
        <w:t>（含税）。</w:t>
      </w:r>
    </w:p>
    <w:p w14:paraId="15415893">
      <w:pPr>
        <w:pStyle w:val="4"/>
        <w:numPr>
          <w:ilvl w:val="0"/>
          <w:numId w:val="0"/>
        </w:numPr>
        <w:tabs>
          <w:tab w:val="left" w:pos="2412"/>
        </w:tabs>
        <w:spacing w:line="348" w:lineRule="auto"/>
        <w:ind w:left="420" w:leftChars="200" w:right="157" w:rightChars="0" w:firstLine="0" w:firstLineChars="0"/>
        <w:rPr>
          <w:rFonts w:hint="eastAsia"/>
          <w:color w:val="auto"/>
          <w:spacing w:val="-1"/>
          <w:sz w:val="21"/>
          <w:szCs w:val="21"/>
          <w:highlight w:val="none"/>
          <w:lang w:val="en-US" w:eastAsia="zh-CN"/>
        </w:rPr>
      </w:pPr>
      <w:r>
        <w:rPr>
          <w:rFonts w:hint="eastAsia" w:ascii="Times New Roman" w:hAnsi="Times New Roman" w:eastAsia="宋体" w:cs="Times New Roman"/>
          <w:color w:val="auto"/>
          <w:spacing w:val="-1"/>
          <w:kern w:val="2"/>
          <w:sz w:val="21"/>
          <w:szCs w:val="21"/>
          <w:highlight w:val="none"/>
          <w:lang w:val="en-US" w:eastAsia="zh-CN" w:bidi="ar-SA"/>
        </w:rPr>
        <w:t>（3）项目服务期：自合同签订之日起24个月。</w:t>
      </w:r>
    </w:p>
    <w:p w14:paraId="75351DA0">
      <w:pPr>
        <w:pStyle w:val="4"/>
        <w:tabs>
          <w:tab w:val="left" w:pos="2412"/>
        </w:tabs>
        <w:spacing w:line="348" w:lineRule="auto"/>
        <w:ind w:left="420" w:leftChars="200" w:right="157" w:firstLine="0" w:firstLineChars="0"/>
        <w:rPr>
          <w:rFonts w:hint="default"/>
          <w:color w:val="auto"/>
          <w:spacing w:val="-1"/>
          <w:sz w:val="21"/>
          <w:szCs w:val="21"/>
          <w:highlight w:val="none"/>
          <w:lang w:val="en-US" w:eastAsia="zh-CN"/>
        </w:rPr>
      </w:pPr>
      <w:r>
        <w:rPr>
          <w:rFonts w:hint="eastAsia"/>
          <w:color w:val="auto"/>
          <w:spacing w:val="-1"/>
          <w:sz w:val="21"/>
          <w:szCs w:val="21"/>
          <w:highlight w:val="none"/>
          <w:lang w:val="en-US" w:eastAsia="zh-CN"/>
        </w:rPr>
        <w:t>2.3包组划分：本项目不划分包组。</w:t>
      </w:r>
    </w:p>
    <w:p w14:paraId="3CFB2B38">
      <w:pPr>
        <w:pStyle w:val="4"/>
        <w:tabs>
          <w:tab w:val="left" w:pos="2412"/>
        </w:tabs>
        <w:spacing w:line="348" w:lineRule="auto"/>
        <w:ind w:right="157" w:firstLine="419"/>
        <w:rPr>
          <w:rFonts w:hint="eastAsia"/>
          <w:color w:val="auto"/>
          <w:spacing w:val="-1"/>
          <w:sz w:val="21"/>
          <w:szCs w:val="21"/>
          <w:highlight w:val="none"/>
          <w:lang w:val="en-US" w:eastAsia="zh-CN"/>
        </w:rPr>
      </w:pPr>
      <w:r>
        <w:rPr>
          <w:rFonts w:hint="eastAsia"/>
          <w:color w:val="auto"/>
          <w:sz w:val="21"/>
          <w:szCs w:val="21"/>
          <w:highlight w:val="none"/>
          <w:lang w:val="en-US" w:eastAsia="zh-CN"/>
        </w:rPr>
        <w:t>2.</w:t>
      </w:r>
      <w:r>
        <w:rPr>
          <w:rFonts w:hint="default"/>
          <w:color w:val="auto"/>
          <w:sz w:val="21"/>
          <w:szCs w:val="21"/>
          <w:highlight w:val="none"/>
          <w:lang w:val="en-US" w:eastAsia="zh-CN"/>
        </w:rPr>
        <w:t>4</w:t>
      </w:r>
      <w:r>
        <w:rPr>
          <w:rFonts w:hint="eastAsia"/>
          <w:color w:val="auto"/>
          <w:sz w:val="21"/>
          <w:szCs w:val="21"/>
          <w:highlight w:val="none"/>
          <w:lang w:val="en-US" w:eastAsia="zh-CN"/>
        </w:rPr>
        <w:t>本项目设置最高总价投标限价720万元。（</w:t>
      </w:r>
      <w:r>
        <w:rPr>
          <w:rFonts w:hint="eastAsia"/>
          <w:color w:val="auto"/>
          <w:spacing w:val="-1"/>
          <w:sz w:val="21"/>
          <w:szCs w:val="21"/>
          <w:highlight w:val="none"/>
          <w:lang w:val="en-US" w:eastAsia="zh-CN"/>
        </w:rPr>
        <w:t>投标人投标报价高于最高投标限价的，其投标将被否决。）</w:t>
      </w:r>
    </w:p>
    <w:bookmarkEnd w:id="6"/>
    <w:p w14:paraId="55DC4CC9">
      <w:pPr>
        <w:spacing w:before="240" w:after="240" w:line="400" w:lineRule="exact"/>
        <w:rPr>
          <w:rFonts w:hint="eastAsia" w:ascii="黑体" w:hAnsi="Arial" w:eastAsia="黑体"/>
          <w:b/>
          <w:bCs/>
          <w:color w:val="auto"/>
          <w:sz w:val="28"/>
          <w:szCs w:val="28"/>
          <w:highlight w:val="none"/>
        </w:rPr>
      </w:pPr>
      <w:bookmarkStart w:id="9" w:name="_bookmark4"/>
      <w:bookmarkEnd w:id="9"/>
      <w:bookmarkStart w:id="10" w:name="_Toc502224205"/>
      <w:r>
        <w:rPr>
          <w:rFonts w:hint="eastAsia" w:ascii="黑体" w:hAnsi="Arial" w:eastAsia="黑体"/>
          <w:b/>
          <w:bCs/>
          <w:color w:val="auto"/>
          <w:sz w:val="28"/>
          <w:szCs w:val="28"/>
          <w:highlight w:val="none"/>
          <w:lang w:val="en-US" w:eastAsia="zh-CN"/>
        </w:rPr>
        <w:t>3</w:t>
      </w:r>
      <w:r>
        <w:rPr>
          <w:rFonts w:hint="eastAsia" w:ascii="黑体" w:hAnsi="Arial" w:eastAsia="黑体"/>
          <w:b/>
          <w:bCs/>
          <w:color w:val="auto"/>
          <w:sz w:val="28"/>
          <w:szCs w:val="28"/>
          <w:highlight w:val="none"/>
        </w:rPr>
        <w:t>．投标人资格要求</w:t>
      </w:r>
      <w:bookmarkEnd w:id="10"/>
    </w:p>
    <w:p w14:paraId="0F15DEA3">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lang w:val="en-US" w:eastAsia="zh-CN"/>
        </w:rPr>
      </w:pPr>
      <w:bookmarkStart w:id="11" w:name="_bookmark5"/>
      <w:bookmarkEnd w:id="11"/>
      <w:bookmarkStart w:id="12" w:name="_Toc502224206"/>
      <w:r>
        <w:rPr>
          <w:rFonts w:hint="eastAsia"/>
          <w:color w:val="auto"/>
          <w:kern w:val="2"/>
          <w:sz w:val="21"/>
          <w:szCs w:val="21"/>
          <w:highlight w:val="none"/>
          <w:lang w:val="en-US" w:eastAsia="zh-CN"/>
        </w:rPr>
        <w:t>3</w:t>
      </w:r>
      <w:r>
        <w:rPr>
          <w:rFonts w:hint="eastAsia" w:hAnsi="Times New Roman"/>
          <w:color w:val="auto"/>
          <w:kern w:val="2"/>
          <w:sz w:val="21"/>
          <w:szCs w:val="21"/>
          <w:highlight w:val="none"/>
          <w:lang w:val="en-US" w:eastAsia="zh-CN"/>
        </w:rPr>
        <w:t xml:space="preserve">.1 </w:t>
      </w:r>
      <w:r>
        <w:rPr>
          <w:rFonts w:hint="eastAsia" w:hAnsi="Times New Roman"/>
          <w:color w:val="auto"/>
          <w:kern w:val="2"/>
          <w:sz w:val="21"/>
          <w:szCs w:val="21"/>
          <w:highlight w:val="none"/>
          <w:lang w:val="en-US"/>
        </w:rPr>
        <w:t>投标人必须是具有独立承担民事责任能力的在中华人民共和国境内注册的法人、</w:t>
      </w:r>
      <w:r>
        <w:rPr>
          <w:rFonts w:hint="eastAsia" w:hAnsi="Times New Roman"/>
          <w:color w:val="auto"/>
          <w:kern w:val="2"/>
          <w:sz w:val="21"/>
          <w:szCs w:val="21"/>
          <w:highlight w:val="none"/>
          <w:lang w:val="en-US" w:eastAsia="zh-CN"/>
        </w:rPr>
        <w:t>事业单位</w:t>
      </w:r>
      <w:r>
        <w:rPr>
          <w:rFonts w:hint="eastAsia" w:hAnsi="Times New Roman"/>
          <w:color w:val="auto"/>
          <w:kern w:val="2"/>
          <w:sz w:val="21"/>
          <w:szCs w:val="21"/>
          <w:highlight w:val="none"/>
          <w:lang w:val="en-US"/>
        </w:rPr>
        <w:t>或其他组织，提供有效的营业执照或</w:t>
      </w:r>
      <w:r>
        <w:rPr>
          <w:rFonts w:hint="eastAsia" w:hAnsi="Times New Roman"/>
          <w:color w:val="auto"/>
          <w:kern w:val="2"/>
          <w:sz w:val="21"/>
          <w:szCs w:val="21"/>
          <w:highlight w:val="none"/>
          <w:lang w:val="en-US" w:eastAsia="zh-CN"/>
        </w:rPr>
        <w:t>事业单位</w:t>
      </w:r>
      <w:r>
        <w:rPr>
          <w:rFonts w:hint="eastAsia" w:hAnsi="Times New Roman"/>
          <w:color w:val="auto"/>
          <w:kern w:val="2"/>
          <w:sz w:val="21"/>
          <w:szCs w:val="21"/>
          <w:highlight w:val="none"/>
          <w:lang w:val="en-US"/>
        </w:rPr>
        <w:t>法人登记证书复印件。如为分支机构参加投标，投标人需提供具备法人资格的上级机构出具的授权书，授权书需明确投标人的权限范围，并提交</w:t>
      </w:r>
      <w:r>
        <w:rPr>
          <w:rFonts w:hint="eastAsia" w:hAnsi="Times New Roman"/>
          <w:color w:val="auto"/>
          <w:kern w:val="2"/>
          <w:sz w:val="21"/>
          <w:szCs w:val="21"/>
          <w:highlight w:val="none"/>
          <w:lang w:val="en-US" w:eastAsia="zh-CN"/>
        </w:rPr>
        <w:t>具备法人资格的单位</w:t>
      </w:r>
      <w:r>
        <w:rPr>
          <w:rFonts w:hint="eastAsia" w:hAnsi="Times New Roman"/>
          <w:color w:val="auto"/>
          <w:kern w:val="2"/>
          <w:sz w:val="21"/>
          <w:szCs w:val="21"/>
          <w:highlight w:val="none"/>
          <w:lang w:val="en-US"/>
        </w:rPr>
        <w:t>营业执照或法人登记证书复印件。</w:t>
      </w:r>
      <w:r>
        <w:rPr>
          <w:rFonts w:hint="eastAsia" w:hAnsi="Times New Roman"/>
          <w:color w:val="auto"/>
          <w:kern w:val="2"/>
          <w:sz w:val="21"/>
          <w:szCs w:val="21"/>
          <w:highlight w:val="none"/>
        </w:rPr>
        <w:t xml:space="preserve">  </w:t>
      </w:r>
    </w:p>
    <w:p w14:paraId="47B086D7">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lang w:val="en-US" w:eastAsia="zh-CN"/>
        </w:rPr>
      </w:pPr>
      <w:r>
        <w:rPr>
          <w:rFonts w:hint="eastAsia"/>
          <w:color w:val="auto"/>
          <w:kern w:val="2"/>
          <w:sz w:val="21"/>
          <w:szCs w:val="21"/>
          <w:highlight w:val="none"/>
          <w:lang w:val="en-US" w:eastAsia="zh-CN"/>
        </w:rPr>
        <w:t>3</w:t>
      </w:r>
      <w:r>
        <w:rPr>
          <w:rFonts w:hint="eastAsia" w:hAnsi="Times New Roman"/>
          <w:color w:val="auto"/>
          <w:kern w:val="2"/>
          <w:sz w:val="21"/>
          <w:szCs w:val="21"/>
          <w:highlight w:val="none"/>
          <w:lang w:val="en-US" w:eastAsia="zh-CN"/>
        </w:rPr>
        <w:t>.2</w:t>
      </w:r>
      <w:r>
        <w:rPr>
          <w:rFonts w:hint="eastAsia" w:hAnsi="Times New Roman"/>
          <w:color w:val="auto"/>
          <w:kern w:val="2"/>
          <w:sz w:val="21"/>
          <w:szCs w:val="21"/>
          <w:highlight w:val="none"/>
        </w:rPr>
        <w:t>投标人</w:t>
      </w:r>
      <w:r>
        <w:rPr>
          <w:rFonts w:hint="eastAsia" w:hAnsi="Times New Roman"/>
          <w:color w:val="auto"/>
          <w:kern w:val="2"/>
          <w:sz w:val="21"/>
          <w:szCs w:val="21"/>
          <w:highlight w:val="none"/>
          <w:lang w:val="en-US" w:eastAsia="zh-CN"/>
        </w:rPr>
        <w:t>须满足以下信誉要求：</w:t>
      </w:r>
    </w:p>
    <w:p w14:paraId="31E0EF33">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lang w:eastAsia="zh-CN"/>
        </w:rPr>
      </w:pPr>
      <w:r>
        <w:rPr>
          <w:rFonts w:hint="eastAsia" w:hAnsi="Times New Roman"/>
          <w:color w:val="auto"/>
          <w:kern w:val="2"/>
          <w:sz w:val="21"/>
          <w:szCs w:val="21"/>
          <w:highlight w:val="none"/>
          <w:lang w:val="en-US" w:eastAsia="zh-CN"/>
        </w:rPr>
        <w:t>（1）</w:t>
      </w:r>
      <w:r>
        <w:rPr>
          <w:rFonts w:hint="eastAsia" w:hAnsi="Times New Roman"/>
          <w:color w:val="auto"/>
          <w:kern w:val="2"/>
          <w:sz w:val="21"/>
          <w:szCs w:val="21"/>
          <w:highlight w:val="none"/>
        </w:rPr>
        <w:t>没有处于被行政主管部门或行政监督部门责令停业，</w:t>
      </w:r>
      <w:r>
        <w:rPr>
          <w:rFonts w:hint="eastAsia" w:hAnsi="Times New Roman"/>
          <w:color w:val="auto"/>
          <w:kern w:val="2"/>
          <w:sz w:val="21"/>
          <w:szCs w:val="21"/>
          <w:highlight w:val="none"/>
          <w:lang w:val="en-US" w:eastAsia="zh-CN"/>
        </w:rPr>
        <w:t>投标</w:t>
      </w:r>
      <w:r>
        <w:rPr>
          <w:rFonts w:hint="eastAsia" w:hAnsi="Times New Roman"/>
          <w:color w:val="auto"/>
          <w:kern w:val="2"/>
          <w:sz w:val="21"/>
          <w:szCs w:val="21"/>
          <w:highlight w:val="none"/>
        </w:rPr>
        <w:t>资格被取消，财产被接管、冻结或破产状态</w:t>
      </w:r>
      <w:r>
        <w:rPr>
          <w:rFonts w:hint="eastAsia" w:hAnsi="Times New Roman"/>
          <w:color w:val="auto"/>
          <w:kern w:val="2"/>
          <w:sz w:val="21"/>
          <w:szCs w:val="21"/>
          <w:highlight w:val="none"/>
          <w:lang w:eastAsia="zh-CN"/>
        </w:rPr>
        <w:t>（</w:t>
      </w:r>
      <w:r>
        <w:rPr>
          <w:rFonts w:hint="eastAsia" w:hAnsi="Times New Roman"/>
          <w:color w:val="auto"/>
          <w:kern w:val="2"/>
          <w:sz w:val="21"/>
          <w:szCs w:val="21"/>
          <w:highlight w:val="none"/>
          <w:lang w:val="en-US" w:eastAsia="zh-CN"/>
        </w:rPr>
        <w:t>提供投标人资格声明函</w:t>
      </w:r>
      <w:r>
        <w:rPr>
          <w:rFonts w:hint="eastAsia" w:hAnsi="Times New Roman"/>
          <w:color w:val="auto"/>
          <w:kern w:val="2"/>
          <w:sz w:val="21"/>
          <w:szCs w:val="21"/>
          <w:highlight w:val="none"/>
          <w:lang w:eastAsia="zh-CN"/>
        </w:rPr>
        <w:t>）。</w:t>
      </w:r>
    </w:p>
    <w:p w14:paraId="6559B419">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lang w:val="en-US" w:eastAsia="zh-CN"/>
        </w:rPr>
      </w:pPr>
      <w:r>
        <w:rPr>
          <w:rFonts w:hint="eastAsia" w:hAnsi="Times New Roman"/>
          <w:color w:val="auto"/>
          <w:kern w:val="2"/>
          <w:sz w:val="21"/>
          <w:szCs w:val="21"/>
          <w:highlight w:val="none"/>
          <w:lang w:val="en-US" w:eastAsia="zh-CN"/>
        </w:rPr>
        <w:t>（2）投标人未被列入失信被执行人、重大税收违法失信主体、政府采购严重违法失信行为记录名单（注：①由评标委员会于投标截止日在“信用中国”网站（www.creditchina.gov.cn）查询结果为准，处罚期限届满的除外。如在上述网站查询结果均显示没有相关记录，视为不存在上述不良信用记录。②投标人为分公司的，同时对该分公司所属总公司（总所）进行信用记录查询，该分公司所属总公司（总所）存在不良信用记录的，视同供应商存在不良信用记录。）</w:t>
      </w:r>
    </w:p>
    <w:p w14:paraId="116DB012">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lang w:val="en-US" w:eastAsia="zh-CN"/>
        </w:rPr>
      </w:pPr>
      <w:r>
        <w:rPr>
          <w:rFonts w:hint="eastAsia" w:hAnsi="Times New Roman"/>
          <w:color w:val="auto"/>
          <w:kern w:val="2"/>
          <w:sz w:val="21"/>
          <w:szCs w:val="21"/>
          <w:highlight w:val="none"/>
          <w:lang w:val="en-US" w:eastAsia="zh-CN"/>
        </w:rPr>
        <w:t>（3）未被列入广东省广播电视网络股份有限公司供应商黑名单（处罚期限届满的除外）。</w:t>
      </w:r>
    </w:p>
    <w:p w14:paraId="705E6F0D">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rPr>
      </w:pPr>
      <w:r>
        <w:rPr>
          <w:rFonts w:hint="eastAsia"/>
          <w:color w:val="auto"/>
          <w:kern w:val="2"/>
          <w:sz w:val="21"/>
          <w:szCs w:val="21"/>
          <w:highlight w:val="none"/>
          <w:lang w:val="en-US" w:eastAsia="zh-CN"/>
        </w:rPr>
        <w:t>3</w:t>
      </w:r>
      <w:r>
        <w:rPr>
          <w:rFonts w:hint="eastAsia" w:hAnsi="Times New Roman"/>
          <w:color w:val="auto"/>
          <w:kern w:val="2"/>
          <w:sz w:val="21"/>
          <w:szCs w:val="21"/>
          <w:highlight w:val="none"/>
          <w:lang w:val="en-US" w:eastAsia="zh-CN"/>
        </w:rPr>
        <w:t>.</w:t>
      </w:r>
      <w:r>
        <w:rPr>
          <w:rFonts w:hint="eastAsia"/>
          <w:color w:val="auto"/>
          <w:kern w:val="2"/>
          <w:sz w:val="21"/>
          <w:szCs w:val="21"/>
          <w:highlight w:val="none"/>
          <w:lang w:val="en-US" w:eastAsia="zh-CN"/>
        </w:rPr>
        <w:t>3</w:t>
      </w:r>
      <w:r>
        <w:rPr>
          <w:rFonts w:hint="eastAsia" w:hAnsi="Times New Roman"/>
          <w:color w:val="auto"/>
          <w:kern w:val="2"/>
          <w:sz w:val="21"/>
          <w:szCs w:val="21"/>
          <w:highlight w:val="none"/>
        </w:rPr>
        <w:t>本项目不接受联合体投标。</w:t>
      </w:r>
    </w:p>
    <w:p w14:paraId="3B0B98B3">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lang w:val="en-US" w:eastAsia="zh-CN"/>
        </w:rPr>
      </w:pPr>
      <w:r>
        <w:rPr>
          <w:rFonts w:hint="eastAsia"/>
          <w:color w:val="auto"/>
          <w:kern w:val="2"/>
          <w:sz w:val="21"/>
          <w:szCs w:val="21"/>
          <w:highlight w:val="none"/>
          <w:lang w:val="en-US" w:eastAsia="zh-CN"/>
        </w:rPr>
        <w:t>3</w:t>
      </w:r>
      <w:r>
        <w:rPr>
          <w:rFonts w:hint="eastAsia" w:hAnsi="Times New Roman"/>
          <w:color w:val="auto"/>
          <w:kern w:val="2"/>
          <w:sz w:val="21"/>
          <w:szCs w:val="21"/>
          <w:highlight w:val="none"/>
          <w:lang w:val="en-US" w:eastAsia="zh-CN"/>
        </w:rPr>
        <w:t>.</w:t>
      </w:r>
      <w:r>
        <w:rPr>
          <w:rFonts w:hint="eastAsia"/>
          <w:color w:val="auto"/>
          <w:kern w:val="2"/>
          <w:sz w:val="21"/>
          <w:szCs w:val="21"/>
          <w:highlight w:val="none"/>
          <w:lang w:val="en-US" w:eastAsia="zh-CN"/>
        </w:rPr>
        <w:t>4</w:t>
      </w:r>
      <w:r>
        <w:rPr>
          <w:rFonts w:hint="eastAsia" w:hAnsi="Times New Roman"/>
          <w:color w:val="auto"/>
          <w:kern w:val="2"/>
          <w:sz w:val="21"/>
          <w:szCs w:val="21"/>
          <w:highlight w:val="none"/>
          <w:lang w:val="en-US" w:eastAsia="zh-CN"/>
        </w:rPr>
        <w:t>单位负责人为同一人或存在控股、管理关系的不同单位，不得参加同一包组投标或未划分包组的同一招标项目投标。</w:t>
      </w:r>
    </w:p>
    <w:p w14:paraId="4141183C">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lang w:val="en-US" w:eastAsia="zh-CN"/>
        </w:rPr>
      </w:pPr>
      <w:r>
        <w:rPr>
          <w:rFonts w:hint="eastAsia"/>
          <w:color w:val="auto"/>
          <w:kern w:val="2"/>
          <w:sz w:val="21"/>
          <w:szCs w:val="21"/>
          <w:highlight w:val="none"/>
          <w:lang w:val="en-US" w:eastAsia="zh-CN"/>
        </w:rPr>
        <w:t>3</w:t>
      </w:r>
      <w:r>
        <w:rPr>
          <w:rFonts w:hint="eastAsia" w:hAnsi="Times New Roman"/>
          <w:color w:val="auto"/>
          <w:kern w:val="2"/>
          <w:sz w:val="21"/>
          <w:szCs w:val="21"/>
          <w:highlight w:val="none"/>
          <w:lang w:val="en-US" w:eastAsia="zh-CN"/>
        </w:rPr>
        <w:t>.</w:t>
      </w:r>
      <w:r>
        <w:rPr>
          <w:rFonts w:hint="eastAsia"/>
          <w:color w:val="auto"/>
          <w:kern w:val="2"/>
          <w:sz w:val="21"/>
          <w:szCs w:val="21"/>
          <w:highlight w:val="none"/>
          <w:lang w:val="en-US" w:eastAsia="zh-CN"/>
        </w:rPr>
        <w:t>5</w:t>
      </w:r>
      <w:r>
        <w:rPr>
          <w:rFonts w:hint="eastAsia" w:hAnsi="Times New Roman"/>
          <w:color w:val="auto"/>
          <w:kern w:val="2"/>
          <w:sz w:val="21"/>
          <w:szCs w:val="21"/>
          <w:highlight w:val="none"/>
          <w:lang w:val="en-US" w:eastAsia="zh-CN"/>
        </w:rPr>
        <w:t>本项目不允许转包、分包。</w:t>
      </w:r>
    </w:p>
    <w:p w14:paraId="03545FBE">
      <w:pPr>
        <w:pStyle w:val="4"/>
        <w:tabs>
          <w:tab w:val="left" w:pos="2412"/>
        </w:tabs>
        <w:autoSpaceDE/>
        <w:autoSpaceDN/>
        <w:adjustRightInd/>
        <w:spacing w:line="348" w:lineRule="auto"/>
        <w:ind w:right="157" w:firstLine="419"/>
        <w:rPr>
          <w:rFonts w:hint="eastAsia"/>
          <w:color w:val="auto"/>
          <w:kern w:val="2"/>
          <w:sz w:val="21"/>
          <w:szCs w:val="21"/>
          <w:highlight w:val="none"/>
          <w:lang w:val="en-US" w:eastAsia="zh-CN"/>
        </w:rPr>
      </w:pPr>
      <w:r>
        <w:rPr>
          <w:rFonts w:hint="eastAsia"/>
          <w:color w:val="auto"/>
          <w:kern w:val="2"/>
          <w:sz w:val="21"/>
          <w:szCs w:val="21"/>
          <w:highlight w:val="none"/>
          <w:lang w:val="en-US" w:eastAsia="zh-CN"/>
        </w:rPr>
        <w:t>3.6投标人须同时具有以下企业资质：</w:t>
      </w:r>
    </w:p>
    <w:p w14:paraId="12401620">
      <w:pPr>
        <w:pStyle w:val="4"/>
        <w:numPr>
          <w:ilvl w:val="0"/>
          <w:numId w:val="2"/>
        </w:numPr>
        <w:tabs>
          <w:tab w:val="left" w:pos="2412"/>
        </w:tabs>
        <w:autoSpaceDE/>
        <w:autoSpaceDN/>
        <w:adjustRightInd/>
        <w:spacing w:line="348" w:lineRule="auto"/>
        <w:ind w:right="157" w:firstLine="419"/>
        <w:rPr>
          <w:rFonts w:hint="eastAsia"/>
          <w:color w:val="auto"/>
          <w:kern w:val="2"/>
          <w:sz w:val="21"/>
          <w:szCs w:val="21"/>
          <w:highlight w:val="none"/>
          <w:lang w:val="en-US" w:eastAsia="zh-CN"/>
        </w:rPr>
      </w:pPr>
      <w:r>
        <w:rPr>
          <w:rFonts w:hint="eastAsia"/>
          <w:color w:val="auto"/>
          <w:kern w:val="2"/>
          <w:sz w:val="21"/>
          <w:szCs w:val="21"/>
          <w:highlight w:val="none"/>
          <w:lang w:val="en-US" w:eastAsia="zh-CN"/>
        </w:rPr>
        <w:t>具有有效的通信工程施工总承包乙级（或二级）或以上资质；</w:t>
      </w:r>
    </w:p>
    <w:p w14:paraId="15BF43DC">
      <w:pPr>
        <w:pStyle w:val="4"/>
        <w:numPr>
          <w:ilvl w:val="0"/>
          <w:numId w:val="2"/>
        </w:numPr>
        <w:tabs>
          <w:tab w:val="left" w:pos="2412"/>
        </w:tabs>
        <w:autoSpaceDE/>
        <w:autoSpaceDN/>
        <w:adjustRightInd/>
        <w:spacing w:line="348" w:lineRule="auto"/>
        <w:ind w:right="157" w:firstLine="419"/>
        <w:rPr>
          <w:rFonts w:hint="default"/>
          <w:color w:val="auto"/>
          <w:kern w:val="2"/>
          <w:sz w:val="21"/>
          <w:szCs w:val="21"/>
          <w:highlight w:val="none"/>
          <w:lang w:val="en-US" w:eastAsia="zh-CN"/>
        </w:rPr>
      </w:pPr>
      <w:r>
        <w:rPr>
          <w:rFonts w:hint="eastAsia"/>
          <w:color w:val="auto"/>
          <w:kern w:val="2"/>
          <w:sz w:val="21"/>
          <w:szCs w:val="21"/>
          <w:highlight w:val="none"/>
          <w:lang w:val="en-US" w:eastAsia="zh-CN"/>
        </w:rPr>
        <w:t>具有有效的安全生产许可证。</w:t>
      </w:r>
    </w:p>
    <w:p w14:paraId="097C7BEA">
      <w:pPr>
        <w:pStyle w:val="4"/>
        <w:numPr>
          <w:ilvl w:val="0"/>
          <w:numId w:val="0"/>
        </w:numPr>
        <w:tabs>
          <w:tab w:val="left" w:pos="2412"/>
        </w:tabs>
        <w:autoSpaceDE/>
        <w:autoSpaceDN/>
        <w:adjustRightInd/>
        <w:spacing w:line="348" w:lineRule="auto"/>
        <w:ind w:right="157" w:rightChars="0" w:firstLine="420" w:firstLineChars="200"/>
        <w:rPr>
          <w:rFonts w:hint="default"/>
          <w:color w:val="auto"/>
          <w:kern w:val="2"/>
          <w:sz w:val="21"/>
          <w:szCs w:val="21"/>
          <w:highlight w:val="none"/>
          <w:lang w:val="en-US" w:eastAsia="zh-CN"/>
        </w:rPr>
      </w:pPr>
      <w:r>
        <w:rPr>
          <w:rFonts w:hint="eastAsia"/>
          <w:color w:val="auto"/>
          <w:kern w:val="2"/>
          <w:sz w:val="21"/>
          <w:szCs w:val="21"/>
          <w:highlight w:val="none"/>
          <w:lang w:val="en-US" w:eastAsia="zh-CN"/>
        </w:rPr>
        <w:t>注：须提供以上有效证书复印件。</w:t>
      </w:r>
    </w:p>
    <w:p w14:paraId="3B95150C">
      <w:pPr>
        <w:pStyle w:val="4"/>
        <w:tabs>
          <w:tab w:val="left" w:pos="2412"/>
          <w:tab w:val="left" w:pos="4620"/>
          <w:tab w:val="left" w:pos="4830"/>
        </w:tabs>
        <w:autoSpaceDE/>
        <w:autoSpaceDN/>
        <w:adjustRightInd/>
        <w:spacing w:line="348" w:lineRule="auto"/>
        <w:ind w:right="157" w:firstLine="419"/>
        <w:rPr>
          <w:rFonts w:hint="eastAsia" w:ascii="宋体" w:hAnsi="宋体"/>
          <w:color w:val="auto"/>
          <w:sz w:val="21"/>
          <w:szCs w:val="21"/>
          <w:highlight w:val="none"/>
          <w:lang w:val="en-US" w:eastAsia="zh-CN"/>
        </w:rPr>
      </w:pPr>
      <w:r>
        <w:rPr>
          <w:rFonts w:hint="eastAsia"/>
          <w:color w:val="auto"/>
          <w:kern w:val="2"/>
          <w:sz w:val="21"/>
          <w:szCs w:val="21"/>
          <w:highlight w:val="none"/>
          <w:lang w:val="en-US" w:eastAsia="zh-CN"/>
        </w:rPr>
        <w:t>3.7</w:t>
      </w:r>
      <w:r>
        <w:rPr>
          <w:rFonts w:hint="eastAsia" w:ascii="宋体" w:hAnsi="宋体"/>
          <w:color w:val="auto"/>
          <w:sz w:val="21"/>
          <w:szCs w:val="21"/>
          <w:highlight w:val="none"/>
          <w:lang w:val="en-US" w:eastAsia="zh-CN"/>
        </w:rPr>
        <w:t>投标人须具备由广东省交通集团出具的通信管道建设维护的相关授权许可或本项目涉及的所有高速公路路段业主出具的建设维护授权许可文件；或提供承诺函，承诺中标后30日内提供前述要求的建设维护授权许可证明材料。</w:t>
      </w:r>
    </w:p>
    <w:p w14:paraId="5C00AE60">
      <w:pPr>
        <w:pStyle w:val="4"/>
        <w:tabs>
          <w:tab w:val="left" w:pos="2412"/>
          <w:tab w:val="left" w:pos="4620"/>
          <w:tab w:val="left" w:pos="4830"/>
        </w:tabs>
        <w:autoSpaceDE/>
        <w:autoSpaceDN/>
        <w:adjustRightInd/>
        <w:spacing w:line="348" w:lineRule="auto"/>
        <w:ind w:right="157" w:firstLine="41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注：若提供承诺的，中标后无法在承诺的时间内提供授权许可证明材料，招标人有权解除中标人资格。</w:t>
      </w:r>
    </w:p>
    <w:p w14:paraId="4B5B8163">
      <w:pPr>
        <w:spacing w:before="240" w:after="240" w:line="400" w:lineRule="exact"/>
        <w:rPr>
          <w:rFonts w:ascii="黑体" w:hAnsi="Arial" w:eastAsia="黑体"/>
          <w:b/>
          <w:bCs/>
          <w:color w:val="auto"/>
          <w:sz w:val="28"/>
          <w:szCs w:val="28"/>
          <w:highlight w:val="none"/>
        </w:rPr>
      </w:pPr>
      <w:r>
        <w:rPr>
          <w:rFonts w:hint="eastAsia" w:ascii="黑体" w:hAnsi="Arial" w:eastAsia="黑体"/>
          <w:b/>
          <w:bCs/>
          <w:color w:val="auto"/>
          <w:sz w:val="28"/>
          <w:szCs w:val="28"/>
          <w:highlight w:val="none"/>
          <w:lang w:val="en-US" w:eastAsia="zh-CN"/>
        </w:rPr>
        <w:t>4.</w:t>
      </w:r>
      <w:r>
        <w:rPr>
          <w:rFonts w:hint="default" w:ascii="黑体" w:hAnsi="Arial" w:eastAsia="黑体"/>
          <w:b/>
          <w:bCs/>
          <w:color w:val="auto"/>
          <w:sz w:val="28"/>
          <w:szCs w:val="28"/>
          <w:highlight w:val="none"/>
        </w:rPr>
        <w:t>资格审查方法</w:t>
      </w:r>
    </w:p>
    <w:p w14:paraId="74241362">
      <w:pPr>
        <w:pStyle w:val="10"/>
        <w:tabs>
          <w:tab w:val="left" w:pos="2412"/>
        </w:tabs>
        <w:spacing w:before="240" w:after="240" w:line="348" w:lineRule="auto"/>
        <w:ind w:right="157" w:firstLine="480"/>
        <w:rPr>
          <w:rFonts w:ascii="黑体" w:hAnsi="Arial" w:eastAsia="黑体"/>
          <w:b/>
          <w:bCs/>
          <w:color w:val="auto"/>
          <w:sz w:val="21"/>
          <w:szCs w:val="21"/>
          <w:highlight w:val="none"/>
        </w:rPr>
      </w:pPr>
      <w:r>
        <w:rPr>
          <w:rFonts w:hint="eastAsia"/>
          <w:color w:val="auto"/>
          <w:sz w:val="21"/>
          <w:szCs w:val="21"/>
          <w:highlight w:val="none"/>
        </w:rPr>
        <w:t>本项目将进行资格后审，资格审查标准和内容见招标文件第三章“评标办法”，凡未通过资格后审的投标人，其投标将被否决。</w:t>
      </w:r>
    </w:p>
    <w:p w14:paraId="457F5A58">
      <w:pPr>
        <w:spacing w:before="240" w:after="240" w:line="400" w:lineRule="exact"/>
        <w:rPr>
          <w:rFonts w:ascii="黑体" w:hAnsi="Arial" w:eastAsia="黑体"/>
          <w:b/>
          <w:bCs/>
          <w:color w:val="auto"/>
          <w:sz w:val="28"/>
          <w:szCs w:val="28"/>
          <w:highlight w:val="none"/>
        </w:rPr>
      </w:pPr>
      <w:r>
        <w:rPr>
          <w:rFonts w:hint="eastAsia" w:ascii="黑体" w:hAnsi="Arial" w:eastAsia="黑体"/>
          <w:b/>
          <w:bCs/>
          <w:color w:val="auto"/>
          <w:sz w:val="28"/>
          <w:szCs w:val="28"/>
          <w:highlight w:val="none"/>
          <w:lang w:val="en-US" w:eastAsia="zh-CN"/>
        </w:rPr>
        <w:t>5</w:t>
      </w:r>
      <w:r>
        <w:rPr>
          <w:rFonts w:hint="eastAsia" w:ascii="黑体" w:hAnsi="Arial" w:eastAsia="黑体"/>
          <w:b/>
          <w:bCs/>
          <w:color w:val="auto"/>
          <w:sz w:val="28"/>
          <w:szCs w:val="28"/>
          <w:highlight w:val="none"/>
        </w:rPr>
        <w:t>．招标文件的获取</w:t>
      </w:r>
      <w:bookmarkEnd w:id="12"/>
    </w:p>
    <w:p w14:paraId="7434468B">
      <w:pPr>
        <w:pStyle w:val="4"/>
        <w:spacing w:line="348" w:lineRule="auto"/>
        <w:ind w:right="157" w:firstLine="419"/>
        <w:rPr>
          <w:rFonts w:hint="eastAsia" w:eastAsia="宋体"/>
          <w:color w:val="auto"/>
          <w:sz w:val="21"/>
          <w:szCs w:val="21"/>
          <w:highlight w:val="none"/>
          <w:lang w:eastAsia="zh-CN"/>
        </w:rPr>
      </w:pPr>
      <w:r>
        <w:rPr>
          <w:rFonts w:hint="eastAsia"/>
          <w:color w:val="auto"/>
          <w:sz w:val="21"/>
          <w:szCs w:val="21"/>
          <w:highlight w:val="none"/>
          <w:lang w:val="en-US" w:eastAsia="zh-CN"/>
        </w:rPr>
        <w:t>5</w:t>
      </w:r>
      <w:r>
        <w:rPr>
          <w:rFonts w:hint="eastAsia"/>
          <w:color w:val="auto"/>
          <w:sz w:val="21"/>
          <w:szCs w:val="21"/>
          <w:highlight w:val="none"/>
        </w:rPr>
        <w:t>.1获取时间：从</w:t>
      </w:r>
      <w:r>
        <w:rPr>
          <w:rFonts w:hint="eastAsia"/>
          <w:color w:val="auto"/>
          <w:sz w:val="21"/>
          <w:szCs w:val="21"/>
          <w:highlight w:val="none"/>
          <w:u w:val="single"/>
          <w:lang w:val="en-US" w:eastAsia="zh-CN"/>
        </w:rPr>
        <w:t>2025</w:t>
      </w:r>
      <w:r>
        <w:rPr>
          <w:color w:val="auto"/>
          <w:sz w:val="21"/>
          <w:szCs w:val="21"/>
          <w:highlight w:val="none"/>
          <w:u w:val="single"/>
        </w:rPr>
        <w:t>年</w:t>
      </w:r>
      <w:r>
        <w:rPr>
          <w:rFonts w:hint="eastAsia"/>
          <w:color w:val="auto"/>
          <w:sz w:val="21"/>
          <w:szCs w:val="21"/>
          <w:highlight w:val="none"/>
          <w:u w:val="single"/>
          <w:lang w:val="en-US" w:eastAsia="zh-CN"/>
        </w:rPr>
        <w:t>12</w:t>
      </w:r>
      <w:r>
        <w:rPr>
          <w:color w:val="auto"/>
          <w:sz w:val="21"/>
          <w:szCs w:val="21"/>
          <w:highlight w:val="none"/>
          <w:u w:val="single"/>
        </w:rPr>
        <w:t>月</w:t>
      </w:r>
      <w:r>
        <w:rPr>
          <w:rFonts w:hint="eastAsia"/>
          <w:color w:val="auto"/>
          <w:sz w:val="21"/>
          <w:szCs w:val="21"/>
          <w:highlight w:val="none"/>
          <w:u w:val="single"/>
          <w:lang w:eastAsia="zh-CN"/>
        </w:rPr>
        <w:t>9</w:t>
      </w:r>
      <w:r>
        <w:rPr>
          <w:rFonts w:hint="eastAsia"/>
          <w:color w:val="auto"/>
          <w:sz w:val="21"/>
          <w:szCs w:val="21"/>
          <w:highlight w:val="none"/>
          <w:u w:val="single"/>
        </w:rPr>
        <w:t>日</w:t>
      </w:r>
      <w:r>
        <w:rPr>
          <w:rFonts w:hint="eastAsia"/>
          <w:color w:val="auto"/>
          <w:sz w:val="21"/>
          <w:szCs w:val="21"/>
          <w:highlight w:val="none"/>
          <w:u w:val="single"/>
          <w:lang w:eastAsia="zh-CN"/>
        </w:rPr>
        <w:t>1</w:t>
      </w:r>
      <w:r>
        <w:rPr>
          <w:rFonts w:hint="eastAsia"/>
          <w:color w:val="auto"/>
          <w:sz w:val="21"/>
          <w:szCs w:val="21"/>
          <w:highlight w:val="none"/>
          <w:u w:val="single"/>
          <w:lang w:val="en-US" w:eastAsia="zh-CN"/>
        </w:rPr>
        <w:t>4</w:t>
      </w:r>
      <w:r>
        <w:rPr>
          <w:rFonts w:hint="eastAsia"/>
          <w:color w:val="auto"/>
          <w:sz w:val="21"/>
          <w:szCs w:val="21"/>
          <w:highlight w:val="none"/>
          <w:u w:val="single"/>
        </w:rPr>
        <w:t>时</w:t>
      </w:r>
      <w:r>
        <w:rPr>
          <w:rFonts w:hint="eastAsia"/>
          <w:color w:val="auto"/>
          <w:sz w:val="21"/>
          <w:szCs w:val="21"/>
          <w:highlight w:val="none"/>
          <w:u w:val="single"/>
          <w:lang w:eastAsia="zh-CN"/>
        </w:rPr>
        <w:t>0</w:t>
      </w:r>
      <w:r>
        <w:rPr>
          <w:rFonts w:hint="eastAsia"/>
          <w:color w:val="auto"/>
          <w:sz w:val="21"/>
          <w:szCs w:val="21"/>
          <w:highlight w:val="none"/>
          <w:u w:val="single"/>
          <w:lang w:val="en-US" w:eastAsia="zh-CN"/>
        </w:rPr>
        <w:t>0</w:t>
      </w:r>
      <w:r>
        <w:rPr>
          <w:rFonts w:hint="eastAsia"/>
          <w:color w:val="auto"/>
          <w:sz w:val="21"/>
          <w:szCs w:val="21"/>
          <w:highlight w:val="none"/>
          <w:u w:val="single"/>
        </w:rPr>
        <w:t>分</w:t>
      </w:r>
      <w:r>
        <w:rPr>
          <w:rFonts w:hint="eastAsia"/>
          <w:color w:val="auto"/>
          <w:sz w:val="21"/>
          <w:szCs w:val="21"/>
          <w:highlight w:val="none"/>
          <w:u w:val="none"/>
        </w:rPr>
        <w:t>到</w:t>
      </w:r>
      <w:r>
        <w:rPr>
          <w:rFonts w:hint="eastAsia"/>
          <w:color w:val="auto"/>
          <w:sz w:val="21"/>
          <w:szCs w:val="21"/>
          <w:highlight w:val="none"/>
          <w:u w:val="single"/>
          <w:lang w:val="en-US" w:eastAsia="zh-CN"/>
        </w:rPr>
        <w:t>2025</w:t>
      </w:r>
      <w:r>
        <w:rPr>
          <w:color w:val="auto"/>
          <w:sz w:val="21"/>
          <w:szCs w:val="21"/>
          <w:highlight w:val="none"/>
          <w:u w:val="single"/>
        </w:rPr>
        <w:t>年</w:t>
      </w:r>
      <w:r>
        <w:rPr>
          <w:rFonts w:hint="eastAsia"/>
          <w:color w:val="auto"/>
          <w:sz w:val="21"/>
          <w:szCs w:val="21"/>
          <w:highlight w:val="none"/>
          <w:u w:val="single"/>
          <w:lang w:val="en-US" w:eastAsia="zh-CN"/>
        </w:rPr>
        <w:t>12</w:t>
      </w:r>
      <w:r>
        <w:rPr>
          <w:color w:val="auto"/>
          <w:sz w:val="21"/>
          <w:szCs w:val="21"/>
          <w:highlight w:val="none"/>
          <w:u w:val="single"/>
        </w:rPr>
        <w:t>月</w:t>
      </w:r>
      <w:r>
        <w:rPr>
          <w:rFonts w:hint="eastAsia"/>
          <w:color w:val="auto"/>
          <w:sz w:val="21"/>
          <w:szCs w:val="21"/>
          <w:highlight w:val="none"/>
          <w:u w:val="single"/>
          <w:lang w:val="en-US" w:eastAsia="zh-CN"/>
        </w:rPr>
        <w:t>15</w:t>
      </w:r>
      <w:r>
        <w:rPr>
          <w:rFonts w:hint="eastAsia"/>
          <w:color w:val="auto"/>
          <w:sz w:val="21"/>
          <w:szCs w:val="21"/>
          <w:highlight w:val="none"/>
          <w:u w:val="single"/>
        </w:rPr>
        <w:t>日</w:t>
      </w:r>
      <w:r>
        <w:rPr>
          <w:rFonts w:hint="eastAsia"/>
          <w:color w:val="auto"/>
          <w:sz w:val="21"/>
          <w:szCs w:val="21"/>
          <w:highlight w:val="none"/>
          <w:u w:val="single"/>
          <w:lang w:eastAsia="zh-CN"/>
        </w:rPr>
        <w:t>1</w:t>
      </w:r>
      <w:r>
        <w:rPr>
          <w:rFonts w:hint="eastAsia"/>
          <w:color w:val="auto"/>
          <w:sz w:val="21"/>
          <w:szCs w:val="21"/>
          <w:highlight w:val="none"/>
          <w:u w:val="single"/>
          <w:lang w:val="en-US" w:eastAsia="zh-CN"/>
        </w:rPr>
        <w:t>7</w:t>
      </w:r>
      <w:r>
        <w:rPr>
          <w:rFonts w:hint="eastAsia"/>
          <w:color w:val="auto"/>
          <w:sz w:val="21"/>
          <w:szCs w:val="21"/>
          <w:highlight w:val="none"/>
          <w:u w:val="single"/>
        </w:rPr>
        <w:t>时</w:t>
      </w:r>
      <w:r>
        <w:rPr>
          <w:rFonts w:hint="eastAsia"/>
          <w:color w:val="auto"/>
          <w:sz w:val="21"/>
          <w:szCs w:val="21"/>
          <w:highlight w:val="none"/>
          <w:u w:val="single"/>
          <w:lang w:eastAsia="zh-CN"/>
        </w:rPr>
        <w:t>3</w:t>
      </w:r>
      <w:r>
        <w:rPr>
          <w:rFonts w:hint="eastAsia"/>
          <w:color w:val="auto"/>
          <w:sz w:val="21"/>
          <w:szCs w:val="21"/>
          <w:highlight w:val="none"/>
          <w:u w:val="single"/>
          <w:lang w:val="en-US" w:eastAsia="zh-CN"/>
        </w:rPr>
        <w:t>0分</w:t>
      </w:r>
      <w:r>
        <w:rPr>
          <w:rFonts w:hint="default"/>
          <w:color w:val="auto"/>
          <w:sz w:val="21"/>
          <w:szCs w:val="21"/>
          <w:highlight w:val="none"/>
          <w:u w:val="none"/>
        </w:rPr>
        <w:t>（北京时间，下同）</w:t>
      </w:r>
      <w:r>
        <w:rPr>
          <w:rFonts w:hint="eastAsia"/>
          <w:color w:val="auto"/>
          <w:sz w:val="21"/>
          <w:szCs w:val="21"/>
          <w:highlight w:val="none"/>
          <w:u w:val="none"/>
          <w:lang w:eastAsia="zh-CN"/>
        </w:rPr>
        <w:t>。</w:t>
      </w:r>
    </w:p>
    <w:p w14:paraId="4ABF5449">
      <w:pPr>
        <w:numPr>
          <w:ilvl w:val="255"/>
          <w:numId w:val="0"/>
        </w:numPr>
        <w:adjustRightInd w:val="0"/>
        <w:snapToGrid w:val="0"/>
        <w:spacing w:line="440" w:lineRule="exact"/>
        <w:ind w:firstLine="420" w:firstLineChars="200"/>
        <w:rPr>
          <w:rFonts w:hint="eastAsia" w:ascii="宋体" w:hAnsi="宋体"/>
          <w:color w:val="auto"/>
          <w:spacing w:val="2"/>
          <w:szCs w:val="21"/>
          <w:highlight w:val="none"/>
        </w:rPr>
      </w:pPr>
      <w:bookmarkStart w:id="13" w:name="_Toc502224207"/>
      <w:r>
        <w:rPr>
          <w:rFonts w:hint="eastAsia"/>
          <w:color w:val="auto"/>
          <w:highlight w:val="none"/>
          <w:lang w:val="en-US" w:eastAsia="zh-CN"/>
        </w:rPr>
        <w:t>5</w:t>
      </w:r>
      <w:r>
        <w:rPr>
          <w:color w:val="auto"/>
          <w:highlight w:val="none"/>
        </w:rPr>
        <w:t>.2</w:t>
      </w:r>
      <w:r>
        <w:rPr>
          <w:rFonts w:hint="eastAsia" w:ascii="宋体" w:hAnsi="宋体"/>
          <w:color w:val="auto"/>
          <w:spacing w:val="2"/>
          <w:szCs w:val="21"/>
          <w:highlight w:val="none"/>
        </w:rPr>
        <w:t>招标文件获取方式：</w:t>
      </w:r>
    </w:p>
    <w:p w14:paraId="46CE15F1">
      <w:pPr>
        <w:numPr>
          <w:ilvl w:val="255"/>
          <w:numId w:val="0"/>
        </w:numPr>
        <w:adjustRightInd w:val="0"/>
        <w:snapToGrid w:val="0"/>
        <w:spacing w:line="440" w:lineRule="exact"/>
        <w:ind w:firstLine="428" w:firstLineChars="200"/>
        <w:rPr>
          <w:rFonts w:hint="eastAsia" w:ascii="宋体" w:hAnsi="宋体"/>
          <w:color w:val="auto"/>
          <w:spacing w:val="2"/>
          <w:szCs w:val="21"/>
          <w:highlight w:val="none"/>
        </w:rPr>
      </w:pPr>
      <w:r>
        <w:rPr>
          <w:rFonts w:hint="eastAsia" w:ascii="宋体" w:hAnsi="宋体"/>
          <w:color w:val="auto"/>
          <w:spacing w:val="2"/>
          <w:szCs w:val="21"/>
          <w:highlight w:val="none"/>
          <w:lang w:eastAsia="zh-CN"/>
        </w:rPr>
        <w:t>（</w:t>
      </w:r>
      <w:r>
        <w:rPr>
          <w:rFonts w:hint="eastAsia" w:ascii="宋体" w:hAnsi="宋体"/>
          <w:color w:val="auto"/>
          <w:spacing w:val="2"/>
          <w:szCs w:val="21"/>
          <w:highlight w:val="none"/>
          <w:lang w:val="en-US" w:eastAsia="zh-CN"/>
        </w:rPr>
        <w:t>1</w:t>
      </w:r>
      <w:r>
        <w:rPr>
          <w:rFonts w:hint="eastAsia" w:ascii="宋体" w:hAnsi="宋体"/>
          <w:color w:val="auto"/>
          <w:spacing w:val="2"/>
          <w:szCs w:val="21"/>
          <w:highlight w:val="none"/>
          <w:lang w:eastAsia="zh-CN"/>
        </w:rPr>
        <w:t>）</w:t>
      </w:r>
      <w:r>
        <w:rPr>
          <w:rFonts w:hint="eastAsia" w:ascii="宋体" w:hAnsi="宋体"/>
          <w:color w:val="auto"/>
          <w:spacing w:val="2"/>
          <w:szCs w:val="21"/>
          <w:highlight w:val="none"/>
        </w:rPr>
        <w:t>登录“</w:t>
      </w:r>
      <w:r>
        <w:rPr>
          <w:rFonts w:hint="eastAsia" w:ascii="宋体" w:hAnsi="宋体"/>
          <w:color w:val="auto"/>
          <w:spacing w:val="2"/>
          <w:szCs w:val="21"/>
          <w:highlight w:val="none"/>
          <w:lang w:val="en-US" w:eastAsia="zh-CN"/>
        </w:rPr>
        <w:t>中捷-链捷招电子招投标平台</w:t>
      </w:r>
      <w:r>
        <w:rPr>
          <w:rFonts w:hint="eastAsia" w:ascii="宋体" w:hAnsi="宋体"/>
          <w:color w:val="auto"/>
          <w:spacing w:val="2"/>
          <w:szCs w:val="21"/>
          <w:highlight w:val="none"/>
        </w:rPr>
        <w:t>”（网址：</w:t>
      </w:r>
      <w:r>
        <w:rPr>
          <w:rFonts w:hint="eastAsia" w:ascii="宋体" w:hAnsi="宋体"/>
          <w:color w:val="auto"/>
          <w:spacing w:val="2"/>
          <w:szCs w:val="21"/>
          <w:highlight w:val="none"/>
          <w:lang w:eastAsia="zh-CN"/>
        </w:rPr>
        <w:t>https://zb.chinaccsscm.cn</w:t>
      </w:r>
      <w:r>
        <w:rPr>
          <w:rFonts w:hint="eastAsia" w:ascii="宋体" w:hAnsi="宋体"/>
          <w:color w:val="auto"/>
          <w:spacing w:val="2"/>
          <w:szCs w:val="21"/>
          <w:highlight w:val="none"/>
        </w:rPr>
        <w:t>）下载电子招标文件。 操作若有疑问，可致电客服热线：</w:t>
      </w:r>
      <w:r>
        <w:rPr>
          <w:rFonts w:hint="eastAsia" w:ascii="宋体" w:hAnsi="宋体"/>
          <w:color w:val="auto"/>
          <w:spacing w:val="2"/>
          <w:szCs w:val="21"/>
          <w:highlight w:val="none"/>
          <w:lang w:eastAsia="zh-CN"/>
        </w:rPr>
        <w:t>【黄小姐，联系电话：020-83820346，联系邮箱：zhongjbss2@zjscs.com</w:t>
      </w:r>
      <w:r>
        <w:rPr>
          <w:rFonts w:hint="eastAsia" w:ascii="宋体" w:hAnsi="宋体"/>
          <w:color w:val="auto"/>
          <w:spacing w:val="2"/>
          <w:szCs w:val="21"/>
          <w:highlight w:val="none"/>
          <w:lang w:val="en-US" w:eastAsia="zh-CN"/>
        </w:rPr>
        <w:t>】</w:t>
      </w:r>
      <w:r>
        <w:rPr>
          <w:rFonts w:hint="eastAsia" w:ascii="宋体" w:hAnsi="宋体"/>
          <w:color w:val="auto"/>
          <w:spacing w:val="2"/>
          <w:szCs w:val="21"/>
          <w:highlight w:val="none"/>
        </w:rPr>
        <w:t>。服务时间 8:30-17:30（工作日）。</w:t>
      </w:r>
    </w:p>
    <w:p w14:paraId="6BA2E994">
      <w:pPr>
        <w:numPr>
          <w:ilvl w:val="255"/>
          <w:numId w:val="0"/>
        </w:numPr>
        <w:adjustRightInd w:val="0"/>
        <w:snapToGrid w:val="0"/>
        <w:spacing w:line="440" w:lineRule="exact"/>
        <w:ind w:firstLine="428" w:firstLineChars="200"/>
        <w:rPr>
          <w:rFonts w:hint="eastAsia" w:ascii="宋体" w:hAnsi="宋体"/>
          <w:color w:val="auto"/>
          <w:spacing w:val="2"/>
          <w:szCs w:val="21"/>
          <w:highlight w:val="none"/>
        </w:rPr>
      </w:pPr>
      <w:r>
        <w:rPr>
          <w:rFonts w:hint="eastAsia" w:ascii="宋体" w:hAnsi="宋体"/>
          <w:color w:val="auto"/>
          <w:spacing w:val="2"/>
          <w:szCs w:val="21"/>
          <w:highlight w:val="none"/>
          <w:lang w:eastAsia="zh-CN"/>
        </w:rPr>
        <w:t>（</w:t>
      </w:r>
      <w:r>
        <w:rPr>
          <w:rFonts w:hint="eastAsia" w:ascii="宋体" w:hAnsi="宋体"/>
          <w:color w:val="auto"/>
          <w:spacing w:val="2"/>
          <w:szCs w:val="21"/>
          <w:highlight w:val="none"/>
          <w:lang w:val="en-US" w:eastAsia="zh-CN"/>
        </w:rPr>
        <w:t>2</w:t>
      </w:r>
      <w:r>
        <w:rPr>
          <w:rFonts w:hint="eastAsia" w:ascii="宋体" w:hAnsi="宋体"/>
          <w:color w:val="auto"/>
          <w:spacing w:val="2"/>
          <w:szCs w:val="21"/>
          <w:highlight w:val="none"/>
          <w:lang w:eastAsia="zh-CN"/>
        </w:rPr>
        <w:t>）</w:t>
      </w:r>
      <w:r>
        <w:rPr>
          <w:rFonts w:hint="eastAsia" w:ascii="宋体" w:hAnsi="宋体"/>
          <w:color w:val="auto"/>
          <w:spacing w:val="2"/>
          <w:szCs w:val="21"/>
          <w:highlight w:val="none"/>
        </w:rPr>
        <w:t>招标文件售价：售价500元人民币（售后不退）。支付方式（三选一）：①网上支付（微信/支付宝扫码）、②电汇（开户名称：</w:t>
      </w:r>
      <w:r>
        <w:rPr>
          <w:rFonts w:hint="eastAsia" w:ascii="宋体" w:hAnsi="宋体" w:cs="宋体"/>
          <w:color w:val="auto"/>
          <w:kern w:val="0"/>
          <w:szCs w:val="21"/>
          <w:highlight w:val="none"/>
        </w:rPr>
        <w:t>中捷通信有限公司</w:t>
      </w:r>
      <w:r>
        <w:rPr>
          <w:rFonts w:hint="eastAsia" w:ascii="宋体" w:hAnsi="宋体"/>
          <w:color w:val="auto"/>
          <w:spacing w:val="2"/>
          <w:szCs w:val="21"/>
          <w:highlight w:val="none"/>
        </w:rPr>
        <w:t>；开户行：</w:t>
      </w:r>
      <w:r>
        <w:rPr>
          <w:rFonts w:hint="eastAsia" w:ascii="宋体" w:hAnsi="宋体" w:cs="宋体"/>
          <w:color w:val="auto"/>
          <w:kern w:val="0"/>
          <w:szCs w:val="21"/>
          <w:highlight w:val="none"/>
        </w:rPr>
        <w:t>中信银行广州花园支行</w:t>
      </w:r>
      <w:r>
        <w:rPr>
          <w:rFonts w:hint="eastAsia" w:ascii="宋体" w:hAnsi="宋体"/>
          <w:color w:val="auto"/>
          <w:spacing w:val="2"/>
          <w:szCs w:val="21"/>
          <w:highlight w:val="none"/>
        </w:rPr>
        <w:t>；账号：</w:t>
      </w:r>
      <w:r>
        <w:rPr>
          <w:rFonts w:hint="eastAsia" w:ascii="宋体" w:hAnsi="宋体"/>
          <w:color w:val="auto"/>
          <w:spacing w:val="2"/>
          <w:szCs w:val="21"/>
          <w:highlight w:val="none"/>
          <w:lang w:eastAsia="zh-CN"/>
        </w:rPr>
        <w:t>3110910043850059296</w:t>
      </w:r>
      <w:r>
        <w:rPr>
          <w:rFonts w:hint="eastAsia" w:ascii="宋体" w:hAnsi="宋体"/>
          <w:color w:val="auto"/>
          <w:spacing w:val="2"/>
          <w:szCs w:val="21"/>
          <w:highlight w:val="none"/>
        </w:rPr>
        <w:t>，须上传汇款凭证）。支付完成后请及时下载招标文件。</w:t>
      </w:r>
    </w:p>
    <w:p w14:paraId="758C3EAF">
      <w:pPr>
        <w:numPr>
          <w:ilvl w:val="255"/>
          <w:numId w:val="0"/>
        </w:numPr>
        <w:adjustRightInd w:val="0"/>
        <w:snapToGrid w:val="0"/>
        <w:spacing w:line="440" w:lineRule="exact"/>
        <w:ind w:firstLine="428" w:firstLineChars="200"/>
        <w:rPr>
          <w:rFonts w:hint="eastAsia" w:ascii="宋体" w:hAnsi="宋体"/>
          <w:color w:val="auto"/>
          <w:spacing w:val="2"/>
          <w:szCs w:val="21"/>
          <w:highlight w:val="none"/>
        </w:rPr>
      </w:pPr>
      <w:r>
        <w:rPr>
          <w:rFonts w:hint="eastAsia" w:ascii="宋体" w:hAnsi="宋体"/>
          <w:color w:val="auto"/>
          <w:spacing w:val="2"/>
          <w:szCs w:val="21"/>
          <w:highlight w:val="none"/>
          <w:lang w:eastAsia="zh-CN"/>
        </w:rPr>
        <w:t>（</w:t>
      </w:r>
      <w:r>
        <w:rPr>
          <w:rFonts w:hint="eastAsia" w:ascii="宋体" w:hAnsi="宋体"/>
          <w:color w:val="auto"/>
          <w:spacing w:val="2"/>
          <w:szCs w:val="21"/>
          <w:highlight w:val="none"/>
          <w:lang w:val="en-US" w:eastAsia="zh-CN"/>
        </w:rPr>
        <w:t>3</w:t>
      </w:r>
      <w:r>
        <w:rPr>
          <w:rFonts w:hint="eastAsia" w:ascii="宋体" w:hAnsi="宋体"/>
          <w:color w:val="auto"/>
          <w:spacing w:val="2"/>
          <w:szCs w:val="21"/>
          <w:highlight w:val="none"/>
          <w:lang w:eastAsia="zh-CN"/>
        </w:rPr>
        <w:t>）</w:t>
      </w:r>
      <w:r>
        <w:rPr>
          <w:rFonts w:hint="eastAsia" w:ascii="宋体" w:hAnsi="宋体"/>
          <w:color w:val="auto"/>
          <w:spacing w:val="2"/>
          <w:szCs w:val="21"/>
          <w:highlight w:val="none"/>
        </w:rPr>
        <w:t xml:space="preserve">如无按上述要求获取招标文件的投标人，招标人/招标代理机构将不接收该投标人所递交的投标文件。 </w:t>
      </w:r>
    </w:p>
    <w:p w14:paraId="05A1CA40">
      <w:pPr>
        <w:spacing w:before="240" w:after="240" w:line="400" w:lineRule="exact"/>
        <w:ind w:right="157"/>
        <w:rPr>
          <w:rFonts w:hint="eastAsia" w:ascii="黑体" w:hAnsi="Arial" w:eastAsia="黑体"/>
          <w:b/>
          <w:bCs/>
          <w:color w:val="auto"/>
          <w:sz w:val="28"/>
          <w:szCs w:val="28"/>
          <w:highlight w:val="none"/>
        </w:rPr>
      </w:pPr>
      <w:r>
        <w:rPr>
          <w:rFonts w:hint="eastAsia" w:ascii="黑体" w:hAnsi="Arial" w:eastAsia="黑体"/>
          <w:b/>
          <w:bCs/>
          <w:color w:val="auto"/>
          <w:sz w:val="28"/>
          <w:szCs w:val="28"/>
          <w:highlight w:val="none"/>
          <w:lang w:val="en-US" w:eastAsia="zh-CN"/>
        </w:rPr>
        <w:t>6</w:t>
      </w:r>
      <w:r>
        <w:rPr>
          <w:rFonts w:hint="eastAsia" w:ascii="黑体" w:hAnsi="Arial" w:eastAsia="黑体"/>
          <w:b/>
          <w:bCs/>
          <w:color w:val="auto"/>
          <w:sz w:val="28"/>
          <w:szCs w:val="28"/>
          <w:highlight w:val="none"/>
        </w:rPr>
        <w:t>．投标文件的递交</w:t>
      </w:r>
      <w:bookmarkEnd w:id="13"/>
    </w:p>
    <w:p w14:paraId="749F409B">
      <w:pPr>
        <w:pStyle w:val="4"/>
        <w:tabs>
          <w:tab w:val="left" w:pos="2412"/>
        </w:tabs>
        <w:spacing w:line="348" w:lineRule="auto"/>
        <w:ind w:right="157" w:firstLine="419"/>
        <w:rPr>
          <w:rFonts w:hint="eastAsia" w:eastAsia="宋体"/>
          <w:color w:val="auto"/>
          <w:sz w:val="21"/>
          <w:szCs w:val="21"/>
          <w:highlight w:val="none"/>
          <w:lang w:eastAsia="zh-CN"/>
        </w:rPr>
      </w:pPr>
      <w:r>
        <w:rPr>
          <w:rFonts w:hint="eastAsia"/>
          <w:color w:val="auto"/>
          <w:sz w:val="21"/>
          <w:szCs w:val="21"/>
          <w:highlight w:val="none"/>
          <w:lang w:val="en-US" w:eastAsia="zh-CN"/>
        </w:rPr>
        <w:t>6</w:t>
      </w:r>
      <w:r>
        <w:rPr>
          <w:rFonts w:hint="eastAsia"/>
          <w:color w:val="auto"/>
          <w:sz w:val="21"/>
          <w:szCs w:val="21"/>
          <w:highlight w:val="none"/>
        </w:rPr>
        <w:t>.1递交截止时间：</w:t>
      </w:r>
      <w:r>
        <w:rPr>
          <w:rFonts w:hint="eastAsia"/>
          <w:color w:val="auto"/>
          <w:sz w:val="21"/>
          <w:szCs w:val="21"/>
          <w:highlight w:val="none"/>
          <w:u w:val="single"/>
          <w:lang w:val="en-US" w:eastAsia="zh-CN"/>
        </w:rPr>
        <w:t>2025</w:t>
      </w:r>
      <w:r>
        <w:rPr>
          <w:color w:val="auto"/>
          <w:sz w:val="21"/>
          <w:szCs w:val="21"/>
          <w:highlight w:val="none"/>
          <w:u w:val="single"/>
        </w:rPr>
        <w:t>年</w:t>
      </w:r>
      <w:r>
        <w:rPr>
          <w:rFonts w:hint="eastAsia"/>
          <w:color w:val="auto"/>
          <w:sz w:val="21"/>
          <w:szCs w:val="21"/>
          <w:highlight w:val="none"/>
          <w:u w:val="single"/>
          <w:lang w:val="en-US" w:eastAsia="zh-CN"/>
        </w:rPr>
        <w:t>12</w:t>
      </w:r>
      <w:r>
        <w:rPr>
          <w:color w:val="auto"/>
          <w:sz w:val="21"/>
          <w:szCs w:val="21"/>
          <w:highlight w:val="none"/>
          <w:u w:val="single"/>
        </w:rPr>
        <w:t>月</w:t>
      </w:r>
      <w:r>
        <w:rPr>
          <w:rFonts w:hint="eastAsia"/>
          <w:color w:val="auto"/>
          <w:sz w:val="21"/>
          <w:szCs w:val="21"/>
          <w:highlight w:val="none"/>
          <w:u w:val="single"/>
          <w:lang w:val="en-US" w:eastAsia="zh-CN"/>
        </w:rPr>
        <w:t>30</w:t>
      </w:r>
      <w:r>
        <w:rPr>
          <w:rFonts w:hint="eastAsia"/>
          <w:color w:val="auto"/>
          <w:sz w:val="21"/>
          <w:szCs w:val="21"/>
          <w:highlight w:val="none"/>
          <w:u w:val="single"/>
        </w:rPr>
        <w:t>日</w:t>
      </w:r>
      <w:r>
        <w:rPr>
          <w:rFonts w:hint="eastAsia"/>
          <w:color w:val="auto"/>
          <w:sz w:val="21"/>
          <w:szCs w:val="21"/>
          <w:highlight w:val="none"/>
          <w:u w:val="single"/>
          <w:lang w:val="en-US" w:eastAsia="zh-CN"/>
        </w:rPr>
        <w:t>9</w:t>
      </w:r>
      <w:r>
        <w:rPr>
          <w:rFonts w:hint="eastAsia"/>
          <w:color w:val="auto"/>
          <w:sz w:val="21"/>
          <w:szCs w:val="21"/>
          <w:highlight w:val="none"/>
          <w:u w:val="single"/>
        </w:rPr>
        <w:t>时</w:t>
      </w:r>
      <w:r>
        <w:rPr>
          <w:rFonts w:hint="eastAsia"/>
          <w:color w:val="auto"/>
          <w:sz w:val="21"/>
          <w:szCs w:val="21"/>
          <w:highlight w:val="none"/>
          <w:u w:val="single"/>
          <w:lang w:val="en-US" w:eastAsia="zh-CN"/>
        </w:rPr>
        <w:t>30</w:t>
      </w:r>
      <w:r>
        <w:rPr>
          <w:rFonts w:hint="eastAsia"/>
          <w:color w:val="auto"/>
          <w:sz w:val="21"/>
          <w:szCs w:val="21"/>
          <w:highlight w:val="none"/>
          <w:u w:val="single"/>
        </w:rPr>
        <w:t>分</w:t>
      </w:r>
      <w:r>
        <w:rPr>
          <w:rFonts w:hint="eastAsia"/>
          <w:color w:val="auto"/>
          <w:sz w:val="21"/>
          <w:szCs w:val="21"/>
          <w:highlight w:val="none"/>
          <w:lang w:eastAsia="zh-CN"/>
        </w:rPr>
        <w:t>。</w:t>
      </w:r>
    </w:p>
    <w:p w14:paraId="1C1BCAEB">
      <w:pPr>
        <w:tabs>
          <w:tab w:val="left" w:pos="2412"/>
        </w:tabs>
        <w:spacing w:line="348" w:lineRule="auto"/>
        <w:ind w:right="159" w:firstLine="420" w:firstLineChars="200"/>
        <w:jc w:val="left"/>
        <w:rPr>
          <w:rFonts w:hint="eastAsia" w:ascii="宋体" w:hAnsi="宋体"/>
          <w:color w:val="auto"/>
          <w:kern w:val="0"/>
          <w:szCs w:val="21"/>
          <w:highlight w:val="none"/>
        </w:rPr>
      </w:pPr>
      <w:r>
        <w:rPr>
          <w:rFonts w:hint="eastAsia"/>
          <w:color w:val="auto"/>
          <w:highlight w:val="none"/>
          <w:lang w:val="en-US" w:eastAsia="zh-CN"/>
        </w:rPr>
        <w:t>6</w:t>
      </w:r>
      <w:r>
        <w:rPr>
          <w:rFonts w:hint="eastAsia"/>
          <w:color w:val="auto"/>
          <w:highlight w:val="none"/>
        </w:rPr>
        <w:t>.2</w:t>
      </w:r>
      <w:r>
        <w:rPr>
          <w:rFonts w:hint="eastAsia" w:ascii="宋体" w:hAnsi="宋体"/>
          <w:color w:val="auto"/>
          <w:kern w:val="0"/>
          <w:szCs w:val="21"/>
          <w:highlight w:val="none"/>
        </w:rPr>
        <w:t>递交方式：投标文件的递交</w:t>
      </w:r>
      <w:r>
        <w:rPr>
          <w:rFonts w:hint="eastAsia" w:ascii="宋体" w:hAnsi="宋体"/>
          <w:color w:val="auto"/>
          <w:kern w:val="0"/>
          <w:szCs w:val="21"/>
          <w:highlight w:val="none"/>
          <w:lang w:val="en-US" w:eastAsia="zh-CN"/>
        </w:rPr>
        <w:t>至：</w:t>
      </w:r>
      <w:r>
        <w:rPr>
          <w:rFonts w:hint="eastAsia" w:ascii="宋体" w:hAnsi="宋体" w:cs="宋体"/>
          <w:bCs/>
          <w:color w:val="auto"/>
          <w:szCs w:val="21"/>
          <w:highlight w:val="none"/>
          <w:u w:val="single"/>
        </w:rPr>
        <w:t>广州市越秀区较场西路2</w:t>
      </w:r>
      <w:r>
        <w:rPr>
          <w:rFonts w:ascii="宋体" w:hAnsi="宋体" w:cs="宋体"/>
          <w:bCs/>
          <w:color w:val="auto"/>
          <w:szCs w:val="21"/>
          <w:highlight w:val="none"/>
          <w:u w:val="single"/>
        </w:rPr>
        <w:t>1</w:t>
      </w:r>
      <w:r>
        <w:rPr>
          <w:rFonts w:hint="eastAsia" w:ascii="宋体" w:hAnsi="宋体" w:cs="宋体"/>
          <w:bCs/>
          <w:color w:val="auto"/>
          <w:szCs w:val="21"/>
          <w:highlight w:val="none"/>
          <w:u w:val="single"/>
        </w:rPr>
        <w:t>号中捷通信有限公司</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楼</w:t>
      </w:r>
      <w:r>
        <w:rPr>
          <w:rFonts w:hint="eastAsia" w:ascii="宋体" w:hAnsi="宋体" w:cs="宋体"/>
          <w:bCs/>
          <w:color w:val="auto"/>
          <w:szCs w:val="21"/>
          <w:highlight w:val="none"/>
          <w:u w:val="single"/>
          <w:lang w:val="en-US" w:eastAsia="zh-CN"/>
        </w:rPr>
        <w:t>会议1</w:t>
      </w:r>
      <w:r>
        <w:rPr>
          <w:rFonts w:hint="eastAsia" w:ascii="宋体" w:hAnsi="宋体" w:cs="宋体"/>
          <w:bCs/>
          <w:color w:val="auto"/>
          <w:szCs w:val="21"/>
          <w:highlight w:val="none"/>
          <w:u w:val="single"/>
        </w:rPr>
        <w:t>室</w:t>
      </w:r>
      <w:r>
        <w:rPr>
          <w:rFonts w:hint="eastAsia" w:ascii="宋体" w:hAnsi="宋体"/>
          <w:color w:val="auto"/>
          <w:kern w:val="0"/>
          <w:szCs w:val="21"/>
          <w:highlight w:val="none"/>
        </w:rPr>
        <w:t>。</w:t>
      </w:r>
    </w:p>
    <w:p w14:paraId="3AF3E64E">
      <w:pPr>
        <w:tabs>
          <w:tab w:val="left" w:pos="2412"/>
        </w:tabs>
        <w:spacing w:line="348" w:lineRule="auto"/>
        <w:ind w:right="159"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本项目将于上述同一时间、地点进行开标，招标人/招标代理机构同时邀请投标人的法定代表人或者其委托的代理人准时</w:t>
      </w:r>
      <w:r>
        <w:rPr>
          <w:rFonts w:hint="eastAsia" w:ascii="宋体" w:hAnsi="宋体"/>
          <w:color w:val="auto"/>
          <w:kern w:val="0"/>
          <w:szCs w:val="21"/>
          <w:highlight w:val="none"/>
          <w:lang w:val="en-US" w:eastAsia="zh-CN"/>
        </w:rPr>
        <w:t>出席并</w:t>
      </w:r>
      <w:r>
        <w:rPr>
          <w:rFonts w:hint="eastAsia" w:ascii="宋体" w:hAnsi="宋体"/>
          <w:color w:val="auto"/>
          <w:kern w:val="0"/>
          <w:szCs w:val="21"/>
          <w:highlight w:val="none"/>
        </w:rPr>
        <w:t>签名确认开标结果。</w:t>
      </w:r>
    </w:p>
    <w:p w14:paraId="457807C6">
      <w:pPr>
        <w:pStyle w:val="4"/>
        <w:tabs>
          <w:tab w:val="left" w:pos="2412"/>
        </w:tabs>
        <w:spacing w:line="348" w:lineRule="auto"/>
        <w:ind w:right="157" w:firstLine="419"/>
        <w:rPr>
          <w:rFonts w:hint="eastAsia" w:ascii="Times New Roman" w:hAnsi="Times New Roman" w:eastAsia="宋体" w:cs="Times New Roman"/>
          <w:color w:val="auto"/>
          <w:sz w:val="21"/>
          <w:szCs w:val="21"/>
          <w:highlight w:val="none"/>
          <w:lang w:val="en-US" w:eastAsia="zh-CN"/>
        </w:rPr>
      </w:pPr>
      <w:bookmarkStart w:id="14" w:name="_bookmark7"/>
      <w:bookmarkEnd w:id="14"/>
      <w:r>
        <w:rPr>
          <w:rFonts w:hint="eastAsia" w:ascii="Times New Roman" w:hAnsi="Times New Roman" w:eastAsia="宋体" w:cs="Times New Roman"/>
          <w:color w:val="auto"/>
          <w:sz w:val="21"/>
          <w:szCs w:val="21"/>
          <w:highlight w:val="none"/>
          <w:lang w:val="en-US" w:eastAsia="zh-CN"/>
        </w:rPr>
        <w:t>6.3本项目接受现场或邮寄递交方式，出现以下情形之一时，招标人/招标代理机构不予接收投标文件：</w:t>
      </w:r>
    </w:p>
    <w:p w14:paraId="4D0A534E">
      <w:pPr>
        <w:pStyle w:val="4"/>
        <w:tabs>
          <w:tab w:val="left" w:pos="2412"/>
        </w:tabs>
        <w:spacing w:line="348" w:lineRule="auto"/>
        <w:ind w:right="157" w:firstLine="419"/>
        <w:rPr>
          <w:color w:val="auto"/>
          <w:sz w:val="21"/>
          <w:szCs w:val="21"/>
          <w:highlight w:val="none"/>
        </w:rPr>
      </w:pPr>
      <w:r>
        <w:rPr>
          <w:rFonts w:hint="eastAsia"/>
          <w:color w:val="auto"/>
          <w:sz w:val="21"/>
          <w:szCs w:val="21"/>
          <w:highlight w:val="none"/>
        </w:rPr>
        <w:t>（1）逾期送达或者未送达指定地点的；</w:t>
      </w:r>
    </w:p>
    <w:p w14:paraId="7EB6E63C">
      <w:pPr>
        <w:pStyle w:val="4"/>
        <w:tabs>
          <w:tab w:val="left" w:pos="2412"/>
        </w:tabs>
        <w:spacing w:line="348" w:lineRule="auto"/>
        <w:ind w:right="157" w:firstLine="419"/>
        <w:rPr>
          <w:color w:val="auto"/>
          <w:sz w:val="21"/>
          <w:szCs w:val="21"/>
          <w:highlight w:val="none"/>
        </w:rPr>
      </w:pPr>
      <w:r>
        <w:rPr>
          <w:rFonts w:hint="eastAsia"/>
          <w:color w:val="auto"/>
          <w:sz w:val="21"/>
          <w:szCs w:val="21"/>
          <w:highlight w:val="none"/>
        </w:rPr>
        <w:t>（2）未按照招标文件要求密封的；</w:t>
      </w:r>
    </w:p>
    <w:p w14:paraId="4CAEED08">
      <w:pPr>
        <w:tabs>
          <w:tab w:val="left" w:pos="2412"/>
        </w:tabs>
        <w:spacing w:line="348" w:lineRule="auto"/>
        <w:ind w:right="159" w:firstLine="420" w:firstLineChars="200"/>
        <w:jc w:val="left"/>
        <w:rPr>
          <w:rFonts w:hint="eastAsia" w:ascii="宋体" w:hAnsi="宋体"/>
          <w:color w:val="auto"/>
          <w:kern w:val="0"/>
          <w:szCs w:val="21"/>
          <w:highlight w:val="none"/>
        </w:rPr>
      </w:pPr>
      <w:r>
        <w:rPr>
          <w:rFonts w:hint="eastAsia"/>
          <w:color w:val="auto"/>
          <w:sz w:val="21"/>
          <w:szCs w:val="21"/>
          <w:highlight w:val="none"/>
        </w:rPr>
        <w:t>（3）未按照本公告要求获</w:t>
      </w:r>
      <w:r>
        <w:rPr>
          <w:rFonts w:hint="eastAsia"/>
          <w:color w:val="auto"/>
          <w:sz w:val="21"/>
          <w:szCs w:val="21"/>
          <w:highlight w:val="none"/>
          <w:lang w:val="en-US" w:eastAsia="zh-CN"/>
        </w:rPr>
        <w:t>取</w:t>
      </w:r>
      <w:r>
        <w:rPr>
          <w:rFonts w:hint="eastAsia"/>
          <w:color w:val="auto"/>
          <w:sz w:val="21"/>
          <w:szCs w:val="21"/>
          <w:highlight w:val="none"/>
        </w:rPr>
        <w:t>本项目招标文件的</w:t>
      </w:r>
      <w:r>
        <w:rPr>
          <w:rFonts w:hint="eastAsia" w:ascii="宋体" w:hAnsi="宋体"/>
          <w:color w:val="auto"/>
          <w:kern w:val="0"/>
          <w:szCs w:val="21"/>
          <w:highlight w:val="none"/>
        </w:rPr>
        <w:t>。</w:t>
      </w:r>
    </w:p>
    <w:p w14:paraId="117E2BD4">
      <w:pPr>
        <w:tabs>
          <w:tab w:val="left" w:pos="2412"/>
        </w:tabs>
        <w:spacing w:line="348" w:lineRule="auto"/>
        <w:ind w:right="159" w:firstLine="420" w:firstLineChars="200"/>
        <w:jc w:val="left"/>
        <w:rPr>
          <w:rFonts w:hint="eastAsia" w:ascii="宋体" w:hAnsi="宋体"/>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6.4投标文件如采用提前邮寄的形式，接收邮寄地址为：</w:t>
      </w:r>
      <w:r>
        <w:rPr>
          <w:rFonts w:hint="eastAsia" w:ascii="宋体" w:hAnsi="宋体" w:cs="宋体"/>
          <w:bCs/>
          <w:color w:val="auto"/>
          <w:szCs w:val="21"/>
          <w:highlight w:val="none"/>
          <w:u w:val="single"/>
        </w:rPr>
        <w:t>广州市越秀区较场西路2</w:t>
      </w:r>
      <w:r>
        <w:rPr>
          <w:rFonts w:ascii="宋体" w:hAnsi="宋体" w:cs="宋体"/>
          <w:bCs/>
          <w:color w:val="auto"/>
          <w:szCs w:val="21"/>
          <w:highlight w:val="none"/>
          <w:u w:val="single"/>
        </w:rPr>
        <w:t>1</w:t>
      </w:r>
      <w:r>
        <w:rPr>
          <w:rFonts w:hint="eastAsia" w:ascii="宋体" w:hAnsi="宋体" w:cs="宋体"/>
          <w:bCs/>
          <w:color w:val="auto"/>
          <w:szCs w:val="21"/>
          <w:highlight w:val="none"/>
          <w:u w:val="single"/>
        </w:rPr>
        <w:t>号中捷通信有限公司</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楼</w:t>
      </w:r>
      <w:r>
        <w:rPr>
          <w:rFonts w:hint="eastAsia" w:ascii="Times New Roman" w:hAnsi="Times New Roman" w:eastAsia="宋体" w:cs="Times New Roman"/>
          <w:color w:val="auto"/>
          <w:sz w:val="21"/>
          <w:szCs w:val="21"/>
          <w:highlight w:val="none"/>
          <w:lang w:val="en-US" w:eastAsia="zh-CN"/>
        </w:rPr>
        <w:t>。</w:t>
      </w:r>
    </w:p>
    <w:p w14:paraId="520B8DA3">
      <w:pPr>
        <w:spacing w:before="240" w:after="240" w:line="400" w:lineRule="exact"/>
        <w:ind w:right="157"/>
        <w:rPr>
          <w:rFonts w:hint="eastAsia" w:ascii="黑体" w:hAnsi="Arial" w:eastAsia="黑体"/>
          <w:b/>
          <w:bCs/>
          <w:color w:val="auto"/>
          <w:sz w:val="28"/>
          <w:szCs w:val="28"/>
          <w:highlight w:val="none"/>
        </w:rPr>
      </w:pPr>
      <w:r>
        <w:rPr>
          <w:rFonts w:hint="eastAsia" w:ascii="黑体" w:hAnsi="Arial" w:eastAsia="黑体"/>
          <w:b/>
          <w:bCs/>
          <w:color w:val="auto"/>
          <w:sz w:val="28"/>
          <w:szCs w:val="28"/>
          <w:highlight w:val="none"/>
          <w:lang w:val="en-US" w:eastAsia="zh-CN"/>
        </w:rPr>
        <w:t>7.</w:t>
      </w:r>
      <w:r>
        <w:rPr>
          <w:rFonts w:hint="eastAsia" w:ascii="黑体" w:hAnsi="Arial" w:eastAsia="黑体"/>
          <w:b/>
          <w:bCs/>
          <w:color w:val="auto"/>
          <w:sz w:val="28"/>
          <w:szCs w:val="28"/>
          <w:highlight w:val="none"/>
        </w:rPr>
        <w:t>发布公告的媒介</w:t>
      </w:r>
    </w:p>
    <w:p w14:paraId="205CC000">
      <w:pPr>
        <w:pStyle w:val="4"/>
        <w:tabs>
          <w:tab w:val="left" w:pos="2412"/>
        </w:tabs>
        <w:spacing w:line="348" w:lineRule="auto"/>
        <w:ind w:right="71" w:firstLine="419"/>
        <w:rPr>
          <w:rFonts w:hint="eastAsia"/>
          <w:color w:val="auto"/>
          <w:sz w:val="21"/>
          <w:szCs w:val="21"/>
          <w:highlight w:val="none"/>
        </w:rPr>
      </w:pPr>
      <w:r>
        <w:rPr>
          <w:rFonts w:hint="eastAsia"/>
          <w:color w:val="auto"/>
          <w:sz w:val="21"/>
          <w:szCs w:val="21"/>
          <w:highlight w:val="none"/>
          <w:lang w:val="en-US" w:eastAsia="zh-CN"/>
        </w:rPr>
        <w:t>7</w:t>
      </w:r>
      <w:r>
        <w:rPr>
          <w:rFonts w:hint="eastAsia"/>
          <w:color w:val="auto"/>
          <w:sz w:val="21"/>
          <w:szCs w:val="21"/>
          <w:highlight w:val="none"/>
        </w:rPr>
        <w:t>.1</w:t>
      </w:r>
      <w:r>
        <w:rPr>
          <w:rFonts w:hint="eastAsia" w:ascii="宋体" w:hAnsi="宋体"/>
          <w:color w:val="auto"/>
          <w:sz w:val="21"/>
          <w:szCs w:val="21"/>
          <w:highlight w:val="none"/>
        </w:rPr>
        <w:t>项目相关公告在中国招标投标公共服务平台（http://www.cebpubservice.com）、广东省广播电视网络股份有限公司网站（https://www.gcable.com.cn/）、广东省文化公共资源服务平台(</w:t>
      </w:r>
      <w:r>
        <w:rPr>
          <w:rFonts w:ascii="宋体" w:hAnsi="宋体"/>
          <w:color w:val="auto"/>
          <w:sz w:val="21"/>
          <w:szCs w:val="21"/>
          <w:highlight w:val="none"/>
        </w:rPr>
        <w:t>http://zb.cnscee.com</w:t>
      </w:r>
      <w:r>
        <w:rPr>
          <w:rFonts w:hint="eastAsia" w:ascii="宋体" w:hAnsi="宋体"/>
          <w:color w:val="auto"/>
          <w:sz w:val="21"/>
          <w:szCs w:val="21"/>
          <w:highlight w:val="none"/>
        </w:rPr>
        <w:t>)、中捷-链捷招电子招投标平台（网址：https://zb.chinaccsscm.cn）上公布</w:t>
      </w:r>
      <w:r>
        <w:rPr>
          <w:rFonts w:hint="eastAsia" w:ascii="宋体" w:hAnsi="宋体" w:cs="宋体"/>
          <w:color w:val="auto"/>
          <w:sz w:val="21"/>
          <w:szCs w:val="21"/>
          <w:highlight w:val="none"/>
          <w:lang w:bidi="ar"/>
        </w:rPr>
        <w:t>，其他媒体转载无效</w:t>
      </w:r>
      <w:r>
        <w:rPr>
          <w:rFonts w:hint="eastAsia"/>
          <w:color w:val="auto"/>
          <w:sz w:val="21"/>
          <w:szCs w:val="21"/>
          <w:highlight w:val="none"/>
        </w:rPr>
        <w:t>。</w:t>
      </w:r>
    </w:p>
    <w:p w14:paraId="7338ED5F">
      <w:pPr>
        <w:pStyle w:val="10"/>
        <w:tabs>
          <w:tab w:val="left" w:pos="2412"/>
        </w:tabs>
        <w:spacing w:line="348" w:lineRule="auto"/>
        <w:ind w:right="71" w:firstLine="420"/>
        <w:rPr>
          <w:rFonts w:hint="eastAsia"/>
          <w:color w:val="auto"/>
          <w:sz w:val="21"/>
          <w:highlight w:val="none"/>
        </w:rPr>
      </w:pPr>
      <w:r>
        <w:rPr>
          <w:rFonts w:hint="eastAsia"/>
          <w:color w:val="auto"/>
          <w:sz w:val="21"/>
          <w:highlight w:val="none"/>
          <w:lang w:val="en-US" w:eastAsia="zh-CN"/>
        </w:rPr>
        <w:t>7.2</w:t>
      </w:r>
      <w:r>
        <w:rPr>
          <w:rFonts w:hint="eastAsia"/>
          <w:color w:val="auto"/>
          <w:sz w:val="21"/>
          <w:highlight w:val="none"/>
        </w:rPr>
        <w:t xml:space="preserve">免责声明： </w:t>
      </w:r>
    </w:p>
    <w:p w14:paraId="72CD765D">
      <w:pPr>
        <w:pStyle w:val="4"/>
        <w:spacing w:line="348" w:lineRule="auto"/>
        <w:ind w:right="71" w:firstLine="419"/>
        <w:rPr>
          <w:rFonts w:hint="eastAsia"/>
          <w:color w:val="auto"/>
          <w:sz w:val="21"/>
          <w:szCs w:val="21"/>
          <w:highlight w:val="none"/>
        </w:rPr>
      </w:pPr>
      <w:r>
        <w:rPr>
          <w:rFonts w:hint="eastAsia"/>
          <w:color w:val="auto"/>
          <w:sz w:val="21"/>
          <w:highlight w:val="none"/>
        </w:rPr>
        <w:t>“中捷-链捷招电子招投标平台”（网址：https://zb.chinaccsscm.cn）为本项目获取文件的唯一渠道，其他平台的获取及支付均属无效</w:t>
      </w:r>
      <w:r>
        <w:rPr>
          <w:rFonts w:hint="eastAsia"/>
          <w:color w:val="auto"/>
          <w:sz w:val="21"/>
          <w:highlight w:val="none"/>
          <w:lang w:eastAsia="zh-CN"/>
        </w:rPr>
        <w:t>。</w:t>
      </w:r>
    </w:p>
    <w:p w14:paraId="1F96B960">
      <w:pPr>
        <w:spacing w:before="240" w:after="240" w:line="400" w:lineRule="exact"/>
        <w:rPr>
          <w:rFonts w:ascii="黑体" w:hAnsi="Arial" w:eastAsia="黑体"/>
          <w:b/>
          <w:bCs/>
          <w:color w:val="auto"/>
          <w:sz w:val="28"/>
          <w:szCs w:val="28"/>
          <w:highlight w:val="none"/>
        </w:rPr>
      </w:pPr>
      <w:r>
        <w:rPr>
          <w:rFonts w:hint="eastAsia" w:ascii="黑体" w:hAnsi="Arial" w:eastAsia="黑体"/>
          <w:b/>
          <w:bCs/>
          <w:color w:val="auto"/>
          <w:sz w:val="28"/>
          <w:szCs w:val="28"/>
          <w:highlight w:val="none"/>
          <w:lang w:val="en-US" w:eastAsia="zh-CN"/>
        </w:rPr>
        <w:t>8</w:t>
      </w:r>
      <w:r>
        <w:rPr>
          <w:rFonts w:hint="eastAsia" w:ascii="黑体" w:hAnsi="Arial" w:eastAsia="黑体"/>
          <w:b/>
          <w:bCs/>
          <w:color w:val="auto"/>
          <w:sz w:val="28"/>
          <w:szCs w:val="28"/>
          <w:highlight w:val="none"/>
        </w:rPr>
        <w:t>．监督部门</w:t>
      </w:r>
    </w:p>
    <w:p w14:paraId="3C715E0B">
      <w:pPr>
        <w:pStyle w:val="10"/>
        <w:tabs>
          <w:tab w:val="left" w:pos="2412"/>
        </w:tabs>
        <w:spacing w:line="348" w:lineRule="auto"/>
        <w:ind w:right="71" w:firstLine="420"/>
        <w:rPr>
          <w:rFonts w:hint="eastAsia"/>
          <w:color w:val="auto"/>
          <w:sz w:val="21"/>
          <w:highlight w:val="none"/>
          <w:lang w:val="en-US" w:eastAsia="zh-CN"/>
        </w:rPr>
      </w:pPr>
      <w:r>
        <w:rPr>
          <w:rFonts w:hint="eastAsia"/>
          <w:color w:val="auto"/>
          <w:sz w:val="21"/>
          <w:highlight w:val="none"/>
          <w:lang w:val="en-US" w:eastAsia="zh-CN"/>
        </w:rPr>
        <w:t>本项目的监督部门：广东省广播电视网络股份有限公司纪检监察室。</w:t>
      </w:r>
    </w:p>
    <w:p w14:paraId="67AACE3F">
      <w:pPr>
        <w:spacing w:before="240" w:after="240" w:line="400" w:lineRule="exact"/>
        <w:rPr>
          <w:rFonts w:hint="eastAsia" w:ascii="黑体" w:hAnsi="Arial" w:eastAsia="黑体"/>
          <w:b/>
          <w:bCs/>
          <w:color w:val="auto"/>
          <w:sz w:val="28"/>
          <w:szCs w:val="28"/>
          <w:highlight w:val="none"/>
          <w:lang w:val="en-US" w:eastAsia="zh-CN"/>
        </w:rPr>
      </w:pPr>
      <w:r>
        <w:rPr>
          <w:rFonts w:hint="eastAsia" w:ascii="黑体" w:hAnsi="Arial" w:eastAsia="黑体"/>
          <w:b/>
          <w:bCs/>
          <w:color w:val="auto"/>
          <w:sz w:val="28"/>
          <w:szCs w:val="28"/>
          <w:highlight w:val="none"/>
          <w:lang w:val="en-US" w:eastAsia="zh-CN"/>
        </w:rPr>
        <w:t>9．联系方式</w:t>
      </w:r>
    </w:p>
    <w:bookmarkEnd w:id="4"/>
    <w:bookmarkEnd w:id="5"/>
    <w:p w14:paraId="5DC286FD">
      <w:pPr>
        <w:pStyle w:val="10"/>
        <w:tabs>
          <w:tab w:val="left" w:pos="2412"/>
        </w:tabs>
        <w:spacing w:line="348" w:lineRule="auto"/>
        <w:ind w:right="71" w:firstLine="420"/>
        <w:rPr>
          <w:rFonts w:hint="eastAsia"/>
          <w:color w:val="auto"/>
          <w:sz w:val="21"/>
          <w:highlight w:val="none"/>
          <w:lang w:val="en-US" w:eastAsia="zh-CN"/>
        </w:rPr>
      </w:pPr>
      <w:r>
        <w:rPr>
          <w:rFonts w:hint="eastAsia"/>
          <w:color w:val="auto"/>
          <w:sz w:val="21"/>
          <w:highlight w:val="none"/>
          <w:lang w:val="en-US" w:eastAsia="zh-CN"/>
        </w:rPr>
        <w:t xml:space="preserve">招 标 人：广东省广播电视网络股份有限公司 </w:t>
      </w:r>
    </w:p>
    <w:p w14:paraId="78DABA57">
      <w:pPr>
        <w:pStyle w:val="10"/>
        <w:tabs>
          <w:tab w:val="left" w:pos="2412"/>
        </w:tabs>
        <w:spacing w:line="348" w:lineRule="auto"/>
        <w:ind w:right="71" w:firstLine="420"/>
        <w:rPr>
          <w:rFonts w:hint="eastAsia"/>
          <w:color w:val="auto"/>
          <w:sz w:val="21"/>
          <w:highlight w:val="none"/>
          <w:lang w:val="en-US" w:eastAsia="zh-CN"/>
        </w:rPr>
      </w:pPr>
      <w:r>
        <w:rPr>
          <w:rFonts w:hint="eastAsia"/>
          <w:color w:val="auto"/>
          <w:sz w:val="21"/>
          <w:highlight w:val="none"/>
          <w:lang w:val="en-US" w:eastAsia="zh-CN"/>
        </w:rPr>
        <w:t xml:space="preserve">地 址：广州市天河区珠江西路 17 号广晟国际大厦 35 层 </w:t>
      </w:r>
    </w:p>
    <w:p w14:paraId="1658E0AF">
      <w:pPr>
        <w:tabs>
          <w:tab w:val="left" w:pos="2412"/>
        </w:tabs>
        <w:spacing w:line="348" w:lineRule="auto"/>
        <w:ind w:left="100" w:right="71" w:firstLine="419"/>
        <w:jc w:val="left"/>
        <w:rPr>
          <w:rFonts w:hint="eastAsia" w:ascii="Times New Roman" w:hAnsi="Times New Roman" w:eastAsia="宋体" w:cs="Times New Roman"/>
          <w:color w:val="auto"/>
          <w:highlight w:val="none"/>
        </w:rPr>
      </w:pPr>
    </w:p>
    <w:p w14:paraId="586EBA2E">
      <w:pPr>
        <w:snapToGrid w:val="0"/>
        <w:spacing w:line="360" w:lineRule="auto"/>
        <w:ind w:firstLine="422" w:firstLineChars="200"/>
        <w:rPr>
          <w:rFonts w:ascii="宋体" w:hAnsi="宋体"/>
          <w:color w:val="auto"/>
          <w:sz w:val="21"/>
          <w:szCs w:val="21"/>
          <w:highlight w:val="none"/>
        </w:rPr>
      </w:pPr>
      <w:r>
        <w:rPr>
          <w:rFonts w:hint="eastAsia" w:ascii="宋体" w:hAnsi="宋体"/>
          <w:b/>
          <w:color w:val="auto"/>
          <w:sz w:val="21"/>
          <w:szCs w:val="21"/>
          <w:highlight w:val="none"/>
        </w:rPr>
        <w:t>招标代理机构：中捷通信有限公司</w:t>
      </w:r>
    </w:p>
    <w:p w14:paraId="2351E912">
      <w:pPr>
        <w:snapToGrid w:val="0"/>
        <w:spacing w:line="360" w:lineRule="auto"/>
        <w:ind w:firstLine="422" w:firstLineChars="200"/>
        <w:rPr>
          <w:rFonts w:ascii="宋体" w:hAnsi="宋体"/>
          <w:color w:val="auto"/>
          <w:sz w:val="21"/>
          <w:szCs w:val="21"/>
          <w:highlight w:val="none"/>
        </w:rPr>
      </w:pPr>
      <w:r>
        <w:rPr>
          <w:rFonts w:hint="eastAsia" w:ascii="宋体" w:hAnsi="宋体"/>
          <w:b/>
          <w:color w:val="auto"/>
          <w:sz w:val="21"/>
          <w:szCs w:val="21"/>
          <w:highlight w:val="none"/>
        </w:rPr>
        <w:t>地    址：广州市越秀区较场西路21号</w:t>
      </w:r>
    </w:p>
    <w:p w14:paraId="49B5A65A">
      <w:pPr>
        <w:snapToGrid w:val="0"/>
        <w:spacing w:line="360" w:lineRule="auto"/>
        <w:ind w:firstLine="422" w:firstLineChars="200"/>
        <w:rPr>
          <w:rFonts w:hint="default" w:ascii="宋体" w:hAnsi="宋体" w:eastAsia="宋体"/>
          <w:color w:val="auto"/>
          <w:sz w:val="21"/>
          <w:szCs w:val="21"/>
          <w:highlight w:val="none"/>
          <w:lang w:val="en-US" w:eastAsia="zh-CN"/>
        </w:rPr>
      </w:pPr>
      <w:r>
        <w:rPr>
          <w:rFonts w:hint="eastAsia" w:ascii="宋体" w:hAnsi="宋体"/>
          <w:b/>
          <w:color w:val="auto"/>
          <w:sz w:val="21"/>
          <w:szCs w:val="21"/>
          <w:highlight w:val="none"/>
        </w:rPr>
        <w:t>联 系 人：</w:t>
      </w:r>
      <w:r>
        <w:rPr>
          <w:rFonts w:hint="eastAsia" w:ascii="宋体" w:hAnsi="宋体"/>
          <w:b/>
          <w:bCs/>
          <w:color w:val="auto"/>
          <w:sz w:val="21"/>
          <w:szCs w:val="21"/>
          <w:highlight w:val="none"/>
          <w:lang w:val="en-US" w:eastAsia="zh-CN"/>
        </w:rPr>
        <w:t>杨迅/余镇华</w:t>
      </w:r>
    </w:p>
    <w:p w14:paraId="45329810">
      <w:pPr>
        <w:snapToGrid w:val="0"/>
        <w:spacing w:line="360" w:lineRule="auto"/>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电    话：</w:t>
      </w:r>
      <w:r>
        <w:rPr>
          <w:rFonts w:hint="eastAsia" w:ascii="宋体" w:hAnsi="宋体"/>
          <w:b/>
          <w:color w:val="auto"/>
          <w:sz w:val="21"/>
          <w:szCs w:val="21"/>
          <w:highlight w:val="none"/>
          <w:lang w:val="en-US" w:eastAsia="zh-CN"/>
        </w:rPr>
        <w:t>13570390426/</w:t>
      </w:r>
      <w:r>
        <w:rPr>
          <w:rFonts w:hint="eastAsia" w:ascii="宋体" w:hAnsi="宋体"/>
          <w:b/>
          <w:color w:val="auto"/>
          <w:sz w:val="21"/>
          <w:szCs w:val="21"/>
          <w:highlight w:val="none"/>
        </w:rPr>
        <w:t>13430322593</w:t>
      </w:r>
    </w:p>
    <w:p w14:paraId="0AD7981A">
      <w:pPr>
        <w:snapToGrid w:val="0"/>
        <w:spacing w:line="360" w:lineRule="auto"/>
        <w:ind w:firstLine="422" w:firstLineChars="200"/>
        <w:rPr>
          <w:rFonts w:ascii="宋体" w:hAnsi="宋体"/>
          <w:color w:val="auto"/>
          <w:sz w:val="21"/>
          <w:szCs w:val="21"/>
          <w:highlight w:val="none"/>
        </w:rPr>
      </w:pPr>
      <w:r>
        <w:rPr>
          <w:rFonts w:hint="eastAsia" w:ascii="宋体" w:hAnsi="宋体"/>
          <w:b/>
          <w:color w:val="auto"/>
          <w:sz w:val="21"/>
          <w:szCs w:val="21"/>
          <w:highlight w:val="none"/>
        </w:rPr>
        <w:t>电子邮箱：yangxun.gyl@chinaccs.cn</w:t>
      </w:r>
    </w:p>
    <w:p w14:paraId="30316535">
      <w:pPr>
        <w:tabs>
          <w:tab w:val="left" w:pos="2412"/>
        </w:tabs>
        <w:spacing w:line="348" w:lineRule="auto"/>
        <w:ind w:left="100" w:right="106" w:rightChars="0" w:firstLine="419"/>
        <w:jc w:val="righ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招标代理机构：中捷通信有限公司</w:t>
      </w:r>
    </w:p>
    <w:p w14:paraId="3E827186">
      <w:pPr>
        <w:ind w:right="105" w:rightChars="50"/>
        <w:jc w:val="right"/>
      </w:pPr>
      <w:r>
        <w:rPr>
          <w:rFonts w:hint="eastAsia" w:cs="Times New Roman"/>
          <w:color w:val="auto"/>
          <w:highlight w:val="none"/>
          <w:lang w:val="en-US" w:eastAsia="zh-CN"/>
        </w:rPr>
        <w:t>2025</w:t>
      </w:r>
      <w:r>
        <w:rPr>
          <w:rFonts w:hint="eastAsia" w:ascii="Times New Roman" w:hAnsi="Times New Roman" w:eastAsia="宋体" w:cs="Times New Roman"/>
          <w:color w:val="auto"/>
          <w:highlight w:val="none"/>
        </w:rPr>
        <w:t>年</w:t>
      </w:r>
      <w:r>
        <w:rPr>
          <w:rFonts w:hint="eastAsia" w:cs="Times New Roman"/>
          <w:color w:val="auto"/>
          <w:highlight w:val="none"/>
          <w:lang w:val="en-US" w:eastAsia="zh-CN"/>
        </w:rPr>
        <w:t>12</w:t>
      </w:r>
      <w:r>
        <w:rPr>
          <w:rFonts w:hint="eastAsia" w:ascii="Times New Roman" w:hAnsi="Times New Roman" w:eastAsia="宋体" w:cs="Times New Roman"/>
          <w:color w:val="auto"/>
          <w:highlight w:val="none"/>
        </w:rPr>
        <w:t>月</w:t>
      </w:r>
      <w:r>
        <w:rPr>
          <w:rFonts w:hint="eastAsia" w:cs="Times New Roman"/>
          <w:color w:val="auto"/>
          <w:highlight w:val="none"/>
          <w:lang w:val="en-US" w:eastAsia="zh-CN"/>
        </w:rPr>
        <w:t>9</w:t>
      </w:r>
      <w:r>
        <w:rPr>
          <w:rFonts w:hint="eastAsia" w:ascii="Times New Roman" w:hAnsi="Times New Roman" w:eastAsia="宋体" w:cs="Times New Roman"/>
          <w:color w:val="auto"/>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E2793"/>
    <w:multiLevelType w:val="singleLevel"/>
    <w:tmpl w:val="698E2793"/>
    <w:lvl w:ilvl="0" w:tentative="0">
      <w:start w:val="1"/>
      <w:numFmt w:val="decimal"/>
      <w:suff w:val="nothing"/>
      <w:lvlText w:val="（%1）"/>
      <w:lvlJc w:val="left"/>
    </w:lvl>
  </w:abstractNum>
  <w:abstractNum w:abstractNumId="1">
    <w:nsid w:val="760C0C8A"/>
    <w:multiLevelType w:val="singleLevel"/>
    <w:tmpl w:val="760C0C8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12EF6"/>
    <w:rsid w:val="6F312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Body Text"/>
    <w:basedOn w:val="1"/>
    <w:qFormat/>
    <w:uiPriority w:val="1"/>
    <w:rPr>
      <w:sz w:val="28"/>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bt1bt1"/>
    <w:basedOn w:val="3"/>
    <w:autoRedefine/>
    <w:qFormat/>
    <w:uiPriority w:val="0"/>
    <w:pPr>
      <w:spacing w:line="240" w:lineRule="auto"/>
      <w:jc w:val="center"/>
    </w:pPr>
    <w:rPr>
      <w:rFonts w:ascii="黑体" w:eastAsia="黑体"/>
      <w:b w:val="0"/>
      <w:sz w:val="36"/>
      <w:szCs w:val="36"/>
    </w:rPr>
  </w:style>
  <w:style w:type="paragraph" w:customStyle="1" w:styleId="10">
    <w:name w:val="正文00"/>
    <w:basedOn w:val="1"/>
    <w:autoRedefine/>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2025-12-09T03:10:00Z</dcterms:created>
  <dc:creator>JoyceY</dc:creator>
  <cp:lastModifiedBy>JoyceY</cp:lastModifiedBy>
  <dcterms:modified xsi:type="dcterms:W3CDTF">2025-12-09T03:11:35Z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1D74A96B7B594424BC5BFF1076ED8C49_11</vt:lpwstr>
  </property>
  <property fmtid="{D5CDD505-2E9C-101B-9397-08002B2CF9AE}" pid="4" name="KSOTemplateDocerSaveRecord">
    <vt:lpwstr>eyJoZGlkIjoiMTFhZGNmNWU4MTIwYzg3OGM5NmQyYzJjODhhOGM3OGUiLCJ1c2VySWQiOiIxMTQ3MTkyNDY5In0=</vt:lpwstr>
  </property>
</Properties>
</file>