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3" w:type="dxa"/>
        <w:tblLayout w:type="autofit"/>
        <w:tblCellMar>
          <w:top w:w="0" w:type="dxa"/>
          <w:left w:w="108" w:type="dxa"/>
          <w:bottom w:w="0" w:type="dxa"/>
          <w:right w:w="108" w:type="dxa"/>
        </w:tblCellMar>
      </w:tblPr>
      <w:tblGrid>
        <w:gridCol w:w="2060"/>
        <w:gridCol w:w="2945"/>
        <w:gridCol w:w="368"/>
        <w:gridCol w:w="2688"/>
        <w:gridCol w:w="368"/>
      </w:tblGrid>
      <w:tr w14:paraId="15914900">
        <w:tblPrEx>
          <w:tblCellMar>
            <w:top w:w="0" w:type="dxa"/>
            <w:left w:w="108" w:type="dxa"/>
            <w:bottom w:w="0" w:type="dxa"/>
            <w:right w:w="108" w:type="dxa"/>
          </w:tblCellMar>
        </w:tblPrEx>
        <w:trPr>
          <w:trHeight w:val="576" w:hRule="atLeast"/>
        </w:trPr>
        <w:tc>
          <w:tcPr>
            <w:tcW w:w="0" w:type="auto"/>
            <w:gridSpan w:val="5"/>
            <w:vAlign w:val="center"/>
          </w:tcPr>
          <w:p w14:paraId="1D6CBA18">
            <w:pPr>
              <w:widowControl/>
              <w:jc w:val="center"/>
              <w:rPr>
                <w:rFonts w:ascii="彩虹小标宋" w:hAnsi="宋体" w:eastAsia="彩虹小标宋" w:cs="宋体"/>
                <w:kern w:val="0"/>
                <w:sz w:val="40"/>
                <w:szCs w:val="40"/>
              </w:rPr>
            </w:pPr>
            <w:bookmarkStart w:id="0" w:name="_GoBack"/>
            <w:bookmarkEnd w:id="0"/>
            <w:r>
              <w:rPr>
                <w:rFonts w:hint="eastAsia" w:ascii="彩虹小标宋" w:hAnsi="宋体" w:eastAsia="彩虹小标宋" w:cs="宋体"/>
                <w:kern w:val="0"/>
                <w:sz w:val="40"/>
                <w:szCs w:val="40"/>
              </w:rPr>
              <w:t>关于信息机房B路UPS更新及强电第二路径改造的采购需求（非IT类物品）</w:t>
            </w:r>
          </w:p>
        </w:tc>
      </w:tr>
      <w:tr w14:paraId="1651CE2D">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nil"/>
              <w:right w:val="single" w:color="000000" w:sz="8" w:space="0"/>
            </w:tcBorders>
            <w:vAlign w:val="center"/>
          </w:tcPr>
          <w:p w14:paraId="3DFD4FD1">
            <w:pPr>
              <w:widowControl/>
              <w:jc w:val="left"/>
              <w:rPr>
                <w:rFonts w:ascii="宋体" w:hAnsi="宋体" w:cs="宋体"/>
                <w:b/>
                <w:bCs/>
                <w:kern w:val="0"/>
                <w:sz w:val="24"/>
                <w:szCs w:val="24"/>
              </w:rPr>
            </w:pPr>
            <w:r>
              <w:rPr>
                <w:rFonts w:hint="eastAsia" w:ascii="宋体" w:hAnsi="宋体" w:cs="宋体"/>
                <w:b/>
                <w:bCs/>
                <w:kern w:val="0"/>
                <w:sz w:val="24"/>
                <w:szCs w:val="24"/>
              </w:rPr>
              <w:t>一、需求概述</w:t>
            </w:r>
          </w:p>
        </w:tc>
      </w:tr>
      <w:tr w14:paraId="1F203194">
        <w:tblPrEx>
          <w:tblCellMar>
            <w:top w:w="0" w:type="dxa"/>
            <w:left w:w="108" w:type="dxa"/>
            <w:bottom w:w="0" w:type="dxa"/>
            <w:right w:w="108" w:type="dxa"/>
          </w:tblCellMar>
        </w:tblPrEx>
        <w:trPr>
          <w:trHeight w:val="312" w:hRule="atLeast"/>
        </w:trPr>
        <w:tc>
          <w:tcPr>
            <w:tcW w:w="0" w:type="auto"/>
            <w:gridSpan w:val="5"/>
            <w:vMerge w:val="restart"/>
            <w:tcBorders>
              <w:top w:val="single" w:color="auto" w:sz="4" w:space="0"/>
              <w:left w:val="single" w:color="auto" w:sz="8" w:space="0"/>
              <w:bottom w:val="single" w:color="000000" w:sz="8" w:space="0"/>
              <w:right w:val="single" w:color="000000" w:sz="8" w:space="0"/>
            </w:tcBorders>
            <w:vAlign w:val="center"/>
          </w:tcPr>
          <w:p w14:paraId="2735061C">
            <w:pPr>
              <w:widowControl/>
              <w:ind w:firstLine="480" w:firstLineChars="200"/>
              <w:jc w:val="left"/>
              <w:rPr>
                <w:rFonts w:ascii="宋体" w:hAnsi="宋体" w:cs="宋体"/>
                <w:kern w:val="0"/>
                <w:sz w:val="24"/>
                <w:szCs w:val="24"/>
              </w:rPr>
            </w:pPr>
            <w:r>
              <w:rPr>
                <w:rFonts w:hint="eastAsia" w:ascii="宋体" w:hAnsi="宋体" w:cs="宋体"/>
                <w:bCs/>
                <w:kern w:val="0"/>
                <w:sz w:val="24"/>
                <w:szCs w:val="24"/>
              </w:rPr>
              <w:t>信息机房B路核心供电设施的2台400kVA UPS及其配套设备设施于2012年6月投产，2017年预防性更换了设备内部电容和风扇等易损件，目前2台UPS已运行13年，超总行《信息技术产品分类目录（2025—2026年版）》中“建议生产环境使用年限”的9年，超年限后，设备故障率将逐年显著上升，如出现异常故障，将直接导致信息机房B路供电中断，极端情况下可能造成严重生产事件。为保障我行业务连续性运行，现拟立项更新2台同功率大小的UPS及其配套设备。更新完成后按分行相关要求对原有2台400kVA UPS及其配套设备进行报废处置。同时拟于本次B路UPS更新时为信息机房新增一路强电路径。</w:t>
            </w:r>
          </w:p>
        </w:tc>
      </w:tr>
      <w:tr w14:paraId="30C0E4E3">
        <w:tblPrEx>
          <w:tblCellMar>
            <w:top w:w="0" w:type="dxa"/>
            <w:left w:w="108" w:type="dxa"/>
            <w:bottom w:w="0" w:type="dxa"/>
            <w:right w:w="108" w:type="dxa"/>
          </w:tblCellMar>
        </w:tblPrEx>
        <w:trPr>
          <w:trHeight w:val="324" w:hRule="atLeast"/>
        </w:trPr>
        <w:tc>
          <w:tcPr>
            <w:tcW w:w="0" w:type="auto"/>
            <w:gridSpan w:val="5"/>
            <w:vMerge w:val="continue"/>
            <w:tcBorders>
              <w:top w:val="single" w:color="auto" w:sz="4" w:space="0"/>
              <w:left w:val="single" w:color="auto" w:sz="8" w:space="0"/>
              <w:bottom w:val="single" w:color="000000" w:sz="8" w:space="0"/>
              <w:right w:val="single" w:color="000000" w:sz="8" w:space="0"/>
            </w:tcBorders>
            <w:vAlign w:val="center"/>
          </w:tcPr>
          <w:p w14:paraId="54731638">
            <w:pPr>
              <w:widowControl/>
              <w:jc w:val="left"/>
              <w:rPr>
                <w:rFonts w:ascii="宋体" w:hAnsi="宋体" w:cs="宋体"/>
                <w:kern w:val="0"/>
                <w:sz w:val="24"/>
                <w:szCs w:val="24"/>
              </w:rPr>
            </w:pPr>
          </w:p>
        </w:tc>
      </w:tr>
      <w:tr w14:paraId="6A86B54B">
        <w:tblPrEx>
          <w:tblCellMar>
            <w:top w:w="0" w:type="dxa"/>
            <w:left w:w="108" w:type="dxa"/>
            <w:bottom w:w="0" w:type="dxa"/>
            <w:right w:w="108" w:type="dxa"/>
          </w:tblCellMar>
        </w:tblPrEx>
        <w:trPr>
          <w:trHeight w:val="648" w:hRule="atLeast"/>
        </w:trPr>
        <w:tc>
          <w:tcPr>
            <w:tcW w:w="0" w:type="auto"/>
            <w:gridSpan w:val="5"/>
            <w:tcBorders>
              <w:top w:val="single" w:color="auto" w:sz="8" w:space="0"/>
              <w:left w:val="single" w:color="auto" w:sz="8" w:space="0"/>
              <w:bottom w:val="single" w:color="auto" w:sz="4" w:space="0"/>
              <w:right w:val="single" w:color="000000" w:sz="8" w:space="0"/>
            </w:tcBorders>
            <w:vAlign w:val="center"/>
          </w:tcPr>
          <w:p w14:paraId="3CF6BED5">
            <w:pPr>
              <w:rPr>
                <w:rFonts w:ascii="宋体" w:hAnsi="宋体" w:cs="宋体"/>
                <w:b/>
                <w:bCs/>
                <w:color w:val="000000"/>
                <w:sz w:val="24"/>
                <w:szCs w:val="24"/>
              </w:rPr>
            </w:pPr>
            <w:r>
              <w:rPr>
                <w:rFonts w:hint="eastAsia"/>
                <w:b/>
                <w:bCs/>
                <w:color w:val="000000"/>
                <w:sz w:val="24"/>
                <w:szCs w:val="24"/>
              </w:rPr>
              <w:t>二、商品品类</w:t>
            </w:r>
          </w:p>
        </w:tc>
      </w:tr>
      <w:tr w14:paraId="18DDF6A1">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single" w:color="auto" w:sz="4" w:space="0"/>
              <w:right w:val="single" w:color="000000" w:sz="8" w:space="0"/>
            </w:tcBorders>
            <w:vAlign w:val="center"/>
          </w:tcPr>
          <w:p w14:paraId="76F66D22">
            <w:pPr>
              <w:widowControl/>
              <w:jc w:val="left"/>
              <w:rPr>
                <w:rFonts w:ascii="宋体" w:hAnsi="宋体" w:cs="宋体"/>
                <w:sz w:val="22"/>
              </w:rPr>
            </w:pPr>
            <w:r>
              <w:rPr>
                <w:rFonts w:hint="eastAsia" w:ascii="宋体" w:hAnsi="宋体" w:cs="宋体"/>
                <w:bCs/>
                <w:kern w:val="0"/>
                <w:sz w:val="24"/>
                <w:szCs w:val="24"/>
              </w:rPr>
              <w:t>A18010201   高频200KVA以上</w:t>
            </w:r>
          </w:p>
        </w:tc>
      </w:tr>
      <w:tr w14:paraId="3CC6EE7C">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single" w:color="auto" w:sz="4" w:space="0"/>
              <w:right w:val="single" w:color="000000" w:sz="8" w:space="0"/>
            </w:tcBorders>
            <w:vAlign w:val="center"/>
          </w:tcPr>
          <w:p w14:paraId="59A75B61">
            <w:pPr>
              <w:widowControl/>
              <w:jc w:val="left"/>
              <w:rPr>
                <w:rFonts w:ascii="宋体" w:hAnsi="宋体" w:cs="宋体"/>
                <w:b/>
                <w:bCs/>
                <w:kern w:val="0"/>
                <w:sz w:val="24"/>
                <w:szCs w:val="24"/>
              </w:rPr>
            </w:pPr>
            <w:r>
              <w:rPr>
                <w:rFonts w:hint="eastAsia" w:ascii="宋体" w:hAnsi="宋体" w:cs="宋体"/>
                <w:b/>
                <w:bCs/>
                <w:kern w:val="0"/>
                <w:sz w:val="24"/>
                <w:szCs w:val="24"/>
              </w:rPr>
              <w:t>三、物品规格</w:t>
            </w:r>
          </w:p>
        </w:tc>
      </w:tr>
      <w:tr w14:paraId="62945008">
        <w:tblPrEx>
          <w:tblCellMar>
            <w:top w:w="0" w:type="dxa"/>
            <w:left w:w="108" w:type="dxa"/>
            <w:bottom w:w="0" w:type="dxa"/>
            <w:right w:w="108" w:type="dxa"/>
          </w:tblCellMar>
        </w:tblPrEx>
        <w:trPr>
          <w:trHeight w:val="312" w:hRule="atLeast"/>
        </w:trPr>
        <w:tc>
          <w:tcPr>
            <w:tcW w:w="0" w:type="auto"/>
            <w:gridSpan w:val="5"/>
            <w:vMerge w:val="restart"/>
            <w:tcBorders>
              <w:top w:val="single" w:color="auto" w:sz="4" w:space="0"/>
              <w:left w:val="single" w:color="auto" w:sz="8" w:space="0"/>
              <w:bottom w:val="single" w:color="000000" w:sz="8" w:space="0"/>
              <w:right w:val="single" w:color="000000" w:sz="8" w:space="0"/>
            </w:tcBorders>
            <w:vAlign w:val="center"/>
          </w:tcPr>
          <w:p w14:paraId="120EFE03">
            <w:pPr>
              <w:widowControl/>
              <w:jc w:val="left"/>
              <w:rPr>
                <w:rFonts w:ascii="宋体" w:hAnsi="宋体" w:cs="宋体"/>
                <w:kern w:val="0"/>
                <w:sz w:val="24"/>
                <w:szCs w:val="24"/>
              </w:rPr>
            </w:pPr>
            <w:r>
              <w:rPr>
                <w:rFonts w:hint="eastAsia" w:ascii="宋体" w:hAnsi="宋体" w:cs="宋体"/>
                <w:bCs/>
                <w:kern w:val="0"/>
                <w:sz w:val="24"/>
                <w:szCs w:val="24"/>
              </w:rPr>
              <w:t>详见附件一《设备清单》</w:t>
            </w:r>
          </w:p>
        </w:tc>
      </w:tr>
      <w:tr w14:paraId="096789A3">
        <w:tblPrEx>
          <w:tblCellMar>
            <w:top w:w="0" w:type="dxa"/>
            <w:left w:w="108" w:type="dxa"/>
            <w:bottom w:w="0" w:type="dxa"/>
            <w:right w:w="108" w:type="dxa"/>
          </w:tblCellMar>
        </w:tblPrEx>
        <w:trPr>
          <w:trHeight w:val="324" w:hRule="atLeast"/>
        </w:trPr>
        <w:tc>
          <w:tcPr>
            <w:tcW w:w="0" w:type="auto"/>
            <w:gridSpan w:val="5"/>
            <w:vMerge w:val="continue"/>
            <w:tcBorders>
              <w:top w:val="single" w:color="auto" w:sz="4" w:space="0"/>
              <w:left w:val="single" w:color="auto" w:sz="8" w:space="0"/>
              <w:bottom w:val="single" w:color="000000" w:sz="8" w:space="0"/>
              <w:right w:val="single" w:color="000000" w:sz="8" w:space="0"/>
            </w:tcBorders>
            <w:vAlign w:val="center"/>
          </w:tcPr>
          <w:p w14:paraId="05E29E39">
            <w:pPr>
              <w:widowControl/>
              <w:jc w:val="left"/>
              <w:rPr>
                <w:rFonts w:ascii="宋体" w:hAnsi="宋体" w:cs="宋体"/>
                <w:kern w:val="0"/>
                <w:sz w:val="24"/>
                <w:szCs w:val="24"/>
              </w:rPr>
            </w:pPr>
          </w:p>
        </w:tc>
      </w:tr>
      <w:tr w14:paraId="376166DE">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single" w:color="auto" w:sz="4" w:space="0"/>
              <w:right w:val="single" w:color="000000" w:sz="8" w:space="0"/>
            </w:tcBorders>
            <w:vAlign w:val="center"/>
          </w:tcPr>
          <w:p w14:paraId="3BC62D4C">
            <w:pPr>
              <w:widowControl/>
              <w:jc w:val="left"/>
              <w:rPr>
                <w:rFonts w:ascii="宋体" w:hAnsi="宋体" w:cs="宋体"/>
                <w:b/>
                <w:bCs/>
                <w:kern w:val="0"/>
                <w:sz w:val="24"/>
                <w:szCs w:val="24"/>
              </w:rPr>
            </w:pPr>
            <w:r>
              <w:rPr>
                <w:rFonts w:hint="eastAsia" w:ascii="宋体" w:hAnsi="宋体" w:cs="宋体"/>
                <w:b/>
                <w:bCs/>
                <w:kern w:val="0"/>
                <w:sz w:val="24"/>
                <w:szCs w:val="24"/>
              </w:rPr>
              <w:t>四、物品质量要求</w:t>
            </w:r>
          </w:p>
        </w:tc>
      </w:tr>
      <w:tr w14:paraId="30424E37">
        <w:tblPrEx>
          <w:tblCellMar>
            <w:top w:w="0" w:type="dxa"/>
            <w:left w:w="108" w:type="dxa"/>
            <w:bottom w:w="0" w:type="dxa"/>
            <w:right w:w="108" w:type="dxa"/>
          </w:tblCellMar>
        </w:tblPrEx>
        <w:trPr>
          <w:trHeight w:val="312" w:hRule="atLeast"/>
        </w:trPr>
        <w:tc>
          <w:tcPr>
            <w:tcW w:w="0" w:type="auto"/>
            <w:gridSpan w:val="5"/>
            <w:vMerge w:val="restart"/>
            <w:tcBorders>
              <w:top w:val="single" w:color="auto" w:sz="4" w:space="0"/>
              <w:left w:val="single" w:color="auto" w:sz="8" w:space="0"/>
              <w:bottom w:val="single" w:color="000000" w:sz="8" w:space="0"/>
              <w:right w:val="single" w:color="000000" w:sz="8" w:space="0"/>
            </w:tcBorders>
            <w:vAlign w:val="center"/>
          </w:tcPr>
          <w:p w14:paraId="7346F5E3">
            <w:pPr>
              <w:widowControl/>
              <w:jc w:val="left"/>
              <w:rPr>
                <w:rFonts w:ascii="宋体" w:hAnsi="宋体" w:cs="宋体"/>
                <w:kern w:val="0"/>
                <w:sz w:val="24"/>
                <w:szCs w:val="24"/>
              </w:rPr>
            </w:pPr>
            <w:r>
              <w:rPr>
                <w:rFonts w:hint="eastAsia" w:ascii="宋体" w:hAnsi="宋体" w:cs="宋体"/>
                <w:kern w:val="0"/>
                <w:sz w:val="24"/>
                <w:szCs w:val="24"/>
              </w:rPr>
              <w:t>1.本项目所涉设备和安装质量应符合《中国建设银行分行UPS设备及蓄电池应用技术规范（2019版）》《YDT1095-2018&lt;通信用不间断电源&gt;》等的规范要求；</w:t>
            </w:r>
          </w:p>
          <w:p w14:paraId="4C59FF83">
            <w:pPr>
              <w:widowControl/>
              <w:jc w:val="left"/>
              <w:rPr>
                <w:rFonts w:hint="eastAsia" w:ascii="宋体" w:hAnsi="宋体" w:cs="宋体"/>
                <w:kern w:val="0"/>
                <w:sz w:val="24"/>
                <w:szCs w:val="24"/>
              </w:rPr>
            </w:pPr>
            <w:r>
              <w:rPr>
                <w:rFonts w:hint="eastAsia" w:ascii="宋体" w:hAnsi="宋体" w:cs="宋体"/>
                <w:kern w:val="0"/>
                <w:sz w:val="24"/>
                <w:szCs w:val="24"/>
              </w:rPr>
              <w:t>2.UPS产品应有长时间的市场应用经验（不低于5年，需提供相关证明），应为我行产品目录内品牌；</w:t>
            </w:r>
          </w:p>
          <w:p w14:paraId="167691A3">
            <w:pPr>
              <w:widowControl/>
              <w:jc w:val="left"/>
              <w:rPr>
                <w:rFonts w:ascii="宋体" w:hAnsi="宋体" w:cs="宋体"/>
                <w:kern w:val="0"/>
                <w:sz w:val="24"/>
                <w:szCs w:val="24"/>
              </w:rPr>
            </w:pPr>
            <w:r>
              <w:rPr>
                <w:rFonts w:hint="eastAsia" w:ascii="宋体" w:hAnsi="宋体" w:cs="宋体"/>
                <w:kern w:val="0"/>
                <w:sz w:val="24"/>
                <w:szCs w:val="24"/>
              </w:rPr>
              <w:t>3.UPS主机要求：三进三出，双变换纯在线高频化塔式UPS，内部一体化设计（由市电整流器、电池独立升压变流器、逆变器组成），单个IGBT模块额定电流不小于300A，单个电容容值不小于3000uF，“市电整流拓扑”与“电池放电拓扑”独立设计，不应产生内部环流，具备告警事件深度分析功能。</w:t>
            </w:r>
          </w:p>
        </w:tc>
      </w:tr>
      <w:tr w14:paraId="0BC24936">
        <w:tblPrEx>
          <w:tblCellMar>
            <w:top w:w="0" w:type="dxa"/>
            <w:left w:w="108" w:type="dxa"/>
            <w:bottom w:w="0" w:type="dxa"/>
            <w:right w:w="108" w:type="dxa"/>
          </w:tblCellMar>
        </w:tblPrEx>
        <w:trPr>
          <w:trHeight w:val="324" w:hRule="atLeast"/>
        </w:trPr>
        <w:tc>
          <w:tcPr>
            <w:tcW w:w="0" w:type="auto"/>
            <w:gridSpan w:val="5"/>
            <w:vMerge w:val="continue"/>
            <w:tcBorders>
              <w:top w:val="single" w:color="auto" w:sz="4" w:space="0"/>
              <w:left w:val="single" w:color="auto" w:sz="8" w:space="0"/>
              <w:bottom w:val="single" w:color="000000" w:sz="8" w:space="0"/>
              <w:right w:val="single" w:color="000000" w:sz="8" w:space="0"/>
            </w:tcBorders>
            <w:vAlign w:val="center"/>
          </w:tcPr>
          <w:p w14:paraId="306AEEC9">
            <w:pPr>
              <w:widowControl/>
              <w:jc w:val="left"/>
              <w:rPr>
                <w:rFonts w:ascii="宋体" w:hAnsi="宋体" w:cs="宋体"/>
                <w:kern w:val="0"/>
                <w:sz w:val="24"/>
                <w:szCs w:val="24"/>
              </w:rPr>
            </w:pPr>
          </w:p>
        </w:tc>
      </w:tr>
      <w:tr w14:paraId="47D78231">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single" w:color="auto" w:sz="4" w:space="0"/>
              <w:right w:val="single" w:color="000000" w:sz="8" w:space="0"/>
            </w:tcBorders>
            <w:vAlign w:val="center"/>
          </w:tcPr>
          <w:p w14:paraId="49149F8F">
            <w:pPr>
              <w:widowControl/>
              <w:jc w:val="left"/>
              <w:rPr>
                <w:rFonts w:ascii="宋体" w:hAnsi="宋体" w:cs="宋体"/>
                <w:b/>
                <w:bCs/>
                <w:kern w:val="0"/>
                <w:sz w:val="24"/>
                <w:szCs w:val="24"/>
              </w:rPr>
            </w:pPr>
            <w:r>
              <w:rPr>
                <w:rFonts w:hint="eastAsia" w:ascii="宋体" w:hAnsi="宋体" w:cs="宋体"/>
                <w:b/>
                <w:bCs/>
                <w:kern w:val="0"/>
                <w:sz w:val="24"/>
                <w:szCs w:val="24"/>
              </w:rPr>
              <w:t>五、物品数量</w:t>
            </w:r>
          </w:p>
        </w:tc>
      </w:tr>
      <w:tr w14:paraId="02E94E4A">
        <w:tblPrEx>
          <w:tblCellMar>
            <w:top w:w="0" w:type="dxa"/>
            <w:left w:w="108" w:type="dxa"/>
            <w:bottom w:w="0" w:type="dxa"/>
            <w:right w:w="108" w:type="dxa"/>
          </w:tblCellMar>
        </w:tblPrEx>
        <w:trPr>
          <w:trHeight w:val="312" w:hRule="atLeast"/>
        </w:trPr>
        <w:tc>
          <w:tcPr>
            <w:tcW w:w="0" w:type="auto"/>
            <w:gridSpan w:val="5"/>
            <w:vMerge w:val="restart"/>
            <w:tcBorders>
              <w:top w:val="single" w:color="auto" w:sz="4" w:space="0"/>
              <w:left w:val="single" w:color="auto" w:sz="8" w:space="0"/>
              <w:bottom w:val="single" w:color="000000" w:sz="8" w:space="0"/>
              <w:right w:val="single" w:color="000000" w:sz="8" w:space="0"/>
            </w:tcBorders>
            <w:vAlign w:val="center"/>
          </w:tcPr>
          <w:p w14:paraId="306D360C">
            <w:pPr>
              <w:widowControl/>
              <w:jc w:val="left"/>
              <w:rPr>
                <w:rFonts w:ascii="宋体" w:hAnsi="宋体" w:cs="宋体"/>
                <w:kern w:val="0"/>
                <w:sz w:val="24"/>
                <w:szCs w:val="24"/>
              </w:rPr>
            </w:pPr>
            <w:r>
              <w:rPr>
                <w:rFonts w:hint="eastAsia" w:ascii="宋体" w:hAnsi="宋体" w:cs="宋体"/>
                <w:kern w:val="0"/>
                <w:sz w:val="24"/>
                <w:szCs w:val="24"/>
              </w:rPr>
              <w:t>详见附件一《设备清单》</w:t>
            </w:r>
          </w:p>
        </w:tc>
      </w:tr>
      <w:tr w14:paraId="1106FEF3">
        <w:tblPrEx>
          <w:tblCellMar>
            <w:top w:w="0" w:type="dxa"/>
            <w:left w:w="108" w:type="dxa"/>
            <w:bottom w:w="0" w:type="dxa"/>
            <w:right w:w="108" w:type="dxa"/>
          </w:tblCellMar>
        </w:tblPrEx>
        <w:trPr>
          <w:trHeight w:val="324" w:hRule="atLeast"/>
        </w:trPr>
        <w:tc>
          <w:tcPr>
            <w:tcW w:w="0" w:type="auto"/>
            <w:gridSpan w:val="5"/>
            <w:vMerge w:val="continue"/>
            <w:tcBorders>
              <w:top w:val="single" w:color="auto" w:sz="4" w:space="0"/>
              <w:left w:val="single" w:color="auto" w:sz="8" w:space="0"/>
              <w:bottom w:val="single" w:color="000000" w:sz="8" w:space="0"/>
              <w:right w:val="single" w:color="000000" w:sz="8" w:space="0"/>
            </w:tcBorders>
            <w:vAlign w:val="center"/>
          </w:tcPr>
          <w:p w14:paraId="6EE3BB30">
            <w:pPr>
              <w:widowControl/>
              <w:jc w:val="left"/>
              <w:rPr>
                <w:rFonts w:ascii="宋体" w:hAnsi="宋体" w:cs="宋体"/>
                <w:kern w:val="0"/>
                <w:sz w:val="24"/>
                <w:szCs w:val="24"/>
              </w:rPr>
            </w:pPr>
          </w:p>
        </w:tc>
      </w:tr>
      <w:tr w14:paraId="1A41BC27">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single" w:color="auto" w:sz="4" w:space="0"/>
              <w:right w:val="single" w:color="000000" w:sz="8" w:space="0"/>
            </w:tcBorders>
            <w:vAlign w:val="center"/>
          </w:tcPr>
          <w:p w14:paraId="6F6BBB62">
            <w:pPr>
              <w:widowControl/>
              <w:jc w:val="left"/>
              <w:rPr>
                <w:rFonts w:ascii="宋体" w:hAnsi="宋体" w:cs="宋体"/>
                <w:b/>
                <w:bCs/>
                <w:kern w:val="0"/>
                <w:sz w:val="24"/>
                <w:szCs w:val="24"/>
              </w:rPr>
            </w:pPr>
            <w:r>
              <w:rPr>
                <w:rFonts w:hint="eastAsia" w:ascii="宋体" w:hAnsi="宋体" w:cs="宋体"/>
                <w:b/>
                <w:bCs/>
                <w:kern w:val="0"/>
                <w:sz w:val="24"/>
                <w:szCs w:val="24"/>
              </w:rPr>
              <w:t>六、供货安排及安装方案</w:t>
            </w:r>
          </w:p>
        </w:tc>
      </w:tr>
      <w:tr w14:paraId="108FA1B6">
        <w:tblPrEx>
          <w:tblCellMar>
            <w:top w:w="0" w:type="dxa"/>
            <w:left w:w="108" w:type="dxa"/>
            <w:bottom w:w="0" w:type="dxa"/>
            <w:right w:w="108" w:type="dxa"/>
          </w:tblCellMar>
        </w:tblPrEx>
        <w:trPr>
          <w:trHeight w:val="312" w:hRule="atLeast"/>
        </w:trPr>
        <w:tc>
          <w:tcPr>
            <w:tcW w:w="0" w:type="auto"/>
            <w:gridSpan w:val="5"/>
            <w:vMerge w:val="restart"/>
            <w:tcBorders>
              <w:top w:val="single" w:color="auto" w:sz="4" w:space="0"/>
              <w:left w:val="single" w:color="auto" w:sz="8" w:space="0"/>
              <w:bottom w:val="single" w:color="000000" w:sz="8" w:space="0"/>
              <w:right w:val="single" w:color="000000" w:sz="8" w:space="0"/>
            </w:tcBorders>
            <w:vAlign w:val="center"/>
          </w:tcPr>
          <w:p w14:paraId="7FC1ABF5">
            <w:pPr>
              <w:widowControl/>
              <w:jc w:val="left"/>
              <w:rPr>
                <w:rFonts w:ascii="宋体" w:hAnsi="宋体" w:cs="宋体"/>
                <w:kern w:val="0"/>
                <w:sz w:val="24"/>
                <w:szCs w:val="24"/>
              </w:rPr>
            </w:pPr>
            <w:r>
              <w:rPr>
                <w:rFonts w:hint="eastAsia" w:ascii="宋体" w:hAnsi="宋体" w:cs="宋体"/>
                <w:kern w:val="0"/>
                <w:sz w:val="24"/>
                <w:szCs w:val="24"/>
              </w:rPr>
              <w:t xml:space="preserve">   由供应商负责采用陆运或海运运输方式将产品安全运至我行指定交货地点：广东省深圳市福田区车公庙泰然四路泰然工贸园304栋1楼指定位置。交货时间为：合同签订后3个月内到货，并于6个月内完成安装与调试工作。</w:t>
            </w:r>
          </w:p>
        </w:tc>
      </w:tr>
      <w:tr w14:paraId="7D5F9CFF">
        <w:tblPrEx>
          <w:tblCellMar>
            <w:top w:w="0" w:type="dxa"/>
            <w:left w:w="108" w:type="dxa"/>
            <w:bottom w:w="0" w:type="dxa"/>
            <w:right w:w="108" w:type="dxa"/>
          </w:tblCellMar>
        </w:tblPrEx>
        <w:trPr>
          <w:trHeight w:val="324" w:hRule="atLeast"/>
        </w:trPr>
        <w:tc>
          <w:tcPr>
            <w:tcW w:w="0" w:type="auto"/>
            <w:gridSpan w:val="5"/>
            <w:vMerge w:val="continue"/>
            <w:tcBorders>
              <w:top w:val="single" w:color="auto" w:sz="4" w:space="0"/>
              <w:left w:val="single" w:color="auto" w:sz="8" w:space="0"/>
              <w:bottom w:val="single" w:color="000000" w:sz="8" w:space="0"/>
              <w:right w:val="single" w:color="000000" w:sz="8" w:space="0"/>
            </w:tcBorders>
            <w:vAlign w:val="center"/>
          </w:tcPr>
          <w:p w14:paraId="5E53BDB7">
            <w:pPr>
              <w:widowControl/>
              <w:jc w:val="left"/>
              <w:rPr>
                <w:rFonts w:ascii="宋体" w:hAnsi="宋体" w:cs="宋体"/>
                <w:kern w:val="0"/>
                <w:sz w:val="24"/>
                <w:szCs w:val="24"/>
              </w:rPr>
            </w:pPr>
          </w:p>
        </w:tc>
      </w:tr>
      <w:tr w14:paraId="4A0CA237">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single" w:color="auto" w:sz="4" w:space="0"/>
              <w:right w:val="single" w:color="000000" w:sz="8" w:space="0"/>
            </w:tcBorders>
            <w:vAlign w:val="center"/>
          </w:tcPr>
          <w:p w14:paraId="5BB70066">
            <w:pPr>
              <w:widowControl/>
              <w:jc w:val="left"/>
              <w:rPr>
                <w:rFonts w:ascii="宋体" w:hAnsi="宋体" w:cs="宋体"/>
                <w:b/>
                <w:bCs/>
                <w:kern w:val="0"/>
                <w:sz w:val="24"/>
                <w:szCs w:val="24"/>
              </w:rPr>
            </w:pPr>
            <w:r>
              <w:rPr>
                <w:rFonts w:hint="eastAsia" w:ascii="宋体" w:hAnsi="宋体" w:cs="宋体"/>
                <w:b/>
                <w:bCs/>
                <w:kern w:val="0"/>
                <w:sz w:val="24"/>
                <w:szCs w:val="24"/>
              </w:rPr>
              <w:t>七、款项支付要求</w:t>
            </w:r>
          </w:p>
        </w:tc>
      </w:tr>
      <w:tr w14:paraId="04120EC9">
        <w:tblPrEx>
          <w:tblCellMar>
            <w:top w:w="0" w:type="dxa"/>
            <w:left w:w="108" w:type="dxa"/>
            <w:bottom w:w="0" w:type="dxa"/>
            <w:right w:w="108" w:type="dxa"/>
          </w:tblCellMar>
        </w:tblPrEx>
        <w:trPr>
          <w:trHeight w:val="312" w:hRule="atLeast"/>
        </w:trPr>
        <w:tc>
          <w:tcPr>
            <w:tcW w:w="0" w:type="auto"/>
            <w:gridSpan w:val="5"/>
            <w:vMerge w:val="restart"/>
            <w:tcBorders>
              <w:top w:val="single" w:color="auto" w:sz="4" w:space="0"/>
              <w:left w:val="single" w:color="auto" w:sz="8" w:space="0"/>
              <w:bottom w:val="single" w:color="000000" w:sz="8" w:space="0"/>
              <w:right w:val="single" w:color="000000" w:sz="8" w:space="0"/>
            </w:tcBorders>
            <w:vAlign w:val="center"/>
          </w:tcPr>
          <w:p w14:paraId="1E4E2181">
            <w:pPr>
              <w:widowControl/>
              <w:jc w:val="left"/>
              <w:rPr>
                <w:rFonts w:ascii="宋体" w:hAnsi="宋体" w:cs="宋体"/>
                <w:kern w:val="0"/>
                <w:sz w:val="24"/>
                <w:szCs w:val="24"/>
              </w:rPr>
            </w:pPr>
            <w:r>
              <w:rPr>
                <w:rFonts w:hint="eastAsia" w:ascii="宋体" w:hAnsi="宋体" w:cs="宋体"/>
                <w:kern w:val="0"/>
                <w:sz w:val="24"/>
                <w:szCs w:val="24"/>
              </w:rPr>
              <w:t>1.原则上入选供应商需在我行开立账户，同时开通数币对公钱包绑定结算账户作为合同指定账户。</w:t>
            </w:r>
          </w:p>
          <w:p w14:paraId="1878CDAC">
            <w:pPr>
              <w:widowControl/>
              <w:jc w:val="left"/>
              <w:rPr>
                <w:rFonts w:hint="eastAsia" w:ascii="宋体" w:hAnsi="宋体" w:cs="宋体"/>
                <w:kern w:val="0"/>
                <w:sz w:val="24"/>
                <w:szCs w:val="24"/>
              </w:rPr>
            </w:pPr>
            <w:r>
              <w:rPr>
                <w:rFonts w:hint="eastAsia" w:ascii="宋体" w:hAnsi="宋体" w:cs="宋体"/>
                <w:kern w:val="0"/>
                <w:sz w:val="24"/>
                <w:szCs w:val="24"/>
              </w:rPr>
              <w:t>2.付款方式：</w:t>
            </w:r>
          </w:p>
          <w:p w14:paraId="4CB8AF73">
            <w:pPr>
              <w:widowControl/>
              <w:jc w:val="left"/>
              <w:rPr>
                <w:rFonts w:ascii="宋体" w:hAnsi="宋体" w:cs="宋体"/>
                <w:kern w:val="0"/>
                <w:sz w:val="24"/>
                <w:szCs w:val="24"/>
              </w:rPr>
            </w:pPr>
            <w:r>
              <w:rPr>
                <w:rFonts w:hint="eastAsia" w:ascii="宋体" w:hAnsi="宋体" w:cs="宋体"/>
                <w:kern w:val="0"/>
                <w:sz w:val="24"/>
                <w:szCs w:val="24"/>
              </w:rPr>
              <w:t>按我行要求，货到并验收合格，收到符合国家规定的合同总金额全额的增值税专用发票后支付合同金额的50%；自产品完成安装、正常运行并通过验收后，支付合同金额的45%；3年免费保修期满并通过验收后支付合同余款。</w:t>
            </w:r>
          </w:p>
        </w:tc>
      </w:tr>
      <w:tr w14:paraId="35B2EDA4">
        <w:tblPrEx>
          <w:tblCellMar>
            <w:top w:w="0" w:type="dxa"/>
            <w:left w:w="108" w:type="dxa"/>
            <w:bottom w:w="0" w:type="dxa"/>
            <w:right w:w="108" w:type="dxa"/>
          </w:tblCellMar>
        </w:tblPrEx>
        <w:trPr>
          <w:trHeight w:val="312" w:hRule="atLeast"/>
        </w:trPr>
        <w:tc>
          <w:tcPr>
            <w:tcW w:w="0" w:type="auto"/>
            <w:gridSpan w:val="5"/>
            <w:vMerge w:val="continue"/>
            <w:tcBorders>
              <w:top w:val="single" w:color="auto" w:sz="4" w:space="0"/>
              <w:left w:val="single" w:color="auto" w:sz="8" w:space="0"/>
              <w:bottom w:val="single" w:color="000000" w:sz="8" w:space="0"/>
              <w:right w:val="single" w:color="000000" w:sz="8" w:space="0"/>
            </w:tcBorders>
            <w:vAlign w:val="center"/>
          </w:tcPr>
          <w:p w14:paraId="601F9BED">
            <w:pPr>
              <w:widowControl/>
              <w:jc w:val="left"/>
              <w:rPr>
                <w:rFonts w:ascii="宋体" w:hAnsi="宋体" w:cs="宋体"/>
                <w:kern w:val="0"/>
                <w:sz w:val="24"/>
                <w:szCs w:val="24"/>
              </w:rPr>
            </w:pPr>
          </w:p>
        </w:tc>
      </w:tr>
      <w:tr w14:paraId="69883D26">
        <w:tblPrEx>
          <w:tblCellMar>
            <w:top w:w="0" w:type="dxa"/>
            <w:left w:w="108" w:type="dxa"/>
            <w:bottom w:w="0" w:type="dxa"/>
            <w:right w:w="108" w:type="dxa"/>
          </w:tblCellMar>
        </w:tblPrEx>
        <w:trPr>
          <w:trHeight w:val="324" w:hRule="atLeast"/>
        </w:trPr>
        <w:tc>
          <w:tcPr>
            <w:tcW w:w="0" w:type="auto"/>
            <w:gridSpan w:val="5"/>
            <w:vMerge w:val="continue"/>
            <w:tcBorders>
              <w:top w:val="single" w:color="auto" w:sz="4" w:space="0"/>
              <w:left w:val="single" w:color="auto" w:sz="8" w:space="0"/>
              <w:bottom w:val="single" w:color="000000" w:sz="8" w:space="0"/>
              <w:right w:val="single" w:color="000000" w:sz="8" w:space="0"/>
            </w:tcBorders>
            <w:vAlign w:val="center"/>
          </w:tcPr>
          <w:p w14:paraId="1D1FF9FD">
            <w:pPr>
              <w:widowControl/>
              <w:jc w:val="left"/>
              <w:rPr>
                <w:rFonts w:ascii="宋体" w:hAnsi="宋体" w:cs="宋体"/>
                <w:kern w:val="0"/>
                <w:sz w:val="24"/>
                <w:szCs w:val="24"/>
              </w:rPr>
            </w:pPr>
          </w:p>
        </w:tc>
      </w:tr>
      <w:tr w14:paraId="1A5F7F70">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single" w:color="auto" w:sz="4" w:space="0"/>
              <w:right w:val="single" w:color="000000" w:sz="8" w:space="0"/>
            </w:tcBorders>
            <w:vAlign w:val="center"/>
          </w:tcPr>
          <w:p w14:paraId="10196329">
            <w:pPr>
              <w:widowControl/>
              <w:jc w:val="left"/>
              <w:rPr>
                <w:rFonts w:ascii="宋体" w:hAnsi="宋体" w:cs="宋体"/>
                <w:b/>
                <w:bCs/>
                <w:kern w:val="0"/>
                <w:sz w:val="24"/>
                <w:szCs w:val="24"/>
              </w:rPr>
            </w:pPr>
            <w:r>
              <w:rPr>
                <w:rFonts w:hint="eastAsia" w:ascii="宋体" w:hAnsi="宋体" w:cs="宋体"/>
                <w:b/>
                <w:bCs/>
                <w:kern w:val="0"/>
                <w:sz w:val="24"/>
                <w:szCs w:val="24"/>
              </w:rPr>
              <w:t>八、售后服务要求</w:t>
            </w:r>
          </w:p>
        </w:tc>
      </w:tr>
      <w:tr w14:paraId="5EC594E2">
        <w:tblPrEx>
          <w:tblCellMar>
            <w:top w:w="0" w:type="dxa"/>
            <w:left w:w="108" w:type="dxa"/>
            <w:bottom w:w="0" w:type="dxa"/>
            <w:right w:w="108" w:type="dxa"/>
          </w:tblCellMar>
        </w:tblPrEx>
        <w:trPr>
          <w:trHeight w:val="312" w:hRule="atLeast"/>
        </w:trPr>
        <w:tc>
          <w:tcPr>
            <w:tcW w:w="0" w:type="auto"/>
            <w:gridSpan w:val="5"/>
            <w:vMerge w:val="restart"/>
            <w:tcBorders>
              <w:top w:val="single" w:color="auto" w:sz="4" w:space="0"/>
              <w:left w:val="single" w:color="auto" w:sz="8" w:space="0"/>
              <w:bottom w:val="single" w:color="000000" w:sz="8" w:space="0"/>
              <w:right w:val="single" w:color="000000" w:sz="8" w:space="0"/>
            </w:tcBorders>
            <w:vAlign w:val="center"/>
          </w:tcPr>
          <w:p w14:paraId="5A23AC37">
            <w:pPr>
              <w:widowControl/>
              <w:jc w:val="left"/>
              <w:rPr>
                <w:rFonts w:ascii="宋体" w:hAnsi="宋体" w:cs="宋体"/>
                <w:kern w:val="0"/>
                <w:sz w:val="24"/>
                <w:szCs w:val="24"/>
              </w:rPr>
            </w:pPr>
            <w:r>
              <w:rPr>
                <w:rFonts w:hint="eastAsia" w:ascii="宋体" w:hAnsi="宋体" w:cs="宋体"/>
                <w:kern w:val="0"/>
                <w:sz w:val="24"/>
                <w:szCs w:val="24"/>
              </w:rPr>
              <w:t>1.若供应商并非原厂商、而约定由原厂商提供维护支持服务，供应商应当在合同生效后30日内向我行提供原厂商签发的同意依照合同约定向我行提供维护支持服务的承诺文件（若产品交货时已随附有原厂商维护支持服务或免费更换承诺文件，且合同约定的维护支持服务内容已完全包括在该随附文件中的，经我行同意，供应商可免除此项另行提供维护支持服务承诺文件的义务）。该承诺文件应当按照我行要求注明维护支持服务起止日期、服务费是否已付清等事项。供应商不在上述约定期限内向我行提供符合我行要求的承诺文件的，我行有权拒绝支付或要求供应商退回相应款项，并有权要求供应商承担相应违约责任。</w:t>
            </w:r>
          </w:p>
          <w:p w14:paraId="42E802D2">
            <w:pPr>
              <w:widowControl/>
              <w:jc w:val="left"/>
              <w:rPr>
                <w:rFonts w:hint="eastAsia" w:ascii="宋体" w:hAnsi="宋体" w:cs="宋体"/>
                <w:kern w:val="0"/>
                <w:sz w:val="24"/>
                <w:szCs w:val="24"/>
              </w:rPr>
            </w:pPr>
            <w:r>
              <w:rPr>
                <w:rFonts w:hint="eastAsia" w:ascii="宋体" w:hAnsi="宋体" w:cs="宋体"/>
                <w:kern w:val="0"/>
                <w:sz w:val="24"/>
                <w:szCs w:val="24"/>
              </w:rPr>
              <w:t>尽管有前述约定，若供应商并非原厂商、而约定维护支持服务提供方为原厂商的，则供应商有义务联系、安排、督促、要求原厂商按照上述约定履行维护支持服务义务。原厂商未按照上述约定履行义务的，视为供应商未按照上述约定履行义务，我行有权按照本合同“违约责任”条款的约定要求供应商承担相应违约责任。</w:t>
            </w:r>
          </w:p>
          <w:p w14:paraId="3227FA67">
            <w:pPr>
              <w:widowControl/>
              <w:jc w:val="left"/>
              <w:rPr>
                <w:rFonts w:hint="eastAsia" w:ascii="宋体" w:hAnsi="宋体" w:cs="宋体"/>
                <w:kern w:val="0"/>
                <w:sz w:val="24"/>
                <w:szCs w:val="24"/>
              </w:rPr>
            </w:pPr>
            <w:r>
              <w:rPr>
                <w:rFonts w:hint="eastAsia" w:ascii="宋体" w:hAnsi="宋体" w:cs="宋体"/>
                <w:kern w:val="0"/>
                <w:sz w:val="24"/>
                <w:szCs w:val="24"/>
              </w:rPr>
              <w:t>2.维护支持服务提供方应当为我行提供下列维护支持服务：</w:t>
            </w:r>
          </w:p>
          <w:p w14:paraId="4B0BBEC0">
            <w:pPr>
              <w:widowControl/>
              <w:jc w:val="left"/>
              <w:rPr>
                <w:rFonts w:hint="eastAsia" w:ascii="宋体" w:hAnsi="宋体" w:cs="宋体"/>
                <w:kern w:val="0"/>
                <w:sz w:val="24"/>
                <w:szCs w:val="24"/>
              </w:rPr>
            </w:pPr>
            <w:r>
              <w:rPr>
                <w:rFonts w:hint="eastAsia" w:ascii="宋体" w:hAnsi="宋体" w:cs="宋体"/>
                <w:kern w:val="0"/>
                <w:sz w:val="24"/>
                <w:szCs w:val="24"/>
              </w:rPr>
              <w:t>（1）为本合同项下的全部产品自验收合格之日起提供3年（每年6次巡检）的维护支持服务。维护支持服务期内，维护支持服务提供方提供7×24小时电话、网络等远程支持服务及上门维护支持服务。</w:t>
            </w:r>
          </w:p>
          <w:p w14:paraId="287F132B">
            <w:pPr>
              <w:widowControl/>
              <w:jc w:val="left"/>
              <w:rPr>
                <w:rFonts w:hint="eastAsia" w:ascii="宋体" w:hAnsi="宋体" w:cs="宋体"/>
                <w:kern w:val="0"/>
                <w:sz w:val="24"/>
                <w:szCs w:val="24"/>
              </w:rPr>
            </w:pPr>
            <w:r>
              <w:rPr>
                <w:rFonts w:hint="eastAsia" w:ascii="宋体" w:hAnsi="宋体" w:cs="宋体"/>
                <w:kern w:val="0"/>
                <w:sz w:val="24"/>
                <w:szCs w:val="24"/>
              </w:rPr>
              <w:t>维护支持服务提供方可通过电话、网络等远程方式对我行在产品使用过程中出现的一般性问题提供咨询解答。产品出现故障时，我行可以通过电话或网络方式向供应商报告故障（简称“故障报告”），维护支持服务提供方应按照本合同约定立即作出响应。</w:t>
            </w:r>
          </w:p>
          <w:p w14:paraId="73F69910">
            <w:pPr>
              <w:widowControl/>
              <w:jc w:val="left"/>
              <w:rPr>
                <w:rFonts w:hint="eastAsia" w:ascii="宋体" w:hAnsi="宋体" w:cs="宋体"/>
                <w:kern w:val="0"/>
                <w:sz w:val="24"/>
                <w:szCs w:val="24"/>
              </w:rPr>
            </w:pPr>
            <w:r>
              <w:rPr>
                <w:rFonts w:hint="eastAsia" w:ascii="宋体" w:hAnsi="宋体" w:cs="宋体"/>
                <w:kern w:val="0"/>
                <w:sz w:val="24"/>
                <w:szCs w:val="24"/>
              </w:rPr>
              <w:t>（2）产品故障分为严重、一般、轻微三个等级，维护支持服务提供方应根据产品故障的不同级别，提供不同的故障响应及服务：“严重”为产品无法运行或基本无法运行，或产品重要功能失效或基本失效；“一般”为产品可以运行，但非重要性功能的使用受到限制；“轻微”为其它轻微影响产品使用的故障。</w:t>
            </w:r>
          </w:p>
          <w:p w14:paraId="145AE7E6">
            <w:pPr>
              <w:widowControl/>
              <w:jc w:val="left"/>
              <w:rPr>
                <w:rFonts w:hint="eastAsia" w:ascii="宋体" w:hAnsi="宋体" w:cs="宋体"/>
                <w:kern w:val="0"/>
                <w:sz w:val="24"/>
                <w:szCs w:val="24"/>
              </w:rPr>
            </w:pPr>
            <w:r>
              <w:rPr>
                <w:rFonts w:hint="eastAsia" w:ascii="宋体" w:hAnsi="宋体" w:cs="宋体"/>
                <w:kern w:val="0"/>
                <w:sz w:val="24"/>
                <w:szCs w:val="24"/>
              </w:rPr>
              <w:t>维护支持服务提供方应对我行故障报告做出及时响应：</w:t>
            </w:r>
          </w:p>
          <w:p w14:paraId="75E88F10">
            <w:pPr>
              <w:widowControl/>
              <w:jc w:val="left"/>
              <w:rPr>
                <w:rFonts w:hint="eastAsia" w:ascii="宋体" w:hAnsi="宋体" w:cs="宋体"/>
                <w:kern w:val="0"/>
                <w:sz w:val="24"/>
                <w:szCs w:val="24"/>
              </w:rPr>
            </w:pPr>
            <w:r>
              <w:rPr>
                <w:rFonts w:hint="eastAsia" w:ascii="宋体" w:hAnsi="宋体" w:cs="宋体"/>
                <w:kern w:val="0"/>
                <w:sz w:val="24"/>
                <w:szCs w:val="24"/>
              </w:rPr>
              <w:t>对于严重级别故障，维护支持服务提供方应立即派出高级技术人员到现场进行维修，与此同时，维护支持服务提供方技术支持人员应通过电话、网络等方式尝试排除故障；维护支持服务提供方派出的高级技术人员应当在2小时内（从我行故障报告时间起算，下同）到达故障现场，维护支持服务提供方承诺在收到故障报告后4小时内恢复产品正常运行。</w:t>
            </w:r>
          </w:p>
          <w:p w14:paraId="3457B9B3">
            <w:pPr>
              <w:widowControl/>
              <w:jc w:val="left"/>
              <w:rPr>
                <w:rFonts w:hint="eastAsia" w:ascii="宋体" w:hAnsi="宋体" w:cs="宋体"/>
                <w:kern w:val="0"/>
                <w:sz w:val="24"/>
                <w:szCs w:val="24"/>
              </w:rPr>
            </w:pPr>
            <w:r>
              <w:rPr>
                <w:rFonts w:hint="eastAsia" w:ascii="宋体" w:hAnsi="宋体" w:cs="宋体"/>
                <w:kern w:val="0"/>
                <w:sz w:val="24"/>
                <w:szCs w:val="24"/>
              </w:rPr>
              <w:t>对于一般级别故障，维护支持服务提供方应立即通过电话、网络等方式尝试排除故障；如故障在4小时内无法排除，维护支持服务提供方应立即派出高级技术人员在8小时内到达故障现场进行维修，维护支持服务提供方承诺在收到故障报告后24小时内恢复产品正常运行。</w:t>
            </w:r>
          </w:p>
          <w:p w14:paraId="58405880">
            <w:pPr>
              <w:widowControl/>
              <w:jc w:val="left"/>
              <w:rPr>
                <w:rFonts w:hint="eastAsia" w:ascii="宋体" w:hAnsi="宋体" w:cs="宋体"/>
                <w:kern w:val="0"/>
                <w:sz w:val="24"/>
                <w:szCs w:val="24"/>
              </w:rPr>
            </w:pPr>
            <w:r>
              <w:rPr>
                <w:rFonts w:hint="eastAsia" w:ascii="宋体" w:hAnsi="宋体" w:cs="宋体"/>
                <w:kern w:val="0"/>
                <w:sz w:val="24"/>
                <w:szCs w:val="24"/>
              </w:rPr>
              <w:t xml:space="preserve">对于轻微级别故障，维护支持服务提供方应立即通过电话、网络等方式尝试排除故障；如故障在12小时内无法排除，维护支持服务提供方应在24小时内派出技术人员到达故障现场进行维修，维护支持服务提供方承诺在收到故障报告后48小时内恢复产品正常运行。 </w:t>
            </w:r>
          </w:p>
          <w:p w14:paraId="1C18E2FA">
            <w:pPr>
              <w:widowControl/>
              <w:jc w:val="left"/>
              <w:rPr>
                <w:rFonts w:hint="eastAsia" w:ascii="宋体" w:hAnsi="宋体" w:cs="宋体"/>
                <w:kern w:val="0"/>
                <w:sz w:val="24"/>
                <w:szCs w:val="24"/>
              </w:rPr>
            </w:pPr>
            <w:r>
              <w:rPr>
                <w:rFonts w:hint="eastAsia" w:ascii="宋体" w:hAnsi="宋体" w:cs="宋体"/>
                <w:kern w:val="0"/>
                <w:sz w:val="24"/>
                <w:szCs w:val="24"/>
              </w:rPr>
              <w:t>如故障无法现场解决，维护支持服务提供方应当首先用功能相同的自有备用设备替换故障产品或按照我行要求采取其他补救措施。</w:t>
            </w:r>
          </w:p>
          <w:p w14:paraId="736C5590">
            <w:pPr>
              <w:widowControl/>
              <w:jc w:val="left"/>
              <w:rPr>
                <w:rFonts w:ascii="宋体" w:hAnsi="宋体" w:cs="宋体"/>
                <w:kern w:val="0"/>
                <w:sz w:val="24"/>
                <w:szCs w:val="24"/>
              </w:rPr>
            </w:pPr>
            <w:r>
              <w:rPr>
                <w:rFonts w:hint="eastAsia" w:ascii="宋体" w:hAnsi="宋体" w:cs="宋体"/>
                <w:kern w:val="0"/>
                <w:sz w:val="24"/>
                <w:szCs w:val="24"/>
              </w:rPr>
              <w:t>3.维护支持服务工作完成后（或双方书面另行约定其他时点），维护支持服务提供方应当在10日内做好验收的必要准备并向我行发出可以进行验收的书面通知。我行自收到维护支持服务提供方可以进行验收的通知之日起3日内开始对维护支持服务进行验收，验收合格后我行签署验收合格证明。如验收不合格，维护支持服务提供方应当立即采取措施纠正不符之处，并与我行协商约定新的验收时间进行验收（简称“重新提交验收”）。若因维护支持服务提供方重新提交验收而未在原定的服务完成期限或验收合格期限前验收合格的，由供应商对维护支持服务提供方的违约行为承担逾期违约责任。</w:t>
            </w:r>
          </w:p>
        </w:tc>
      </w:tr>
      <w:tr w14:paraId="7DAA6D7E">
        <w:tblPrEx>
          <w:tblCellMar>
            <w:top w:w="0" w:type="dxa"/>
            <w:left w:w="108" w:type="dxa"/>
            <w:bottom w:w="0" w:type="dxa"/>
            <w:right w:w="108" w:type="dxa"/>
          </w:tblCellMar>
        </w:tblPrEx>
        <w:trPr>
          <w:trHeight w:val="324" w:hRule="atLeast"/>
        </w:trPr>
        <w:tc>
          <w:tcPr>
            <w:tcW w:w="0" w:type="auto"/>
            <w:gridSpan w:val="5"/>
            <w:vMerge w:val="continue"/>
            <w:tcBorders>
              <w:top w:val="single" w:color="auto" w:sz="4" w:space="0"/>
              <w:left w:val="single" w:color="auto" w:sz="8" w:space="0"/>
              <w:bottom w:val="single" w:color="000000" w:sz="8" w:space="0"/>
              <w:right w:val="single" w:color="000000" w:sz="8" w:space="0"/>
            </w:tcBorders>
            <w:vAlign w:val="center"/>
          </w:tcPr>
          <w:p w14:paraId="4A818498">
            <w:pPr>
              <w:widowControl/>
              <w:jc w:val="left"/>
              <w:rPr>
                <w:rFonts w:ascii="宋体" w:hAnsi="宋体" w:cs="宋体"/>
                <w:kern w:val="0"/>
                <w:sz w:val="24"/>
                <w:szCs w:val="24"/>
              </w:rPr>
            </w:pPr>
          </w:p>
        </w:tc>
      </w:tr>
      <w:tr w14:paraId="2AAAD1BC">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single" w:color="auto" w:sz="4" w:space="0"/>
              <w:right w:val="single" w:color="000000" w:sz="8" w:space="0"/>
            </w:tcBorders>
            <w:vAlign w:val="center"/>
          </w:tcPr>
          <w:p w14:paraId="647D7C57">
            <w:pPr>
              <w:widowControl/>
              <w:jc w:val="left"/>
              <w:rPr>
                <w:rFonts w:ascii="宋体" w:hAnsi="宋体" w:cs="宋体"/>
                <w:b/>
                <w:bCs/>
                <w:kern w:val="0"/>
                <w:sz w:val="24"/>
                <w:szCs w:val="24"/>
              </w:rPr>
            </w:pPr>
            <w:r>
              <w:rPr>
                <w:rFonts w:hint="eastAsia" w:ascii="宋体" w:hAnsi="宋体" w:cs="宋体"/>
                <w:b/>
                <w:bCs/>
                <w:kern w:val="0"/>
                <w:sz w:val="24"/>
                <w:szCs w:val="24"/>
              </w:rPr>
              <w:t>九、报价要求</w:t>
            </w:r>
          </w:p>
        </w:tc>
      </w:tr>
      <w:tr w14:paraId="4206119D">
        <w:tblPrEx>
          <w:tblCellMar>
            <w:top w:w="0" w:type="dxa"/>
            <w:left w:w="108" w:type="dxa"/>
            <w:bottom w:w="0" w:type="dxa"/>
            <w:right w:w="108" w:type="dxa"/>
          </w:tblCellMar>
        </w:tblPrEx>
        <w:trPr>
          <w:trHeight w:val="312" w:hRule="atLeast"/>
        </w:trPr>
        <w:tc>
          <w:tcPr>
            <w:tcW w:w="0" w:type="auto"/>
            <w:gridSpan w:val="5"/>
            <w:vMerge w:val="restart"/>
            <w:tcBorders>
              <w:top w:val="single" w:color="auto" w:sz="4" w:space="0"/>
              <w:left w:val="single" w:color="auto" w:sz="8" w:space="0"/>
              <w:bottom w:val="single" w:color="auto" w:sz="4" w:space="0"/>
              <w:right w:val="single" w:color="000000" w:sz="8" w:space="0"/>
            </w:tcBorders>
            <w:vAlign w:val="center"/>
          </w:tcPr>
          <w:p w14:paraId="554FCF65">
            <w:pPr>
              <w:widowControl/>
              <w:rPr>
                <w:rFonts w:ascii="宋体" w:hAnsi="宋体" w:cs="宋体"/>
                <w:kern w:val="0"/>
                <w:sz w:val="24"/>
                <w:szCs w:val="24"/>
              </w:rPr>
            </w:pPr>
            <w:r>
              <w:rPr>
                <w:rFonts w:hint="eastAsia" w:ascii="宋体" w:hAnsi="宋体" w:cs="宋体"/>
                <w:kern w:val="0"/>
                <w:sz w:val="24"/>
                <w:szCs w:val="24"/>
              </w:rPr>
              <w:t>对项目报单价和总价。</w:t>
            </w:r>
          </w:p>
        </w:tc>
      </w:tr>
      <w:tr w14:paraId="35879F04">
        <w:tblPrEx>
          <w:tblCellMar>
            <w:top w:w="0" w:type="dxa"/>
            <w:left w:w="108" w:type="dxa"/>
            <w:bottom w:w="0" w:type="dxa"/>
            <w:right w:w="108" w:type="dxa"/>
          </w:tblCellMar>
        </w:tblPrEx>
        <w:trPr>
          <w:trHeight w:val="324" w:hRule="atLeast"/>
        </w:trPr>
        <w:tc>
          <w:tcPr>
            <w:tcW w:w="0" w:type="auto"/>
            <w:gridSpan w:val="5"/>
            <w:vMerge w:val="continue"/>
            <w:tcBorders>
              <w:top w:val="single" w:color="auto" w:sz="4" w:space="0"/>
              <w:left w:val="single" w:color="auto" w:sz="8" w:space="0"/>
              <w:bottom w:val="single" w:color="auto" w:sz="4" w:space="0"/>
              <w:right w:val="single" w:color="000000" w:sz="8" w:space="0"/>
            </w:tcBorders>
            <w:vAlign w:val="center"/>
          </w:tcPr>
          <w:p w14:paraId="1244FDEB">
            <w:pPr>
              <w:widowControl/>
              <w:jc w:val="left"/>
              <w:rPr>
                <w:rFonts w:ascii="宋体" w:hAnsi="宋体" w:cs="宋体"/>
                <w:kern w:val="0"/>
                <w:sz w:val="24"/>
                <w:szCs w:val="24"/>
              </w:rPr>
            </w:pPr>
          </w:p>
        </w:tc>
      </w:tr>
      <w:tr w14:paraId="0931AEB7">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nil"/>
              <w:right w:val="single" w:color="000000" w:sz="8" w:space="0"/>
            </w:tcBorders>
            <w:vAlign w:val="center"/>
          </w:tcPr>
          <w:p w14:paraId="4F985B1B">
            <w:pPr>
              <w:widowControl/>
              <w:jc w:val="left"/>
              <w:rPr>
                <w:rFonts w:ascii="宋体" w:hAnsi="宋体" w:cs="宋体"/>
                <w:b/>
                <w:bCs/>
                <w:kern w:val="0"/>
                <w:sz w:val="24"/>
                <w:szCs w:val="24"/>
              </w:rPr>
            </w:pPr>
            <w:r>
              <w:rPr>
                <w:rFonts w:hint="eastAsia" w:ascii="宋体" w:hAnsi="宋体" w:cs="宋体"/>
                <w:b/>
                <w:bCs/>
                <w:kern w:val="0"/>
                <w:sz w:val="24"/>
                <w:szCs w:val="24"/>
              </w:rPr>
              <w:t>十、候选供应商资质等要求</w:t>
            </w:r>
          </w:p>
        </w:tc>
      </w:tr>
      <w:tr w14:paraId="0FCFD4D1">
        <w:tblPrEx>
          <w:tblCellMar>
            <w:top w:w="0" w:type="dxa"/>
            <w:left w:w="108" w:type="dxa"/>
            <w:bottom w:w="0" w:type="dxa"/>
            <w:right w:w="108" w:type="dxa"/>
          </w:tblCellMar>
        </w:tblPrEx>
        <w:trPr>
          <w:trHeight w:val="312" w:hRule="atLeast"/>
        </w:trPr>
        <w:tc>
          <w:tcPr>
            <w:tcW w:w="0" w:type="auto"/>
            <w:gridSpan w:val="5"/>
            <w:vMerge w:val="restart"/>
            <w:tcBorders>
              <w:top w:val="single" w:color="auto" w:sz="4" w:space="0"/>
              <w:left w:val="single" w:color="auto" w:sz="4" w:space="0"/>
              <w:bottom w:val="single" w:color="000000" w:sz="4" w:space="0"/>
              <w:right w:val="single" w:color="000000" w:sz="4" w:space="0"/>
            </w:tcBorders>
            <w:vAlign w:val="center"/>
          </w:tcPr>
          <w:p w14:paraId="30AB54D6">
            <w:pPr>
              <w:widowControl/>
              <w:jc w:val="left"/>
              <w:rPr>
                <w:rFonts w:ascii="宋体" w:hAnsi="宋体" w:cs="宋体"/>
                <w:kern w:val="0"/>
                <w:sz w:val="24"/>
                <w:szCs w:val="24"/>
              </w:rPr>
            </w:pPr>
            <w:r>
              <w:rPr>
                <w:rFonts w:hint="eastAsia" w:ascii="宋体" w:hAnsi="宋体" w:cs="宋体"/>
                <w:kern w:val="0"/>
                <w:sz w:val="24"/>
                <w:szCs w:val="24"/>
              </w:rPr>
              <w:t>1.提供设备代理商证明或者本项目的原厂商授权证明；</w:t>
            </w:r>
          </w:p>
          <w:p w14:paraId="1A9ADA89">
            <w:pPr>
              <w:widowControl/>
              <w:jc w:val="left"/>
              <w:rPr>
                <w:rFonts w:ascii="宋体" w:hAnsi="宋体" w:cs="宋体"/>
                <w:kern w:val="0"/>
                <w:sz w:val="24"/>
                <w:szCs w:val="24"/>
              </w:rPr>
            </w:pPr>
            <w:r>
              <w:rPr>
                <w:rFonts w:hint="eastAsia" w:ascii="宋体" w:hAnsi="宋体" w:cs="宋体"/>
                <w:kern w:val="0"/>
                <w:sz w:val="24"/>
                <w:szCs w:val="24"/>
              </w:rPr>
              <w:t>2.具有大功率（200kVA以上）UPS更换改造服务经验。</w:t>
            </w:r>
          </w:p>
        </w:tc>
      </w:tr>
      <w:tr w14:paraId="44E9D8C0">
        <w:tblPrEx>
          <w:tblCellMar>
            <w:top w:w="0" w:type="dxa"/>
            <w:left w:w="108" w:type="dxa"/>
            <w:bottom w:w="0" w:type="dxa"/>
            <w:right w:w="108" w:type="dxa"/>
          </w:tblCellMar>
        </w:tblPrEx>
        <w:trPr>
          <w:trHeight w:val="312" w:hRule="atLeast"/>
        </w:trPr>
        <w:tc>
          <w:tcPr>
            <w:tcW w:w="0" w:type="auto"/>
            <w:gridSpan w:val="5"/>
            <w:vMerge w:val="continue"/>
            <w:tcBorders>
              <w:top w:val="single" w:color="auto" w:sz="4" w:space="0"/>
              <w:left w:val="single" w:color="auto" w:sz="4" w:space="0"/>
              <w:bottom w:val="single" w:color="000000" w:sz="4" w:space="0"/>
              <w:right w:val="single" w:color="000000" w:sz="4" w:space="0"/>
            </w:tcBorders>
            <w:vAlign w:val="center"/>
          </w:tcPr>
          <w:p w14:paraId="1214EFD5">
            <w:pPr>
              <w:widowControl/>
              <w:jc w:val="left"/>
              <w:rPr>
                <w:rFonts w:ascii="宋体" w:hAnsi="宋体" w:cs="宋体"/>
                <w:kern w:val="0"/>
                <w:sz w:val="24"/>
                <w:szCs w:val="24"/>
              </w:rPr>
            </w:pPr>
          </w:p>
        </w:tc>
      </w:tr>
      <w:tr w14:paraId="7933913B">
        <w:tblPrEx>
          <w:tblCellMar>
            <w:top w:w="0" w:type="dxa"/>
            <w:left w:w="108" w:type="dxa"/>
            <w:bottom w:w="0" w:type="dxa"/>
            <w:right w:w="108" w:type="dxa"/>
          </w:tblCellMar>
        </w:tblPrEx>
        <w:trPr>
          <w:trHeight w:val="324" w:hRule="atLeast"/>
        </w:trPr>
        <w:tc>
          <w:tcPr>
            <w:tcW w:w="0" w:type="auto"/>
            <w:gridSpan w:val="5"/>
            <w:vMerge w:val="continue"/>
            <w:tcBorders>
              <w:top w:val="single" w:color="auto" w:sz="4" w:space="0"/>
              <w:left w:val="single" w:color="auto" w:sz="4" w:space="0"/>
              <w:bottom w:val="single" w:color="000000" w:sz="4" w:space="0"/>
              <w:right w:val="single" w:color="000000" w:sz="4" w:space="0"/>
            </w:tcBorders>
            <w:vAlign w:val="center"/>
          </w:tcPr>
          <w:p w14:paraId="55961D28">
            <w:pPr>
              <w:widowControl/>
              <w:jc w:val="left"/>
              <w:rPr>
                <w:rFonts w:ascii="宋体" w:hAnsi="宋体" w:cs="宋体"/>
                <w:kern w:val="0"/>
                <w:sz w:val="24"/>
                <w:szCs w:val="24"/>
              </w:rPr>
            </w:pPr>
          </w:p>
        </w:tc>
      </w:tr>
      <w:tr w14:paraId="48E81C9F">
        <w:tblPrEx>
          <w:tblCellMar>
            <w:top w:w="0" w:type="dxa"/>
            <w:left w:w="108" w:type="dxa"/>
            <w:bottom w:w="0" w:type="dxa"/>
            <w:right w:w="108" w:type="dxa"/>
          </w:tblCellMar>
        </w:tblPrEx>
        <w:trPr>
          <w:trHeight w:val="312" w:hRule="atLeast"/>
        </w:trPr>
        <w:tc>
          <w:tcPr>
            <w:tcW w:w="0" w:type="auto"/>
            <w:gridSpan w:val="5"/>
            <w:tcBorders>
              <w:top w:val="single" w:color="auto" w:sz="8" w:space="0"/>
              <w:left w:val="single" w:color="auto" w:sz="8" w:space="0"/>
              <w:bottom w:val="single" w:color="auto" w:sz="4" w:space="0"/>
              <w:right w:val="single" w:color="000000" w:sz="8" w:space="0"/>
            </w:tcBorders>
            <w:noWrap/>
            <w:vAlign w:val="center"/>
          </w:tcPr>
          <w:p w14:paraId="6430FA47">
            <w:pPr>
              <w:widowControl/>
              <w:jc w:val="left"/>
              <w:rPr>
                <w:rFonts w:ascii="宋体" w:hAnsi="宋体" w:cs="宋体"/>
                <w:b/>
                <w:bCs/>
                <w:kern w:val="0"/>
                <w:sz w:val="24"/>
                <w:szCs w:val="24"/>
              </w:rPr>
            </w:pPr>
            <w:r>
              <w:rPr>
                <w:rFonts w:hint="eastAsia" w:ascii="宋体" w:hAnsi="宋体" w:cs="宋体"/>
                <w:b/>
                <w:bCs/>
                <w:kern w:val="0"/>
                <w:sz w:val="24"/>
                <w:szCs w:val="24"/>
              </w:rPr>
              <w:t>十一、其他要求</w:t>
            </w:r>
          </w:p>
        </w:tc>
      </w:tr>
      <w:tr w14:paraId="0F6DEA8B">
        <w:tblPrEx>
          <w:tblCellMar>
            <w:top w:w="0" w:type="dxa"/>
            <w:left w:w="108" w:type="dxa"/>
            <w:bottom w:w="0" w:type="dxa"/>
            <w:right w:w="108" w:type="dxa"/>
          </w:tblCellMar>
        </w:tblPrEx>
        <w:trPr>
          <w:trHeight w:val="516" w:hRule="atLeast"/>
        </w:trPr>
        <w:tc>
          <w:tcPr>
            <w:tcW w:w="0" w:type="auto"/>
            <w:gridSpan w:val="5"/>
            <w:vMerge w:val="restart"/>
            <w:tcBorders>
              <w:top w:val="single" w:color="auto" w:sz="4" w:space="0"/>
              <w:left w:val="single" w:color="auto" w:sz="4" w:space="0"/>
              <w:bottom w:val="single" w:color="auto" w:sz="4" w:space="0"/>
              <w:right w:val="single" w:color="auto" w:sz="4" w:space="0"/>
            </w:tcBorders>
            <w:noWrap/>
            <w:vAlign w:val="center"/>
          </w:tcPr>
          <w:p w14:paraId="0F194C4C">
            <w:pPr>
              <w:widowControl/>
              <w:rPr>
                <w:rFonts w:ascii="宋体" w:hAnsi="宋体" w:cs="宋体"/>
                <w:kern w:val="0"/>
                <w:sz w:val="24"/>
                <w:szCs w:val="24"/>
              </w:rPr>
            </w:pPr>
            <w:r>
              <w:rPr>
                <w:rFonts w:hint="eastAsia" w:ascii="宋体" w:hAnsi="宋体" w:cs="宋体"/>
                <w:kern w:val="0"/>
                <w:sz w:val="24"/>
                <w:szCs w:val="24"/>
              </w:rPr>
              <w:t>产品不应为建行产品目录内限制使用品牌。</w:t>
            </w:r>
          </w:p>
        </w:tc>
      </w:tr>
      <w:tr w14:paraId="65571FA7">
        <w:tblPrEx>
          <w:tblCellMar>
            <w:top w:w="0" w:type="dxa"/>
            <w:left w:w="108" w:type="dxa"/>
            <w:bottom w:w="0" w:type="dxa"/>
            <w:right w:w="108" w:type="dxa"/>
          </w:tblCellMar>
        </w:tblPrEx>
        <w:trPr>
          <w:trHeight w:val="588" w:hRule="atLeast"/>
        </w:trPr>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14:paraId="3076B8CC">
            <w:pPr>
              <w:widowControl/>
              <w:jc w:val="left"/>
              <w:rPr>
                <w:rFonts w:ascii="宋体" w:hAnsi="宋体" w:cs="宋体"/>
                <w:kern w:val="0"/>
                <w:sz w:val="24"/>
                <w:szCs w:val="24"/>
              </w:rPr>
            </w:pPr>
          </w:p>
        </w:tc>
      </w:tr>
      <w:tr w14:paraId="3DF99D72">
        <w:tblPrEx>
          <w:tblCellMar>
            <w:top w:w="0" w:type="dxa"/>
            <w:left w:w="108" w:type="dxa"/>
            <w:bottom w:w="0" w:type="dxa"/>
            <w:right w:w="108" w:type="dxa"/>
          </w:tblCellMar>
        </w:tblPrEx>
        <w:trPr>
          <w:trHeight w:val="450" w:hRule="atLeast"/>
        </w:trPr>
        <w:tc>
          <w:tcPr>
            <w:tcW w:w="0" w:type="auto"/>
            <w:gridSpan w:val="2"/>
            <w:tcBorders>
              <w:top w:val="nil"/>
              <w:left w:val="single" w:color="auto" w:sz="8" w:space="0"/>
              <w:bottom w:val="single" w:color="auto" w:sz="4" w:space="0"/>
              <w:right w:val="single" w:color="000000" w:sz="4" w:space="0"/>
            </w:tcBorders>
            <w:vAlign w:val="center"/>
          </w:tcPr>
          <w:p w14:paraId="0671118B">
            <w:pPr>
              <w:widowControl/>
              <w:jc w:val="left"/>
              <w:rPr>
                <w:rFonts w:ascii="宋体" w:hAnsi="宋体" w:cs="宋体"/>
                <w:kern w:val="0"/>
                <w:sz w:val="24"/>
                <w:szCs w:val="24"/>
              </w:rPr>
            </w:pPr>
            <w:r>
              <w:rPr>
                <w:rFonts w:hint="eastAsia" w:ascii="宋体" w:hAnsi="宋体" w:cs="宋体"/>
                <w:kern w:val="0"/>
                <w:sz w:val="24"/>
                <w:szCs w:val="24"/>
              </w:rPr>
              <w:t>归口管理部门：金融科技中心（数字化建设办公室）</w:t>
            </w:r>
          </w:p>
        </w:tc>
        <w:tc>
          <w:tcPr>
            <w:tcW w:w="0" w:type="auto"/>
            <w:gridSpan w:val="3"/>
            <w:tcBorders>
              <w:top w:val="nil"/>
              <w:left w:val="nil"/>
              <w:bottom w:val="single" w:color="auto" w:sz="4" w:space="0"/>
              <w:right w:val="single" w:color="000000" w:sz="8" w:space="0"/>
            </w:tcBorders>
            <w:vAlign w:val="center"/>
          </w:tcPr>
          <w:p w14:paraId="373AD0CF">
            <w:pPr>
              <w:widowControl/>
              <w:jc w:val="left"/>
              <w:rPr>
                <w:rFonts w:ascii="宋体" w:hAnsi="宋体" w:cs="宋体"/>
                <w:kern w:val="0"/>
                <w:sz w:val="24"/>
                <w:szCs w:val="24"/>
              </w:rPr>
            </w:pPr>
            <w:r>
              <w:rPr>
                <w:rFonts w:hint="eastAsia" w:ascii="宋体" w:hAnsi="宋体" w:cs="宋体"/>
                <w:kern w:val="0"/>
                <w:sz w:val="24"/>
                <w:szCs w:val="24"/>
              </w:rPr>
              <w:t>需求单位：金融科技中心（数字化建设办公室）</w:t>
            </w:r>
          </w:p>
        </w:tc>
      </w:tr>
      <w:tr w14:paraId="2241D5E3">
        <w:tblPrEx>
          <w:tblCellMar>
            <w:top w:w="0" w:type="dxa"/>
            <w:left w:w="108" w:type="dxa"/>
            <w:bottom w:w="0" w:type="dxa"/>
            <w:right w:w="108" w:type="dxa"/>
          </w:tblCellMar>
        </w:tblPrEx>
        <w:trPr>
          <w:trHeight w:val="312" w:hRule="atLeast"/>
        </w:trPr>
        <w:tc>
          <w:tcPr>
            <w:tcW w:w="0" w:type="auto"/>
            <w:tcBorders>
              <w:top w:val="single" w:color="auto" w:sz="8" w:space="0"/>
              <w:left w:val="nil"/>
              <w:bottom w:val="nil"/>
              <w:right w:val="nil"/>
            </w:tcBorders>
            <w:vAlign w:val="center"/>
          </w:tcPr>
          <w:p w14:paraId="645F427D">
            <w:pPr>
              <w:widowControl/>
              <w:jc w:val="left"/>
              <w:rPr>
                <w:rFonts w:ascii="宋体" w:hAnsi="宋体" w:cs="宋体"/>
                <w:kern w:val="0"/>
                <w:sz w:val="24"/>
                <w:szCs w:val="24"/>
              </w:rPr>
            </w:pPr>
            <w:r>
              <w:rPr>
                <w:rFonts w:hint="eastAsia" w:ascii="宋体" w:hAnsi="宋体" w:cs="宋体"/>
                <w:kern w:val="0"/>
                <w:sz w:val="24"/>
                <w:szCs w:val="24"/>
              </w:rPr>
              <w:t xml:space="preserve">联系人：吕东方          </w:t>
            </w:r>
          </w:p>
        </w:tc>
        <w:tc>
          <w:tcPr>
            <w:tcW w:w="0" w:type="auto"/>
            <w:tcBorders>
              <w:top w:val="single" w:color="auto" w:sz="8" w:space="0"/>
              <w:left w:val="nil"/>
              <w:bottom w:val="nil"/>
              <w:right w:val="nil"/>
            </w:tcBorders>
            <w:vAlign w:val="center"/>
          </w:tcPr>
          <w:p w14:paraId="363699CA">
            <w:pPr>
              <w:widowControl/>
              <w:jc w:val="left"/>
              <w:rPr>
                <w:rFonts w:ascii="宋体" w:hAnsi="宋体" w:cs="宋体"/>
                <w:kern w:val="0"/>
                <w:sz w:val="24"/>
                <w:szCs w:val="24"/>
              </w:rPr>
            </w:pPr>
            <w:r>
              <w:rPr>
                <w:rFonts w:hint="eastAsia" w:ascii="宋体" w:hAnsi="宋体" w:cs="宋体"/>
                <w:kern w:val="0"/>
                <w:sz w:val="24"/>
                <w:szCs w:val="24"/>
              </w:rPr>
              <w:t xml:space="preserve"> 联系电话：83862221</w:t>
            </w:r>
          </w:p>
        </w:tc>
        <w:tc>
          <w:tcPr>
            <w:tcW w:w="0" w:type="auto"/>
            <w:tcBorders>
              <w:top w:val="single" w:color="auto" w:sz="8" w:space="0"/>
              <w:left w:val="nil"/>
              <w:bottom w:val="nil"/>
              <w:right w:val="nil"/>
            </w:tcBorders>
            <w:vAlign w:val="center"/>
          </w:tcPr>
          <w:p w14:paraId="09A7D76D">
            <w:pPr>
              <w:widowControl/>
              <w:jc w:val="left"/>
              <w:rPr>
                <w:rFonts w:ascii="宋体" w:hAnsi="宋体" w:cs="宋体"/>
                <w:kern w:val="0"/>
                <w:sz w:val="24"/>
                <w:szCs w:val="24"/>
              </w:rPr>
            </w:pPr>
            <w:r>
              <w:rPr>
                <w:rFonts w:hint="eastAsia" w:ascii="宋体" w:hAnsi="宋体" w:cs="宋体"/>
                <w:kern w:val="0"/>
                <w:sz w:val="24"/>
                <w:szCs w:val="24"/>
              </w:rPr>
              <w:t>　</w:t>
            </w:r>
          </w:p>
        </w:tc>
        <w:tc>
          <w:tcPr>
            <w:tcW w:w="0" w:type="auto"/>
            <w:tcBorders>
              <w:top w:val="single" w:color="auto" w:sz="8" w:space="0"/>
              <w:left w:val="nil"/>
              <w:bottom w:val="nil"/>
              <w:right w:val="nil"/>
            </w:tcBorders>
            <w:vAlign w:val="center"/>
          </w:tcPr>
          <w:p w14:paraId="1DD2F4D8">
            <w:pPr>
              <w:widowControl/>
              <w:jc w:val="left"/>
              <w:rPr>
                <w:rFonts w:ascii="宋体" w:hAnsi="宋体" w:cs="宋体"/>
                <w:kern w:val="0"/>
                <w:sz w:val="24"/>
                <w:szCs w:val="24"/>
              </w:rPr>
            </w:pPr>
            <w:r>
              <w:rPr>
                <w:rFonts w:hint="eastAsia" w:ascii="宋体" w:hAnsi="宋体" w:cs="宋体"/>
                <w:kern w:val="0"/>
                <w:sz w:val="24"/>
                <w:szCs w:val="24"/>
              </w:rPr>
              <w:t>日期：2025-9-19</w:t>
            </w:r>
          </w:p>
        </w:tc>
        <w:tc>
          <w:tcPr>
            <w:tcW w:w="0" w:type="auto"/>
            <w:tcBorders>
              <w:top w:val="single" w:color="auto" w:sz="8" w:space="0"/>
              <w:left w:val="nil"/>
              <w:bottom w:val="nil"/>
              <w:right w:val="nil"/>
            </w:tcBorders>
            <w:vAlign w:val="center"/>
          </w:tcPr>
          <w:p w14:paraId="33B6D652">
            <w:pPr>
              <w:widowControl/>
              <w:jc w:val="left"/>
              <w:rPr>
                <w:rFonts w:ascii="宋体" w:hAnsi="宋体" w:cs="宋体"/>
                <w:kern w:val="0"/>
                <w:sz w:val="24"/>
                <w:szCs w:val="24"/>
              </w:rPr>
            </w:pPr>
            <w:r>
              <w:rPr>
                <w:rFonts w:hint="eastAsia" w:ascii="宋体" w:hAnsi="宋体" w:cs="宋体"/>
                <w:kern w:val="0"/>
                <w:sz w:val="24"/>
                <w:szCs w:val="24"/>
              </w:rPr>
              <w:t>　</w:t>
            </w:r>
          </w:p>
        </w:tc>
      </w:tr>
      <w:tr w14:paraId="6928ECF8">
        <w:tblPrEx>
          <w:tblCellMar>
            <w:top w:w="0" w:type="dxa"/>
            <w:left w:w="108" w:type="dxa"/>
            <w:bottom w:w="0" w:type="dxa"/>
            <w:right w:w="108" w:type="dxa"/>
          </w:tblCellMar>
        </w:tblPrEx>
        <w:trPr>
          <w:trHeight w:val="768" w:hRule="atLeast"/>
        </w:trPr>
        <w:tc>
          <w:tcPr>
            <w:tcW w:w="0" w:type="auto"/>
            <w:gridSpan w:val="5"/>
            <w:vAlign w:val="center"/>
          </w:tcPr>
          <w:p w14:paraId="60732157">
            <w:pPr>
              <w:widowControl/>
              <w:jc w:val="left"/>
              <w:rPr>
                <w:rFonts w:ascii="宋体" w:hAnsi="宋体" w:cs="宋体"/>
                <w:kern w:val="0"/>
                <w:sz w:val="24"/>
                <w:szCs w:val="24"/>
              </w:rPr>
            </w:pPr>
            <w:r>
              <w:rPr>
                <w:rFonts w:hint="eastAsia" w:ascii="宋体" w:hAnsi="宋体" w:cs="宋体"/>
                <w:kern w:val="0"/>
                <w:sz w:val="24"/>
                <w:szCs w:val="24"/>
              </w:rPr>
              <w:t>备注：1.</w:t>
            </w:r>
            <w:r>
              <w:rPr>
                <w:rFonts w:hint="eastAsia" w:ascii="宋体" w:hAnsi="宋体" w:cs="宋体"/>
                <w:color w:val="FF0000"/>
                <w:kern w:val="0"/>
                <w:sz w:val="24"/>
                <w:szCs w:val="24"/>
              </w:rPr>
              <w:t>本表内容直接发供应商征询</w:t>
            </w:r>
            <w:r>
              <w:rPr>
                <w:rFonts w:hint="eastAsia" w:ascii="宋体" w:hAnsi="宋体" w:cs="宋体"/>
                <w:kern w:val="0"/>
                <w:sz w:val="24"/>
                <w:szCs w:val="24"/>
              </w:rPr>
              <w:t>，为固定模板，请勿自行增加、删除表格式样。如采购项目未涉及相关内容，请在相关栏目中填写“无”。</w:t>
            </w:r>
          </w:p>
        </w:tc>
      </w:tr>
      <w:tr w14:paraId="37896088">
        <w:tblPrEx>
          <w:tblCellMar>
            <w:top w:w="0" w:type="dxa"/>
            <w:left w:w="108" w:type="dxa"/>
            <w:bottom w:w="0" w:type="dxa"/>
            <w:right w:w="108" w:type="dxa"/>
          </w:tblCellMar>
        </w:tblPrEx>
        <w:trPr>
          <w:trHeight w:val="312" w:hRule="atLeast"/>
        </w:trPr>
        <w:tc>
          <w:tcPr>
            <w:tcW w:w="0" w:type="auto"/>
            <w:gridSpan w:val="5"/>
            <w:vAlign w:val="center"/>
          </w:tcPr>
          <w:p w14:paraId="6EC69C74">
            <w:pPr>
              <w:widowControl/>
              <w:jc w:val="left"/>
              <w:rPr>
                <w:rFonts w:ascii="宋体" w:hAnsi="宋体" w:cs="宋体"/>
                <w:kern w:val="0"/>
                <w:sz w:val="24"/>
                <w:szCs w:val="24"/>
              </w:rPr>
            </w:pPr>
            <w:r>
              <w:rPr>
                <w:rFonts w:hint="eastAsia" w:ascii="宋体" w:hAnsi="宋体" w:cs="宋体"/>
                <w:kern w:val="0"/>
                <w:sz w:val="24"/>
                <w:szCs w:val="24"/>
              </w:rPr>
              <w:t xml:space="preserve">      2.在选择采购种类、相关建议时，请用“■”或“√”替代“□”。</w:t>
            </w:r>
          </w:p>
        </w:tc>
      </w:tr>
    </w:tbl>
    <w:p w14:paraId="3A03EFDE"/>
    <w:p w14:paraId="71BF39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EC"/>
    <w:rsid w:val="00113478"/>
    <w:rsid w:val="006405EC"/>
    <w:rsid w:val="00817FAA"/>
    <w:rsid w:val="00EB5E9E"/>
    <w:rsid w:val="13256F75"/>
    <w:rsid w:val="34BB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2611</Words>
  <Characters>2743</Characters>
  <Lines>20</Lines>
  <Paragraphs>5</Paragraphs>
  <TotalTime>2</TotalTime>
  <ScaleCrop>false</ScaleCrop>
  <LinksUpToDate>false</LinksUpToDate>
  <CharactersWithSpaces>2771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2025-09-26T07:03:00Z</dcterms:created>
  <dc:creator>吕东方</dc:creator>
  <cp:lastModifiedBy>Yung.</cp:lastModifiedBy>
  <dcterms:modified xsi:type="dcterms:W3CDTF">2025-09-29T03:04:22Z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8B6D8231854B436B9E16C5A3117755D9</vt:lpwstr>
  </property>
  <property fmtid="{D5CDD505-2E9C-101B-9397-08002B2CF9AE}" pid="4" name="KSOTemplateDocerSaveRecord">
    <vt:lpwstr>eyJoZGlkIjoiYjFjM2I3YzUyOGQyZTEwMWNjMzE2NmMxOTVmNTM2ZjMiLCJ1c2VySWQiOiIyNDU4MDIzMDMifQ==</vt:lpwstr>
  </property>
</Properties>
</file>