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ACAAE4F">
      <w:pPr>
        <w:spacing w:line="360" w:lineRule="auto"/>
        <w:jc w:val="center"/>
        <w:rPr>
          <w:rFonts w:ascii="仿宋" w:hAnsi="仿宋" w:eastAsia="仿宋" w:cs="仿宋"/>
          <w:spacing w:val="40"/>
        </w:rPr>
      </w:pPr>
    </w:p>
    <w:p w14:paraId="230EAEFE">
      <w:pPr>
        <w:spacing w:line="360" w:lineRule="auto"/>
        <w:jc w:val="center"/>
        <w:rPr>
          <w:rFonts w:ascii="仿宋" w:hAnsi="仿宋" w:eastAsia="仿宋" w:cs="仿宋"/>
          <w:b/>
          <w:u w:val="single"/>
        </w:rPr>
      </w:pPr>
    </w:p>
    <w:p w14:paraId="408BD256">
      <w:pPr>
        <w:spacing w:line="360" w:lineRule="auto"/>
        <w:jc w:val="center"/>
        <w:rPr>
          <w:rFonts w:ascii="仿宋" w:hAnsi="仿宋" w:eastAsia="仿宋" w:cs="仿宋"/>
          <w:b/>
          <w:u w:val="single"/>
        </w:rPr>
      </w:pPr>
    </w:p>
    <w:p w14:paraId="4A237FB4">
      <w:pPr>
        <w:spacing w:line="360" w:lineRule="auto"/>
        <w:jc w:val="center"/>
        <w:rPr>
          <w:rFonts w:ascii="仿宋" w:hAnsi="仿宋" w:eastAsia="仿宋" w:cs="仿宋"/>
          <w:b/>
          <w:u w:val="single"/>
        </w:rPr>
      </w:pPr>
    </w:p>
    <w:p w14:paraId="31DA1424">
      <w:pPr>
        <w:spacing w:line="360" w:lineRule="auto"/>
        <w:jc w:val="center"/>
        <w:rPr>
          <w:rFonts w:ascii="仿宋" w:hAnsi="仿宋" w:eastAsia="仿宋" w:cs="仿宋"/>
          <w:b/>
          <w:u w:val="single"/>
        </w:rPr>
      </w:pPr>
    </w:p>
    <w:p w14:paraId="2128F9BF">
      <w:pPr>
        <w:spacing w:line="360" w:lineRule="auto"/>
        <w:jc w:val="center"/>
        <w:rPr>
          <w:rFonts w:ascii="仿宋" w:hAnsi="仿宋" w:eastAsia="仿宋" w:cs="仿宋"/>
          <w:b/>
          <w:sz w:val="32"/>
          <w:szCs w:val="32"/>
        </w:rPr>
      </w:pPr>
      <w:r>
        <w:rPr>
          <w:rFonts w:hint="eastAsia" w:ascii="仿宋" w:hAnsi="仿宋" w:eastAsia="仿宋" w:cs="仿宋"/>
          <w:b/>
          <w:sz w:val="32"/>
          <w:szCs w:val="32"/>
        </w:rPr>
        <w:t>人保财险广东广州市分公司驻人保大厦全体员工洗衣服务采购项目</w:t>
      </w:r>
    </w:p>
    <w:p w14:paraId="0B783F0D">
      <w:pPr>
        <w:spacing w:line="360" w:lineRule="auto"/>
        <w:jc w:val="center"/>
        <w:rPr>
          <w:rFonts w:ascii="仿宋" w:hAnsi="仿宋" w:eastAsia="仿宋" w:cs="仿宋"/>
          <w:b/>
          <w:sz w:val="32"/>
          <w:szCs w:val="32"/>
          <w:u w:val="single"/>
        </w:rPr>
      </w:pPr>
      <w:r>
        <w:rPr>
          <w:rFonts w:hint="eastAsia" w:ascii="仿宋" w:hAnsi="仿宋" w:eastAsia="仿宋" w:cs="仿宋"/>
          <w:b/>
          <w:sz w:val="32"/>
          <w:szCs w:val="32"/>
        </w:rPr>
        <w:t>招标代理项目编号：ZJZB-2025-14642</w:t>
      </w:r>
    </w:p>
    <w:p w14:paraId="31BAC356">
      <w:pPr>
        <w:spacing w:line="360" w:lineRule="auto"/>
        <w:jc w:val="center"/>
        <w:rPr>
          <w:rFonts w:ascii="仿宋" w:hAnsi="仿宋" w:eastAsia="仿宋" w:cs="仿宋"/>
          <w:b/>
          <w:sz w:val="28"/>
          <w:szCs w:val="28"/>
          <w:u w:val="single"/>
        </w:rPr>
      </w:pPr>
    </w:p>
    <w:p w14:paraId="685198E6">
      <w:pPr>
        <w:spacing w:line="360" w:lineRule="auto"/>
        <w:jc w:val="center"/>
        <w:rPr>
          <w:rFonts w:ascii="仿宋" w:hAnsi="仿宋" w:eastAsia="仿宋" w:cs="仿宋"/>
          <w:b/>
          <w:sz w:val="28"/>
          <w:szCs w:val="28"/>
          <w:u w:val="single"/>
        </w:rPr>
      </w:pPr>
    </w:p>
    <w:p w14:paraId="22A88D95">
      <w:pPr>
        <w:pStyle w:val="14"/>
        <w:spacing w:line="360" w:lineRule="auto"/>
        <w:rPr>
          <w:rFonts w:ascii="仿宋" w:hAnsi="仿宋" w:eastAsia="仿宋" w:cs="仿宋"/>
        </w:rPr>
      </w:pPr>
    </w:p>
    <w:p w14:paraId="11C69DDB">
      <w:pPr>
        <w:spacing w:line="360" w:lineRule="auto"/>
        <w:jc w:val="center"/>
        <w:rPr>
          <w:rFonts w:ascii="仿宋" w:hAnsi="仿宋" w:eastAsia="仿宋" w:cs="仿宋"/>
          <w:b/>
          <w:spacing w:val="40"/>
          <w:sz w:val="72"/>
          <w:szCs w:val="72"/>
        </w:rPr>
      </w:pPr>
    </w:p>
    <w:p w14:paraId="5AF3CB1B">
      <w:pPr>
        <w:spacing w:line="360" w:lineRule="auto"/>
        <w:jc w:val="center"/>
        <w:rPr>
          <w:rFonts w:ascii="仿宋" w:hAnsi="仿宋" w:eastAsia="仿宋" w:cs="仿宋"/>
          <w:b/>
          <w:spacing w:val="40"/>
          <w:sz w:val="72"/>
          <w:szCs w:val="72"/>
        </w:rPr>
      </w:pPr>
      <w:r>
        <w:rPr>
          <w:rFonts w:hint="eastAsia" w:ascii="仿宋" w:hAnsi="仿宋" w:eastAsia="仿宋" w:cs="仿宋"/>
          <w:b/>
          <w:spacing w:val="40"/>
          <w:sz w:val="72"/>
          <w:szCs w:val="72"/>
        </w:rPr>
        <w:t>招标文件</w:t>
      </w:r>
    </w:p>
    <w:p w14:paraId="38441B99">
      <w:pPr>
        <w:spacing w:after="120" w:line="360" w:lineRule="auto"/>
        <w:jc w:val="center"/>
        <w:rPr>
          <w:rFonts w:ascii="仿宋" w:hAnsi="仿宋" w:eastAsia="仿宋" w:cs="仿宋"/>
          <w:b/>
          <w:sz w:val="28"/>
          <w:szCs w:val="28"/>
        </w:rPr>
      </w:pPr>
    </w:p>
    <w:p w14:paraId="30BFAD14">
      <w:pPr>
        <w:spacing w:after="120" w:line="360" w:lineRule="auto"/>
        <w:jc w:val="center"/>
        <w:rPr>
          <w:rFonts w:ascii="仿宋" w:hAnsi="仿宋" w:eastAsia="仿宋" w:cs="仿宋"/>
          <w:b/>
          <w:sz w:val="28"/>
          <w:szCs w:val="28"/>
        </w:rPr>
      </w:pPr>
    </w:p>
    <w:p w14:paraId="51C90697">
      <w:pPr>
        <w:spacing w:after="120" w:line="360" w:lineRule="auto"/>
        <w:jc w:val="center"/>
        <w:rPr>
          <w:rFonts w:ascii="仿宋" w:hAnsi="仿宋" w:eastAsia="仿宋" w:cs="仿宋"/>
          <w:b/>
          <w:sz w:val="28"/>
          <w:szCs w:val="28"/>
        </w:rPr>
      </w:pPr>
    </w:p>
    <w:p w14:paraId="4405A3C8">
      <w:pPr>
        <w:spacing w:after="120" w:line="360" w:lineRule="auto"/>
        <w:jc w:val="center"/>
        <w:rPr>
          <w:rFonts w:ascii="仿宋" w:hAnsi="仿宋" w:eastAsia="仿宋" w:cs="仿宋"/>
          <w:b/>
          <w:sz w:val="28"/>
          <w:szCs w:val="28"/>
        </w:rPr>
      </w:pPr>
    </w:p>
    <w:p w14:paraId="47D0CB70">
      <w:pPr>
        <w:spacing w:after="120" w:line="360" w:lineRule="auto"/>
        <w:jc w:val="center"/>
        <w:rPr>
          <w:rFonts w:ascii="仿宋" w:hAnsi="仿宋" w:eastAsia="仿宋" w:cs="仿宋"/>
          <w:b/>
          <w:sz w:val="28"/>
          <w:szCs w:val="28"/>
        </w:rPr>
      </w:pPr>
    </w:p>
    <w:p w14:paraId="5D9763C6">
      <w:pPr>
        <w:spacing w:after="120" w:line="360" w:lineRule="auto"/>
        <w:jc w:val="center"/>
        <w:rPr>
          <w:rFonts w:ascii="仿宋" w:hAnsi="仿宋" w:eastAsia="仿宋" w:cs="仿宋"/>
          <w:b/>
          <w:sz w:val="28"/>
          <w:szCs w:val="28"/>
        </w:rPr>
      </w:pPr>
      <w:r>
        <w:rPr>
          <w:rFonts w:hint="eastAsia" w:ascii="仿宋" w:hAnsi="仿宋" w:eastAsia="仿宋" w:cs="仿宋"/>
          <w:b/>
          <w:sz w:val="28"/>
          <w:szCs w:val="28"/>
        </w:rPr>
        <w:t>招标人：中国人民财产保险股份有限公司广州市分公司</w:t>
      </w:r>
    </w:p>
    <w:p w14:paraId="6FACE0C2">
      <w:pPr>
        <w:spacing w:after="120" w:line="360" w:lineRule="auto"/>
        <w:jc w:val="center"/>
        <w:rPr>
          <w:rFonts w:ascii="仿宋" w:hAnsi="仿宋" w:eastAsia="仿宋" w:cs="仿宋"/>
          <w:b/>
          <w:sz w:val="28"/>
          <w:szCs w:val="28"/>
        </w:rPr>
      </w:pPr>
      <w:r>
        <w:rPr>
          <w:rFonts w:hint="eastAsia" w:ascii="仿宋" w:hAnsi="仿宋" w:eastAsia="仿宋" w:cs="仿宋"/>
          <w:b/>
          <w:sz w:val="28"/>
          <w:szCs w:val="28"/>
        </w:rPr>
        <w:t>招标代理机构：中捷通信有限公司</w:t>
      </w:r>
    </w:p>
    <w:p w14:paraId="0D68260A">
      <w:pPr>
        <w:spacing w:after="120" w:line="360" w:lineRule="auto"/>
        <w:jc w:val="center"/>
        <w:rPr>
          <w:rFonts w:ascii="仿宋" w:hAnsi="仿宋" w:eastAsia="仿宋" w:cs="仿宋"/>
          <w:b/>
          <w:sz w:val="28"/>
          <w:szCs w:val="28"/>
        </w:rPr>
        <w:sectPr>
          <w:headerReference r:id="rId6" w:type="first"/>
          <w:footerReference r:id="rId8" w:type="first"/>
          <w:headerReference r:id="rId5" w:type="default"/>
          <w:footerReference r:id="rId7" w:type="default"/>
          <w:pgSz w:w="11906" w:h="16838"/>
          <w:pgMar w:top="1417" w:right="1134" w:bottom="1134" w:left="1134" w:header="851" w:footer="992" w:gutter="0"/>
          <w:cols w:space="720" w:num="1"/>
          <w:titlePg/>
          <w:docGrid w:type="lines" w:linePitch="312" w:charSpace="0"/>
        </w:sectPr>
      </w:pPr>
      <w:r>
        <w:rPr>
          <w:rFonts w:hint="eastAsia" w:ascii="仿宋" w:hAnsi="仿宋" w:eastAsia="仿宋" w:cs="仿宋"/>
          <w:b/>
          <w:sz w:val="28"/>
          <w:szCs w:val="28"/>
        </w:rPr>
        <w:t>日期： 2025年</w:t>
      </w:r>
      <w:r>
        <w:rPr>
          <w:rFonts w:hint="eastAsia" w:ascii="仿宋" w:hAnsi="仿宋" w:eastAsia="仿宋" w:cs="仿宋"/>
          <w:b/>
          <w:sz w:val="28"/>
          <w:szCs w:val="28"/>
          <w:lang w:val="en-US" w:eastAsia="zh-CN"/>
        </w:rPr>
        <w:t>07</w:t>
      </w:r>
      <w:r>
        <w:rPr>
          <w:rFonts w:hint="eastAsia" w:ascii="仿宋" w:hAnsi="仿宋" w:eastAsia="仿宋" w:cs="仿宋"/>
          <w:b/>
          <w:sz w:val="28"/>
          <w:szCs w:val="28"/>
        </w:rPr>
        <w:t>月</w:t>
      </w:r>
    </w:p>
    <w:p w14:paraId="50D05EDF">
      <w:pPr>
        <w:spacing w:line="360" w:lineRule="auto"/>
        <w:jc w:val="center"/>
        <w:rPr>
          <w:rFonts w:ascii="仿宋" w:hAnsi="仿宋" w:eastAsia="仿宋" w:cs="仿宋"/>
          <w:b/>
          <w:sz w:val="32"/>
          <w:szCs w:val="32"/>
        </w:rPr>
      </w:pPr>
      <w:r>
        <w:rPr>
          <w:rFonts w:hint="eastAsia" w:ascii="仿宋" w:hAnsi="仿宋" w:eastAsia="仿宋" w:cs="仿宋"/>
          <w:b/>
          <w:sz w:val="32"/>
          <w:szCs w:val="32"/>
        </w:rPr>
        <w:t>目  录</w:t>
      </w:r>
    </w:p>
    <w:p w14:paraId="1602387C">
      <w:pPr>
        <w:pStyle w:val="24"/>
        <w:tabs>
          <w:tab w:val="right" w:leader="dot" w:pos="9638"/>
        </w:tabs>
        <w:spacing w:line="240" w:lineRule="auto"/>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"1-3" \h  \u </w:instrText>
      </w:r>
      <w:r>
        <w:rPr>
          <w:rFonts w:hint="eastAsia" w:ascii="仿宋" w:hAnsi="仿宋" w:eastAsia="仿宋" w:cs="仿宋"/>
          <w:sz w:val="24"/>
          <w:szCs w:val="24"/>
        </w:rPr>
        <w:fldChar w:fldCharType="separate"/>
      </w:r>
      <w:r>
        <w:fldChar w:fldCharType="begin"/>
      </w:r>
      <w:r>
        <w:instrText xml:space="preserve"> HYPERLINK \l "_Toc11854" </w:instrText>
      </w:r>
      <w:r>
        <w:fldChar w:fldCharType="separate"/>
      </w:r>
      <w:r>
        <w:rPr>
          <w:rFonts w:hint="eastAsia" w:ascii="仿宋" w:hAnsi="仿宋" w:eastAsia="仿宋" w:cs="仿宋"/>
          <w:sz w:val="24"/>
          <w:szCs w:val="24"/>
        </w:rPr>
        <w:t>第一章 招标公告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_Toc11854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3FB129F">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"_Toc19565" </w:instrText>
      </w:r>
      <w:r>
        <w:fldChar w:fldCharType="separate"/>
      </w:r>
      <w:r>
        <w:rPr>
          <w:rFonts w:hint="eastAsia" w:ascii="仿宋" w:hAnsi="仿宋" w:eastAsia="仿宋" w:cs="仿宋"/>
          <w:sz w:val="24"/>
          <w:szCs w:val="24"/>
        </w:rPr>
        <w:t>一、招标条件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_Toc19565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C8E347C">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"_Toc1608" </w:instrText>
      </w:r>
      <w:r>
        <w:fldChar w:fldCharType="separate"/>
      </w:r>
      <w:r>
        <w:rPr>
          <w:rFonts w:hint="eastAsia" w:ascii="仿宋" w:hAnsi="仿宋" w:eastAsia="仿宋" w:cs="仿宋"/>
          <w:sz w:val="24"/>
          <w:szCs w:val="24"/>
        </w:rPr>
        <w:t>二、项目概况与招标范围</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_Toc1608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E5A34AB">
      <w:pPr>
        <w:pStyle w:val="29"/>
        <w:tabs>
          <w:tab w:val="right" w:leader="dot" w:pos="9638"/>
        </w:tabs>
        <w:spacing w:line="240" w:lineRule="auto"/>
        <w:rPr>
          <w:rFonts w:ascii="仿宋" w:hAnsi="仿宋" w:eastAsia="仿宋" w:cs="仿宋"/>
          <w:sz w:val="24"/>
          <w:szCs w:val="24"/>
        </w:rPr>
      </w:pPr>
      <w:r>
        <w:fldChar w:fldCharType="begin"/>
      </w:r>
      <w:r>
        <w:instrText xml:space="preserve"> HYPERLINK \l "_Toc31746" </w:instrText>
      </w:r>
      <w:r>
        <w:fldChar w:fldCharType="separate"/>
      </w:r>
      <w:r>
        <w:rPr>
          <w:rFonts w:hint="eastAsia" w:ascii="仿宋" w:hAnsi="仿宋" w:eastAsia="仿宋" w:cs="仿宋"/>
          <w:sz w:val="24"/>
          <w:szCs w:val="24"/>
        </w:rPr>
        <w:t>三、投标人资格要求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_Toc31746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24E5434">
      <w:pPr>
        <w:pStyle w:val="29"/>
        <w:tabs>
          <w:tab w:val="right" w:leader="dot" w:pos="9638"/>
        </w:tabs>
        <w:spacing w:line="240" w:lineRule="auto"/>
        <w:rPr>
          <w:rFonts w:ascii="仿宋" w:hAnsi="仿宋" w:eastAsia="仿宋" w:cs="仿宋"/>
          <w:sz w:val="24"/>
          <w:szCs w:val="24"/>
        </w:rPr>
      </w:pPr>
      <w:r>
        <w:fldChar w:fldCharType="begin"/>
      </w:r>
      <w:r>
        <w:instrText xml:space="preserve"> HYPERLINK \l "_Toc20773" </w:instrText>
      </w:r>
      <w:r>
        <w:fldChar w:fldCharType="separate"/>
      </w:r>
      <w:r>
        <w:rPr>
          <w:rFonts w:hint="eastAsia" w:ascii="仿宋" w:hAnsi="仿宋" w:eastAsia="仿宋" w:cs="仿宋"/>
          <w:sz w:val="24"/>
          <w:szCs w:val="24"/>
        </w:rPr>
        <w:t>四、资格审查方法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_Toc20773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744259F">
      <w:pPr>
        <w:pStyle w:val="29"/>
        <w:tabs>
          <w:tab w:val="right" w:leader="dot" w:pos="9638"/>
        </w:tabs>
        <w:spacing w:line="240" w:lineRule="auto"/>
        <w:rPr>
          <w:rFonts w:ascii="仿宋" w:hAnsi="仿宋" w:eastAsia="仿宋" w:cs="仿宋"/>
          <w:sz w:val="24"/>
          <w:szCs w:val="24"/>
        </w:rPr>
      </w:pPr>
      <w:r>
        <w:fldChar w:fldCharType="begin"/>
      </w:r>
      <w:r>
        <w:instrText xml:space="preserve"> HYPERLINK \l "_Toc3639" </w:instrText>
      </w:r>
      <w:r>
        <w:fldChar w:fldCharType="separate"/>
      </w:r>
      <w:r>
        <w:rPr>
          <w:rFonts w:hint="eastAsia" w:ascii="仿宋" w:hAnsi="仿宋" w:eastAsia="仿宋" w:cs="仿宋"/>
          <w:sz w:val="24"/>
          <w:szCs w:val="24"/>
        </w:rPr>
        <w:t>五、招标文件的获取</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_Toc3639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2978E94">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"_Toc17213" </w:instrText>
      </w:r>
      <w:r>
        <w:fldChar w:fldCharType="separate"/>
      </w:r>
      <w:r>
        <w:rPr>
          <w:rFonts w:hint="eastAsia" w:ascii="仿宋" w:hAnsi="仿宋" w:eastAsia="仿宋" w:cs="仿宋"/>
          <w:sz w:val="24"/>
          <w:szCs w:val="24"/>
        </w:rPr>
        <w:t>六、投标文件的递交</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_Toc17213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993183D">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"_Toc14958" </w:instrText>
      </w:r>
      <w:r>
        <w:fldChar w:fldCharType="separate"/>
      </w:r>
      <w:r>
        <w:rPr>
          <w:rFonts w:hint="eastAsia" w:ascii="仿宋" w:hAnsi="仿宋" w:eastAsia="仿宋" w:cs="仿宋"/>
          <w:sz w:val="24"/>
          <w:szCs w:val="24"/>
        </w:rPr>
        <w:t>七、发布公告的媒介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_Toc14958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E6E3E20">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"_Toc16709" </w:instrText>
      </w:r>
      <w:r>
        <w:fldChar w:fldCharType="separate"/>
      </w:r>
      <w:r>
        <w:rPr>
          <w:rFonts w:hint="eastAsia" w:ascii="仿宋" w:hAnsi="仿宋" w:eastAsia="仿宋" w:cs="仿宋"/>
          <w:sz w:val="24"/>
          <w:szCs w:val="24"/>
        </w:rPr>
        <w:t>八、联系方式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_Toc16709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884C906">
      <w:pPr>
        <w:pStyle w:val="24"/>
        <w:tabs>
          <w:tab w:val="right" w:leader="dot" w:pos="9638"/>
        </w:tabs>
        <w:spacing w:line="240" w:lineRule="auto"/>
        <w:rPr>
          <w:rFonts w:ascii="仿宋" w:hAnsi="仿宋" w:eastAsia="仿宋" w:cs="仿宋"/>
          <w:sz w:val="24"/>
          <w:szCs w:val="24"/>
        </w:rPr>
      </w:pPr>
      <w:r>
        <w:fldChar w:fldCharType="begin"/>
      </w:r>
      <w:r>
        <w:instrText xml:space="preserve"> HYPERLINK \l "_Toc28930" </w:instrText>
      </w:r>
      <w:r>
        <w:fldChar w:fldCharType="separate"/>
      </w:r>
      <w:r>
        <w:rPr>
          <w:rFonts w:hint="eastAsia" w:ascii="仿宋" w:hAnsi="仿宋" w:eastAsia="仿宋" w:cs="仿宋"/>
          <w:sz w:val="24"/>
          <w:szCs w:val="24"/>
        </w:rPr>
        <w:t>第二章 投标人须知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_Toc28930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D518BF5">
      <w:pPr>
        <w:pStyle w:val="29"/>
        <w:tabs>
          <w:tab w:val="right" w:leader="dot" w:pos="9638"/>
        </w:tabs>
        <w:spacing w:line="240" w:lineRule="auto"/>
        <w:rPr>
          <w:rFonts w:ascii="仿宋" w:hAnsi="仿宋" w:eastAsia="仿宋" w:cs="仿宋"/>
          <w:sz w:val="24"/>
          <w:szCs w:val="24"/>
        </w:rPr>
      </w:pPr>
      <w:r>
        <w:fldChar w:fldCharType="begin"/>
      </w:r>
      <w:r>
        <w:instrText xml:space="preserve"> HYPERLINK \l "_Toc3704" </w:instrText>
      </w:r>
      <w:r>
        <w:fldChar w:fldCharType="separate"/>
      </w:r>
      <w:r>
        <w:rPr>
          <w:rFonts w:hint="eastAsia" w:ascii="仿宋" w:hAnsi="仿宋" w:eastAsia="仿宋" w:cs="仿宋"/>
          <w:sz w:val="24"/>
          <w:szCs w:val="24"/>
        </w:rPr>
        <w:t>投标人须知前附表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_Toc3704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13E817F">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"_Toc15445" </w:instrText>
      </w:r>
      <w:r>
        <w:fldChar w:fldCharType="separate"/>
      </w:r>
      <w:r>
        <w:rPr>
          <w:rFonts w:hint="eastAsia" w:ascii="仿宋" w:hAnsi="仿宋" w:eastAsia="仿宋" w:cs="仿宋"/>
          <w:sz w:val="24"/>
          <w:szCs w:val="24"/>
        </w:rPr>
        <w:t>1.总则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_Toc15445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6BC7F6D">
      <w:pPr>
        <w:pStyle w:val="17"/>
        <w:tabs>
          <w:tab w:val="right" w:leader="dot" w:pos="9638"/>
        </w:tabs>
        <w:spacing w:line="240" w:lineRule="auto"/>
        <w:rPr>
          <w:rFonts w:ascii="仿宋" w:hAnsi="仿宋" w:eastAsia="仿宋" w:cs="仿宋"/>
          <w:sz w:val="24"/>
          <w:szCs w:val="24"/>
        </w:rPr>
      </w:pPr>
      <w:r>
        <w:fldChar w:fldCharType="begin"/>
      </w:r>
      <w:r>
        <w:instrText xml:space="preserve"> HYPERLINK \l "_Toc5490" </w:instrText>
      </w:r>
      <w:r>
        <w:fldChar w:fldCharType="separate"/>
      </w:r>
      <w:r>
        <w:rPr>
          <w:rFonts w:hint="eastAsia" w:ascii="仿宋" w:hAnsi="仿宋" w:eastAsia="仿宋" w:cs="仿宋"/>
          <w:sz w:val="24"/>
          <w:szCs w:val="24"/>
        </w:rPr>
        <w:t>1.1 项目概况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_Toc5490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010F661">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"_Toc16813" </w:instrText>
      </w:r>
      <w:r>
        <w:fldChar w:fldCharType="separate"/>
      </w:r>
      <w:r>
        <w:rPr>
          <w:rFonts w:hint="eastAsia" w:ascii="仿宋" w:hAnsi="仿宋" w:eastAsia="仿宋" w:cs="仿宋"/>
          <w:sz w:val="24"/>
          <w:szCs w:val="24"/>
        </w:rPr>
        <w:t>1.2 资金来源和落实情况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_Toc16813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E132AEA">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"_Toc14130" </w:instrText>
      </w:r>
      <w:r>
        <w:fldChar w:fldCharType="separate"/>
      </w:r>
      <w:r>
        <w:rPr>
          <w:rFonts w:hint="eastAsia" w:ascii="仿宋" w:hAnsi="仿宋" w:eastAsia="仿宋" w:cs="仿宋"/>
          <w:sz w:val="24"/>
          <w:szCs w:val="24"/>
        </w:rPr>
        <w:t>1.3招标方式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_Toc14130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F7EAA85">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"_Toc17716" </w:instrText>
      </w:r>
      <w:r>
        <w:fldChar w:fldCharType="separate"/>
      </w:r>
      <w:r>
        <w:rPr>
          <w:rFonts w:hint="eastAsia" w:ascii="仿宋" w:hAnsi="仿宋" w:eastAsia="仿宋" w:cs="仿宋"/>
          <w:sz w:val="24"/>
          <w:szCs w:val="24"/>
        </w:rPr>
        <w:t>1.4招标组织形式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_Toc17716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D98E2E0">
      <w:pPr>
        <w:pStyle w:val="17"/>
        <w:tabs>
          <w:tab w:val="right" w:leader="dot" w:pos="9638"/>
        </w:tabs>
        <w:spacing w:line="240" w:lineRule="auto"/>
        <w:rPr>
          <w:rFonts w:ascii="仿宋" w:hAnsi="仿宋" w:eastAsia="仿宋" w:cs="仿宋"/>
          <w:sz w:val="24"/>
          <w:szCs w:val="24"/>
        </w:rPr>
      </w:pPr>
      <w:r>
        <w:fldChar w:fldCharType="begin"/>
      </w:r>
      <w:r>
        <w:instrText xml:space="preserve"> HYPERLINK \l "_Toc30702" </w:instrText>
      </w:r>
      <w:r>
        <w:fldChar w:fldCharType="separate"/>
      </w:r>
      <w:r>
        <w:rPr>
          <w:rFonts w:hint="eastAsia" w:ascii="仿宋" w:hAnsi="仿宋" w:eastAsia="仿宋" w:cs="仿宋"/>
          <w:sz w:val="24"/>
          <w:szCs w:val="24"/>
        </w:rPr>
        <w:t>1.5资格审查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_Toc30702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BD6B307">
      <w:pPr>
        <w:pStyle w:val="17"/>
        <w:tabs>
          <w:tab w:val="right" w:leader="dot" w:pos="9638"/>
        </w:tabs>
        <w:spacing w:line="240" w:lineRule="auto"/>
        <w:rPr>
          <w:rFonts w:ascii="仿宋" w:hAnsi="仿宋" w:eastAsia="仿宋" w:cs="仿宋"/>
          <w:sz w:val="24"/>
          <w:szCs w:val="24"/>
        </w:rPr>
      </w:pPr>
      <w:r>
        <w:fldChar w:fldCharType="begin"/>
      </w:r>
      <w:r>
        <w:instrText xml:space="preserve"> HYPERLINK \l "_Toc4138" </w:instrText>
      </w:r>
      <w:r>
        <w:fldChar w:fldCharType="separate"/>
      </w:r>
      <w:r>
        <w:rPr>
          <w:rFonts w:hint="eastAsia" w:ascii="仿宋" w:hAnsi="仿宋" w:eastAsia="仿宋" w:cs="仿宋"/>
          <w:sz w:val="24"/>
          <w:szCs w:val="24"/>
        </w:rPr>
        <w:t>1.6投标费用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_Toc4138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8C38608">
      <w:pPr>
        <w:pStyle w:val="17"/>
        <w:tabs>
          <w:tab w:val="right" w:leader="dot" w:pos="9638"/>
        </w:tabs>
        <w:spacing w:line="240" w:lineRule="auto"/>
        <w:rPr>
          <w:rFonts w:ascii="仿宋" w:hAnsi="仿宋" w:eastAsia="仿宋" w:cs="仿宋"/>
          <w:sz w:val="24"/>
          <w:szCs w:val="24"/>
        </w:rPr>
      </w:pPr>
      <w:r>
        <w:fldChar w:fldCharType="begin"/>
      </w:r>
      <w:r>
        <w:instrText xml:space="preserve"> HYPERLINK \l "_Toc8745" </w:instrText>
      </w:r>
      <w:r>
        <w:fldChar w:fldCharType="separate"/>
      </w:r>
      <w:r>
        <w:rPr>
          <w:rFonts w:hint="eastAsia" w:ascii="仿宋" w:hAnsi="仿宋" w:eastAsia="仿宋" w:cs="仿宋"/>
          <w:sz w:val="24"/>
          <w:szCs w:val="24"/>
        </w:rPr>
        <w:t>1.7保密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_Toc8745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03D4564">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"_Toc22601" </w:instrText>
      </w:r>
      <w:r>
        <w:fldChar w:fldCharType="separate"/>
      </w:r>
      <w:r>
        <w:rPr>
          <w:rFonts w:hint="eastAsia" w:ascii="仿宋" w:hAnsi="仿宋" w:eastAsia="仿宋" w:cs="仿宋"/>
          <w:sz w:val="24"/>
          <w:szCs w:val="24"/>
        </w:rPr>
        <w:t>1.8计量单位</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_Toc22601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4B1FCD1">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"_Toc15621" </w:instrText>
      </w:r>
      <w:r>
        <w:fldChar w:fldCharType="separate"/>
      </w:r>
      <w:r>
        <w:rPr>
          <w:rFonts w:hint="eastAsia" w:ascii="仿宋" w:hAnsi="仿宋" w:eastAsia="仿宋" w:cs="仿宋"/>
          <w:sz w:val="24"/>
          <w:szCs w:val="24"/>
        </w:rPr>
        <w:t>2.招标文件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_Toc15621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20D768C">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"_Toc22317" </w:instrText>
      </w:r>
      <w:r>
        <w:fldChar w:fldCharType="separate"/>
      </w:r>
      <w:r>
        <w:rPr>
          <w:rFonts w:hint="eastAsia" w:ascii="仿宋" w:hAnsi="仿宋" w:eastAsia="仿宋" w:cs="仿宋"/>
          <w:sz w:val="24"/>
          <w:szCs w:val="24"/>
        </w:rPr>
        <w:t>2.1招标文件的组成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_Toc22317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022D9F8">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"_Toc22156" </w:instrText>
      </w:r>
      <w:r>
        <w:fldChar w:fldCharType="separate"/>
      </w:r>
      <w:r>
        <w:rPr>
          <w:rFonts w:hint="eastAsia" w:ascii="仿宋" w:hAnsi="仿宋" w:eastAsia="仿宋" w:cs="仿宋"/>
          <w:sz w:val="24"/>
          <w:szCs w:val="24"/>
        </w:rPr>
        <w:t>2.2踏勘现场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_Toc22156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CEC2BC1">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"_Toc14868" </w:instrText>
      </w:r>
      <w:r>
        <w:fldChar w:fldCharType="separate"/>
      </w:r>
      <w:r>
        <w:rPr>
          <w:rFonts w:hint="eastAsia" w:ascii="仿宋" w:hAnsi="仿宋" w:eastAsia="仿宋" w:cs="仿宋"/>
          <w:sz w:val="24"/>
          <w:szCs w:val="24"/>
        </w:rPr>
        <w:t>2.3投标预备会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_Toc14868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B62FE65">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"_Toc18686" </w:instrText>
      </w:r>
      <w:r>
        <w:fldChar w:fldCharType="separate"/>
      </w:r>
      <w:r>
        <w:rPr>
          <w:rFonts w:hint="eastAsia" w:ascii="仿宋" w:hAnsi="仿宋" w:eastAsia="仿宋" w:cs="仿宋"/>
          <w:sz w:val="24"/>
          <w:szCs w:val="24"/>
        </w:rPr>
        <w:t>2.4招标文件的修改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_Toc18686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3EC8DB9">
      <w:pPr>
        <w:pStyle w:val="17"/>
        <w:tabs>
          <w:tab w:val="right" w:leader="dot" w:pos="9638"/>
        </w:tabs>
        <w:spacing w:line="240" w:lineRule="auto"/>
        <w:rPr>
          <w:rFonts w:ascii="仿宋" w:hAnsi="仿宋" w:eastAsia="仿宋" w:cs="仿宋"/>
          <w:sz w:val="24"/>
          <w:szCs w:val="24"/>
        </w:rPr>
      </w:pPr>
      <w:r>
        <w:fldChar w:fldCharType="begin"/>
      </w:r>
      <w:r>
        <w:instrText xml:space="preserve"> HYPERLINK \l "_Toc5227" </w:instrText>
      </w:r>
      <w:r>
        <w:fldChar w:fldCharType="separate"/>
      </w:r>
      <w:r>
        <w:rPr>
          <w:rFonts w:hint="eastAsia" w:ascii="仿宋" w:hAnsi="仿宋" w:eastAsia="仿宋" w:cs="仿宋"/>
          <w:sz w:val="24"/>
          <w:szCs w:val="24"/>
        </w:rPr>
        <w:t>2.5招标文件的异议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_Toc5227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2B0CBDC">
      <w:pPr>
        <w:pStyle w:val="29"/>
        <w:tabs>
          <w:tab w:val="right" w:leader="dot" w:pos="9638"/>
        </w:tabs>
        <w:spacing w:line="240" w:lineRule="auto"/>
        <w:rPr>
          <w:rFonts w:ascii="仿宋" w:hAnsi="仿宋" w:eastAsia="仿宋" w:cs="仿宋"/>
          <w:sz w:val="24"/>
          <w:szCs w:val="24"/>
        </w:rPr>
      </w:pPr>
      <w:r>
        <w:fldChar w:fldCharType="begin"/>
      </w:r>
      <w:r>
        <w:instrText xml:space="preserve"> HYPERLINK \l "_Toc7057" </w:instrText>
      </w:r>
      <w:r>
        <w:fldChar w:fldCharType="separate"/>
      </w:r>
      <w:r>
        <w:rPr>
          <w:rFonts w:hint="eastAsia" w:ascii="仿宋" w:hAnsi="仿宋" w:eastAsia="仿宋" w:cs="仿宋"/>
          <w:sz w:val="24"/>
          <w:szCs w:val="24"/>
        </w:rPr>
        <w:t>3.投标文件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_Toc7057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56C5B92">
      <w:pPr>
        <w:pStyle w:val="17"/>
        <w:tabs>
          <w:tab w:val="right" w:leader="dot" w:pos="9638"/>
        </w:tabs>
        <w:spacing w:line="240" w:lineRule="auto"/>
        <w:rPr>
          <w:rFonts w:ascii="仿宋" w:hAnsi="仿宋" w:eastAsia="仿宋" w:cs="仿宋"/>
          <w:sz w:val="24"/>
          <w:szCs w:val="24"/>
        </w:rPr>
      </w:pPr>
      <w:r>
        <w:fldChar w:fldCharType="begin"/>
      </w:r>
      <w:r>
        <w:instrText xml:space="preserve"> HYPERLINK \l "_Toc5129" </w:instrText>
      </w:r>
      <w:r>
        <w:fldChar w:fldCharType="separate"/>
      </w:r>
      <w:r>
        <w:rPr>
          <w:rFonts w:hint="eastAsia" w:ascii="仿宋" w:hAnsi="仿宋" w:eastAsia="仿宋" w:cs="仿宋"/>
          <w:sz w:val="24"/>
          <w:szCs w:val="24"/>
        </w:rPr>
        <w:t>3.1 投标文件的组成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_Toc5129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89182D9">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"_Toc25172" </w:instrText>
      </w:r>
      <w:r>
        <w:fldChar w:fldCharType="separate"/>
      </w:r>
      <w:r>
        <w:rPr>
          <w:rFonts w:hint="eastAsia" w:ascii="仿宋" w:hAnsi="仿宋" w:eastAsia="仿宋" w:cs="仿宋"/>
          <w:sz w:val="24"/>
          <w:szCs w:val="24"/>
        </w:rPr>
        <w:t>3.2 投标文件的编制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_Toc25172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89F1235">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"_Toc27658" </w:instrText>
      </w:r>
      <w:r>
        <w:fldChar w:fldCharType="separate"/>
      </w:r>
      <w:r>
        <w:rPr>
          <w:rFonts w:hint="eastAsia" w:ascii="仿宋" w:hAnsi="仿宋" w:eastAsia="仿宋" w:cs="仿宋"/>
          <w:sz w:val="24"/>
          <w:szCs w:val="24"/>
        </w:rPr>
        <w:t>3.3 投标报价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_Toc27658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0CF1AE8">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"_Toc24085" </w:instrText>
      </w:r>
      <w:r>
        <w:fldChar w:fldCharType="separate"/>
      </w:r>
      <w:r>
        <w:rPr>
          <w:rFonts w:hint="eastAsia" w:ascii="仿宋" w:hAnsi="仿宋" w:eastAsia="仿宋" w:cs="仿宋"/>
          <w:sz w:val="24"/>
          <w:szCs w:val="24"/>
        </w:rPr>
        <w:t>3.4 投标有效期</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_Toc24085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FBED45E">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"_Toc21407" </w:instrText>
      </w:r>
      <w:r>
        <w:fldChar w:fldCharType="separate"/>
      </w:r>
      <w:r>
        <w:rPr>
          <w:rFonts w:hint="eastAsia" w:ascii="仿宋" w:hAnsi="仿宋" w:eastAsia="仿宋" w:cs="仿宋"/>
          <w:sz w:val="24"/>
          <w:szCs w:val="24"/>
        </w:rPr>
        <w:t>3.5 投标保证金</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_Toc21407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441C5B5">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"_Toc25714" </w:instrText>
      </w:r>
      <w:r>
        <w:fldChar w:fldCharType="separate"/>
      </w:r>
      <w:r>
        <w:rPr>
          <w:rFonts w:hint="eastAsia" w:ascii="仿宋" w:hAnsi="仿宋" w:eastAsia="仿宋" w:cs="仿宋"/>
          <w:sz w:val="24"/>
          <w:szCs w:val="24"/>
        </w:rPr>
        <w:t>3.6 备选投标方案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_Toc25714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FA8395E">
      <w:pPr>
        <w:pStyle w:val="17"/>
        <w:tabs>
          <w:tab w:val="right" w:leader="dot" w:pos="9638"/>
        </w:tabs>
        <w:spacing w:line="240" w:lineRule="auto"/>
        <w:rPr>
          <w:rFonts w:ascii="仿宋" w:hAnsi="仿宋" w:eastAsia="仿宋" w:cs="仿宋"/>
          <w:sz w:val="24"/>
          <w:szCs w:val="24"/>
        </w:rPr>
      </w:pPr>
      <w:r>
        <w:fldChar w:fldCharType="begin"/>
      </w:r>
      <w:r>
        <w:instrText xml:space="preserve"> HYPERLINK \l "_Toc8278" </w:instrText>
      </w:r>
      <w:r>
        <w:fldChar w:fldCharType="separate"/>
      </w:r>
      <w:r>
        <w:rPr>
          <w:rFonts w:hint="eastAsia" w:ascii="仿宋" w:hAnsi="仿宋" w:eastAsia="仿宋" w:cs="仿宋"/>
          <w:sz w:val="24"/>
          <w:szCs w:val="24"/>
        </w:rPr>
        <w:t>3.7 纸质投标文件的式样、密封和标记</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_Toc8278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1BF1E71">
      <w:pPr>
        <w:pStyle w:val="17"/>
        <w:tabs>
          <w:tab w:val="right" w:leader="dot" w:pos="9638"/>
        </w:tabs>
        <w:spacing w:line="240" w:lineRule="auto"/>
        <w:rPr>
          <w:rFonts w:ascii="仿宋" w:hAnsi="仿宋" w:eastAsia="仿宋" w:cs="仿宋"/>
          <w:sz w:val="24"/>
          <w:szCs w:val="24"/>
        </w:rPr>
      </w:pPr>
      <w:r>
        <w:fldChar w:fldCharType="begin"/>
      </w:r>
      <w:r>
        <w:instrText xml:space="preserve"> HYPERLINK \l "_Toc6531" </w:instrText>
      </w:r>
      <w:r>
        <w:fldChar w:fldCharType="separate"/>
      </w:r>
      <w:r>
        <w:rPr>
          <w:rFonts w:hint="eastAsia" w:ascii="仿宋" w:hAnsi="仿宋" w:eastAsia="仿宋" w:cs="仿宋"/>
          <w:sz w:val="24"/>
          <w:szCs w:val="24"/>
        </w:rPr>
        <w:t>3.8 电子招投标的投标文件上传形式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_Toc6531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12A5A8D">
      <w:pPr>
        <w:pStyle w:val="29"/>
        <w:tabs>
          <w:tab w:val="right" w:leader="dot" w:pos="9638"/>
        </w:tabs>
        <w:spacing w:line="240" w:lineRule="auto"/>
        <w:rPr>
          <w:rFonts w:ascii="仿宋" w:hAnsi="仿宋" w:eastAsia="仿宋" w:cs="仿宋"/>
          <w:sz w:val="24"/>
          <w:szCs w:val="24"/>
        </w:rPr>
      </w:pPr>
      <w:r>
        <w:fldChar w:fldCharType="begin"/>
      </w:r>
      <w:r>
        <w:instrText xml:space="preserve"> HYPERLINK \l "_Toc32676" </w:instrText>
      </w:r>
      <w:r>
        <w:fldChar w:fldCharType="separate"/>
      </w:r>
      <w:r>
        <w:rPr>
          <w:rFonts w:hint="eastAsia" w:ascii="仿宋" w:hAnsi="仿宋" w:eastAsia="仿宋" w:cs="仿宋"/>
          <w:sz w:val="24"/>
          <w:szCs w:val="24"/>
        </w:rPr>
        <w:t>4.投标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_Toc32676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F4FDF25">
      <w:pPr>
        <w:pStyle w:val="17"/>
        <w:tabs>
          <w:tab w:val="right" w:leader="dot" w:pos="9638"/>
        </w:tabs>
        <w:spacing w:line="240" w:lineRule="auto"/>
        <w:rPr>
          <w:rFonts w:ascii="仿宋" w:hAnsi="仿宋" w:eastAsia="仿宋" w:cs="仿宋"/>
          <w:sz w:val="24"/>
          <w:szCs w:val="24"/>
        </w:rPr>
      </w:pPr>
      <w:r>
        <w:fldChar w:fldCharType="begin"/>
      </w:r>
      <w:r>
        <w:instrText xml:space="preserve"> HYPERLINK \l "_Toc4027" </w:instrText>
      </w:r>
      <w:r>
        <w:fldChar w:fldCharType="separate"/>
      </w:r>
      <w:r>
        <w:rPr>
          <w:rFonts w:hint="eastAsia" w:ascii="仿宋" w:hAnsi="仿宋" w:eastAsia="仿宋" w:cs="仿宋"/>
          <w:sz w:val="24"/>
          <w:szCs w:val="24"/>
        </w:rPr>
        <w:t>4.1 投标文件的递交</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_Toc4027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DD32632">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"_Toc12725" </w:instrText>
      </w:r>
      <w:r>
        <w:fldChar w:fldCharType="separate"/>
      </w:r>
      <w:r>
        <w:rPr>
          <w:rFonts w:hint="eastAsia" w:ascii="仿宋" w:hAnsi="仿宋" w:eastAsia="仿宋" w:cs="仿宋"/>
          <w:sz w:val="24"/>
          <w:szCs w:val="24"/>
        </w:rPr>
        <w:t>4.2 投标文件的修改、撤回和撤销</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_Toc12725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C81DEE8">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"_Toc18422" </w:instrText>
      </w:r>
      <w:r>
        <w:fldChar w:fldCharType="separate"/>
      </w:r>
      <w:r>
        <w:rPr>
          <w:rFonts w:hint="eastAsia" w:ascii="仿宋" w:hAnsi="仿宋" w:eastAsia="仿宋" w:cs="仿宋"/>
          <w:sz w:val="24"/>
          <w:szCs w:val="24"/>
        </w:rPr>
        <w:t>5.开标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_Toc18422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8E3B3E2">
      <w:pPr>
        <w:pStyle w:val="17"/>
        <w:tabs>
          <w:tab w:val="right" w:leader="dot" w:pos="9638"/>
        </w:tabs>
        <w:spacing w:line="240" w:lineRule="auto"/>
        <w:rPr>
          <w:rFonts w:ascii="仿宋" w:hAnsi="仿宋" w:eastAsia="仿宋" w:cs="仿宋"/>
          <w:sz w:val="24"/>
          <w:szCs w:val="24"/>
        </w:rPr>
      </w:pPr>
      <w:r>
        <w:fldChar w:fldCharType="begin"/>
      </w:r>
      <w:r>
        <w:instrText xml:space="preserve"> HYPERLINK \l "_Toc30675" </w:instrText>
      </w:r>
      <w:r>
        <w:fldChar w:fldCharType="separate"/>
      </w:r>
      <w:r>
        <w:rPr>
          <w:rFonts w:hint="eastAsia" w:ascii="仿宋" w:hAnsi="仿宋" w:eastAsia="仿宋" w:cs="仿宋"/>
          <w:sz w:val="24"/>
          <w:szCs w:val="24"/>
        </w:rPr>
        <w:t>5.1 开标时间</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_Toc30675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0FCA299">
      <w:pPr>
        <w:pStyle w:val="17"/>
        <w:tabs>
          <w:tab w:val="right" w:leader="dot" w:pos="9638"/>
        </w:tabs>
        <w:spacing w:line="240" w:lineRule="auto"/>
        <w:rPr>
          <w:rFonts w:ascii="仿宋" w:hAnsi="仿宋" w:eastAsia="仿宋" w:cs="仿宋"/>
          <w:sz w:val="24"/>
          <w:szCs w:val="24"/>
        </w:rPr>
      </w:pPr>
      <w:r>
        <w:fldChar w:fldCharType="begin"/>
      </w:r>
      <w:r>
        <w:instrText xml:space="preserve"> HYPERLINK \l "_Toc6861" </w:instrText>
      </w:r>
      <w:r>
        <w:fldChar w:fldCharType="separate"/>
      </w:r>
      <w:r>
        <w:rPr>
          <w:rFonts w:hint="eastAsia" w:ascii="仿宋" w:hAnsi="仿宋" w:eastAsia="仿宋" w:cs="仿宋"/>
          <w:sz w:val="24"/>
          <w:szCs w:val="24"/>
        </w:rPr>
        <w:t>5.2 开标程序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_Toc6861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9BE8007">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"_Toc15069" </w:instrText>
      </w:r>
      <w:r>
        <w:fldChar w:fldCharType="separate"/>
      </w:r>
      <w:r>
        <w:rPr>
          <w:rFonts w:hint="eastAsia" w:ascii="仿宋" w:hAnsi="仿宋" w:eastAsia="仿宋" w:cs="仿宋"/>
          <w:sz w:val="24"/>
          <w:szCs w:val="24"/>
        </w:rPr>
        <w:t>5.3 开标异议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_Toc15069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F5AF655">
      <w:pPr>
        <w:pStyle w:val="17"/>
        <w:tabs>
          <w:tab w:val="right" w:leader="dot" w:pos="9638"/>
        </w:tabs>
        <w:spacing w:line="240" w:lineRule="auto"/>
        <w:rPr>
          <w:rFonts w:ascii="仿宋" w:hAnsi="仿宋" w:eastAsia="仿宋" w:cs="仿宋"/>
          <w:sz w:val="24"/>
          <w:szCs w:val="24"/>
        </w:rPr>
      </w:pPr>
      <w:r>
        <w:fldChar w:fldCharType="begin"/>
      </w:r>
      <w:r>
        <w:instrText xml:space="preserve"> HYPERLINK \l "_Toc7586" </w:instrText>
      </w:r>
      <w:r>
        <w:fldChar w:fldCharType="separate"/>
      </w:r>
      <w:r>
        <w:rPr>
          <w:rFonts w:hint="eastAsia" w:ascii="仿宋" w:hAnsi="仿宋" w:eastAsia="仿宋" w:cs="仿宋"/>
          <w:sz w:val="24"/>
          <w:szCs w:val="24"/>
        </w:rPr>
        <w:t>5.4 电子招投标的其他开标要求及异常处理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_Toc7586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AB68BA3">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"_Toc21160" </w:instrText>
      </w:r>
      <w:r>
        <w:fldChar w:fldCharType="separate"/>
      </w:r>
      <w:r>
        <w:rPr>
          <w:rFonts w:hint="eastAsia" w:ascii="仿宋" w:hAnsi="仿宋" w:eastAsia="仿宋" w:cs="仿宋"/>
          <w:sz w:val="24"/>
          <w:szCs w:val="24"/>
        </w:rPr>
        <w:t>5.5不得开标的情形</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_Toc21160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FC34369">
      <w:pPr>
        <w:pStyle w:val="29"/>
        <w:tabs>
          <w:tab w:val="right" w:leader="dot" w:pos="9638"/>
        </w:tabs>
        <w:spacing w:line="240" w:lineRule="auto"/>
        <w:rPr>
          <w:rFonts w:ascii="仿宋" w:hAnsi="仿宋" w:eastAsia="仿宋" w:cs="仿宋"/>
          <w:sz w:val="24"/>
          <w:szCs w:val="24"/>
        </w:rPr>
      </w:pPr>
      <w:r>
        <w:fldChar w:fldCharType="begin"/>
      </w:r>
      <w:r>
        <w:instrText xml:space="preserve"> HYPERLINK \l "_Toc26887" </w:instrText>
      </w:r>
      <w:r>
        <w:fldChar w:fldCharType="separate"/>
      </w:r>
      <w:r>
        <w:rPr>
          <w:rFonts w:hint="eastAsia" w:ascii="仿宋" w:hAnsi="仿宋" w:eastAsia="仿宋" w:cs="仿宋"/>
          <w:sz w:val="24"/>
          <w:szCs w:val="24"/>
        </w:rPr>
        <w:t>6.评标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_Toc26887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AB9843F">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"_Toc23876" </w:instrText>
      </w:r>
      <w:r>
        <w:fldChar w:fldCharType="separate"/>
      </w:r>
      <w:r>
        <w:rPr>
          <w:rFonts w:hint="eastAsia" w:ascii="仿宋" w:hAnsi="仿宋" w:eastAsia="仿宋" w:cs="仿宋"/>
          <w:sz w:val="24"/>
          <w:szCs w:val="24"/>
        </w:rPr>
        <w:t>6.1 评标委员会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_Toc23876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4AD47ED">
      <w:pPr>
        <w:pStyle w:val="17"/>
        <w:tabs>
          <w:tab w:val="right" w:leader="dot" w:pos="9638"/>
        </w:tabs>
        <w:spacing w:line="240" w:lineRule="auto"/>
        <w:rPr>
          <w:rFonts w:ascii="仿宋" w:hAnsi="仿宋" w:eastAsia="仿宋" w:cs="仿宋"/>
          <w:sz w:val="24"/>
          <w:szCs w:val="24"/>
        </w:rPr>
      </w:pPr>
      <w:r>
        <w:fldChar w:fldCharType="begin"/>
      </w:r>
      <w:r>
        <w:instrText xml:space="preserve"> HYPERLINK \l "_Toc4976" </w:instrText>
      </w:r>
      <w:r>
        <w:fldChar w:fldCharType="separate"/>
      </w:r>
      <w:r>
        <w:rPr>
          <w:rFonts w:hint="eastAsia" w:ascii="仿宋" w:hAnsi="仿宋" w:eastAsia="仿宋" w:cs="仿宋"/>
          <w:sz w:val="24"/>
          <w:szCs w:val="24"/>
        </w:rPr>
        <w:t>6.2 评标原则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_Toc4976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D35CBC9">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"_Toc19827" </w:instrText>
      </w:r>
      <w:r>
        <w:fldChar w:fldCharType="separate"/>
      </w:r>
      <w:r>
        <w:rPr>
          <w:rFonts w:hint="eastAsia" w:ascii="仿宋" w:hAnsi="仿宋" w:eastAsia="仿宋" w:cs="仿宋"/>
          <w:sz w:val="24"/>
          <w:szCs w:val="24"/>
        </w:rPr>
        <w:t>6.3 评标方法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_Toc19827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3F62253">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"_Toc2633" </w:instrText>
      </w:r>
      <w:r>
        <w:fldChar w:fldCharType="separate"/>
      </w:r>
      <w:r>
        <w:rPr>
          <w:rFonts w:hint="eastAsia" w:ascii="仿宋" w:hAnsi="仿宋" w:eastAsia="仿宋" w:cs="仿宋"/>
          <w:sz w:val="24"/>
          <w:szCs w:val="24"/>
        </w:rPr>
        <w:t>6.4 中标候选人推荐原则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_Toc2633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08AE958">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"_Toc20952" </w:instrText>
      </w:r>
      <w:r>
        <w:fldChar w:fldCharType="separate"/>
      </w:r>
      <w:r>
        <w:rPr>
          <w:rFonts w:hint="eastAsia" w:ascii="仿宋" w:hAnsi="仿宋" w:eastAsia="仿宋" w:cs="仿宋"/>
          <w:sz w:val="24"/>
          <w:szCs w:val="24"/>
        </w:rPr>
        <w:t>6.5 评标报告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_Toc20952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A9FDF42">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"_Toc1256" </w:instrText>
      </w:r>
      <w:r>
        <w:fldChar w:fldCharType="separate"/>
      </w:r>
      <w:r>
        <w:rPr>
          <w:rFonts w:hint="eastAsia" w:ascii="仿宋" w:hAnsi="仿宋" w:eastAsia="仿宋" w:cs="仿宋"/>
          <w:sz w:val="24"/>
          <w:szCs w:val="24"/>
        </w:rPr>
        <w:t>7.中标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_Toc1256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1991F05">
      <w:pPr>
        <w:pStyle w:val="17"/>
        <w:tabs>
          <w:tab w:val="right" w:leader="dot" w:pos="9638"/>
        </w:tabs>
        <w:spacing w:line="240" w:lineRule="auto"/>
        <w:rPr>
          <w:rFonts w:ascii="仿宋" w:hAnsi="仿宋" w:eastAsia="仿宋" w:cs="仿宋"/>
          <w:sz w:val="24"/>
          <w:szCs w:val="24"/>
        </w:rPr>
      </w:pPr>
      <w:r>
        <w:fldChar w:fldCharType="begin"/>
      </w:r>
      <w:r>
        <w:instrText xml:space="preserve"> HYPERLINK \l "_Toc684" </w:instrText>
      </w:r>
      <w:r>
        <w:fldChar w:fldCharType="separate"/>
      </w:r>
      <w:r>
        <w:rPr>
          <w:rFonts w:hint="eastAsia" w:ascii="仿宋" w:hAnsi="仿宋" w:eastAsia="仿宋" w:cs="仿宋"/>
          <w:sz w:val="24"/>
          <w:szCs w:val="24"/>
        </w:rPr>
        <w:t>7.1 中标候选人公示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_Toc684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785ED35">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"_Toc26618" </w:instrText>
      </w:r>
      <w:r>
        <w:fldChar w:fldCharType="separate"/>
      </w:r>
      <w:r>
        <w:rPr>
          <w:rFonts w:hint="eastAsia" w:ascii="仿宋" w:hAnsi="仿宋" w:eastAsia="仿宋" w:cs="仿宋"/>
          <w:sz w:val="24"/>
          <w:szCs w:val="24"/>
        </w:rPr>
        <w:t>7.2 确定中标人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_Toc26618 \h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20F328F">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"_Toc29169" </w:instrText>
      </w:r>
      <w:r>
        <w:fldChar w:fldCharType="separate"/>
      </w:r>
      <w:r>
        <w:rPr>
          <w:rFonts w:hint="eastAsia" w:ascii="仿宋" w:hAnsi="仿宋" w:eastAsia="仿宋" w:cs="仿宋"/>
          <w:sz w:val="24"/>
          <w:szCs w:val="24"/>
        </w:rPr>
        <w:t>7.3 中标结果公示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_Toc29169 \h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2F6F86F">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"_Toc25940" </w:instrText>
      </w:r>
      <w:r>
        <w:fldChar w:fldCharType="separate"/>
      </w:r>
      <w:r>
        <w:rPr>
          <w:rFonts w:hint="eastAsia" w:ascii="仿宋" w:hAnsi="仿宋" w:eastAsia="仿宋" w:cs="仿宋"/>
          <w:sz w:val="24"/>
          <w:szCs w:val="24"/>
        </w:rPr>
        <w:t>7.4 中标通知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_Toc25940 \h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D93529D">
      <w:pPr>
        <w:pStyle w:val="29"/>
        <w:tabs>
          <w:tab w:val="right" w:leader="dot" w:pos="9638"/>
        </w:tabs>
        <w:spacing w:line="240" w:lineRule="auto"/>
        <w:rPr>
          <w:rFonts w:ascii="仿宋" w:hAnsi="仿宋" w:eastAsia="仿宋" w:cs="仿宋"/>
          <w:sz w:val="24"/>
          <w:szCs w:val="24"/>
        </w:rPr>
      </w:pPr>
      <w:r>
        <w:fldChar w:fldCharType="begin"/>
      </w:r>
      <w:r>
        <w:instrText xml:space="preserve"> HYPERLINK \l "_Toc23174" </w:instrText>
      </w:r>
      <w:r>
        <w:fldChar w:fldCharType="separate"/>
      </w:r>
      <w:r>
        <w:rPr>
          <w:rFonts w:hint="eastAsia" w:ascii="仿宋" w:hAnsi="仿宋" w:eastAsia="仿宋" w:cs="仿宋"/>
          <w:sz w:val="24"/>
          <w:szCs w:val="24"/>
        </w:rPr>
        <w:t>8.合同签订</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_Toc23174 \h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08AE428">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"_Toc17232" </w:instrText>
      </w:r>
      <w:r>
        <w:fldChar w:fldCharType="separate"/>
      </w:r>
      <w:r>
        <w:rPr>
          <w:rFonts w:hint="eastAsia" w:ascii="仿宋" w:hAnsi="仿宋" w:eastAsia="仿宋" w:cs="仿宋"/>
          <w:sz w:val="24"/>
          <w:szCs w:val="24"/>
        </w:rPr>
        <w:t>8.1 履约保证金</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_Toc17232 \h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66C579A">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"_Toc19588" </w:instrText>
      </w:r>
      <w:r>
        <w:fldChar w:fldCharType="separate"/>
      </w:r>
      <w:r>
        <w:rPr>
          <w:rFonts w:hint="eastAsia" w:ascii="仿宋" w:hAnsi="仿宋" w:eastAsia="仿宋" w:cs="仿宋"/>
          <w:sz w:val="24"/>
          <w:szCs w:val="24"/>
        </w:rPr>
        <w:t>8.2 合同签订</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_Toc19588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A63D2F9">
      <w:pPr>
        <w:pStyle w:val="29"/>
        <w:tabs>
          <w:tab w:val="right" w:leader="dot" w:pos="9638"/>
        </w:tabs>
        <w:spacing w:line="240" w:lineRule="auto"/>
        <w:rPr>
          <w:rFonts w:ascii="仿宋" w:hAnsi="仿宋" w:eastAsia="仿宋" w:cs="仿宋"/>
          <w:sz w:val="24"/>
          <w:szCs w:val="24"/>
        </w:rPr>
      </w:pPr>
      <w:r>
        <w:fldChar w:fldCharType="begin"/>
      </w:r>
      <w:r>
        <w:instrText xml:space="preserve"> HYPERLINK \l "_Toc20514" </w:instrText>
      </w:r>
      <w:r>
        <w:fldChar w:fldCharType="separate"/>
      </w:r>
      <w:r>
        <w:rPr>
          <w:rFonts w:hint="eastAsia" w:ascii="仿宋" w:hAnsi="仿宋" w:eastAsia="仿宋" w:cs="仿宋"/>
          <w:sz w:val="24"/>
          <w:szCs w:val="24"/>
        </w:rPr>
        <w:t>9.招标代理服务费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_Toc20514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4E7AF38">
      <w:pPr>
        <w:pStyle w:val="29"/>
        <w:tabs>
          <w:tab w:val="right" w:leader="dot" w:pos="9638"/>
        </w:tabs>
        <w:spacing w:line="240" w:lineRule="auto"/>
        <w:rPr>
          <w:rFonts w:ascii="仿宋" w:hAnsi="仿宋" w:eastAsia="仿宋" w:cs="仿宋"/>
          <w:sz w:val="24"/>
          <w:szCs w:val="24"/>
        </w:rPr>
      </w:pPr>
      <w:r>
        <w:fldChar w:fldCharType="begin"/>
      </w:r>
      <w:r>
        <w:instrText xml:space="preserve"> HYPERLINK \l "_Toc27078" </w:instrText>
      </w:r>
      <w:r>
        <w:fldChar w:fldCharType="separate"/>
      </w:r>
      <w:r>
        <w:rPr>
          <w:rFonts w:hint="eastAsia" w:ascii="仿宋" w:hAnsi="仿宋" w:eastAsia="仿宋" w:cs="仿宋"/>
          <w:sz w:val="24"/>
          <w:szCs w:val="24"/>
        </w:rPr>
        <w:t>10.纪律和监督</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_Toc27078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0A442AD">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"_Toc26827" </w:instrText>
      </w:r>
      <w:r>
        <w:fldChar w:fldCharType="separate"/>
      </w:r>
      <w:r>
        <w:rPr>
          <w:rFonts w:hint="eastAsia" w:ascii="仿宋" w:hAnsi="仿宋" w:eastAsia="仿宋" w:cs="仿宋"/>
          <w:sz w:val="24"/>
          <w:szCs w:val="24"/>
        </w:rPr>
        <w:t>10.1 对招标人的纪律要求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_Toc26827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9D678CD">
      <w:pPr>
        <w:pStyle w:val="17"/>
        <w:tabs>
          <w:tab w:val="right" w:leader="dot" w:pos="9638"/>
        </w:tabs>
        <w:spacing w:line="240" w:lineRule="auto"/>
        <w:rPr>
          <w:rFonts w:ascii="仿宋" w:hAnsi="仿宋" w:eastAsia="仿宋" w:cs="仿宋"/>
          <w:sz w:val="24"/>
          <w:szCs w:val="24"/>
        </w:rPr>
      </w:pPr>
      <w:r>
        <w:fldChar w:fldCharType="begin"/>
      </w:r>
      <w:r>
        <w:instrText xml:space="preserve"> HYPERLINK \l "_Toc7065" </w:instrText>
      </w:r>
      <w:r>
        <w:fldChar w:fldCharType="separate"/>
      </w:r>
      <w:r>
        <w:rPr>
          <w:rFonts w:hint="eastAsia" w:ascii="仿宋" w:hAnsi="仿宋" w:eastAsia="仿宋" w:cs="仿宋"/>
          <w:sz w:val="24"/>
          <w:szCs w:val="24"/>
        </w:rPr>
        <w:t>10.2 对投标人的纪律要求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_Toc7065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3EF1CF7">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"_Toc13014" </w:instrText>
      </w:r>
      <w:r>
        <w:fldChar w:fldCharType="separate"/>
      </w:r>
      <w:r>
        <w:rPr>
          <w:rFonts w:hint="eastAsia" w:ascii="仿宋" w:hAnsi="仿宋" w:eastAsia="仿宋" w:cs="仿宋"/>
          <w:sz w:val="24"/>
          <w:szCs w:val="24"/>
        </w:rPr>
        <w:t>10.3 对评标委员会成员的纪律要求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_Toc13014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4FEE918">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"_Toc15619" </w:instrText>
      </w:r>
      <w:r>
        <w:fldChar w:fldCharType="separate"/>
      </w:r>
      <w:r>
        <w:rPr>
          <w:rFonts w:hint="eastAsia" w:ascii="仿宋" w:hAnsi="仿宋" w:eastAsia="仿宋" w:cs="仿宋"/>
          <w:sz w:val="24"/>
          <w:szCs w:val="24"/>
        </w:rPr>
        <w:t>10.4 对招标代理机构的纪律要求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_Toc15619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7A6E1C3">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"_Toc11775" </w:instrText>
      </w:r>
      <w:r>
        <w:fldChar w:fldCharType="separate"/>
      </w:r>
      <w:r>
        <w:rPr>
          <w:rFonts w:hint="eastAsia" w:ascii="仿宋" w:hAnsi="仿宋" w:eastAsia="仿宋" w:cs="仿宋"/>
          <w:sz w:val="24"/>
          <w:szCs w:val="24"/>
        </w:rPr>
        <w:t>10.5 对与评标活动有关的工作人员的纪律要求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_Toc11775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CB9A46A">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"_Toc15474" </w:instrText>
      </w:r>
      <w:r>
        <w:fldChar w:fldCharType="separate"/>
      </w:r>
      <w:r>
        <w:rPr>
          <w:rFonts w:hint="eastAsia" w:ascii="仿宋" w:hAnsi="仿宋" w:eastAsia="仿宋" w:cs="仿宋"/>
          <w:sz w:val="24"/>
          <w:szCs w:val="24"/>
        </w:rPr>
        <w:t>11. 需要补充的其他内容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_Toc15474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0339932">
      <w:pPr>
        <w:pStyle w:val="24"/>
        <w:tabs>
          <w:tab w:val="right" w:leader="dot" w:pos="9638"/>
        </w:tabs>
        <w:spacing w:line="240" w:lineRule="auto"/>
        <w:rPr>
          <w:rFonts w:ascii="仿宋" w:hAnsi="仿宋" w:eastAsia="仿宋" w:cs="仿宋"/>
          <w:sz w:val="24"/>
          <w:szCs w:val="24"/>
        </w:rPr>
      </w:pPr>
      <w:r>
        <w:fldChar w:fldCharType="begin"/>
      </w:r>
      <w:r>
        <w:instrText xml:space="preserve"> HYPERLINK \l "_Toc32021" </w:instrText>
      </w:r>
      <w:r>
        <w:fldChar w:fldCharType="separate"/>
      </w:r>
      <w:r>
        <w:rPr>
          <w:rFonts w:hint="eastAsia" w:ascii="仿宋" w:hAnsi="仿宋" w:eastAsia="仿宋" w:cs="仿宋"/>
          <w:sz w:val="24"/>
          <w:szCs w:val="24"/>
        </w:rPr>
        <w:t>第三章 评标办法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_Toc32021 \h </w:instrText>
      </w:r>
      <w:r>
        <w:rPr>
          <w:rFonts w:hint="eastAsia" w:ascii="仿宋" w:hAnsi="仿宋" w:eastAsia="仿宋" w:cs="仿宋"/>
          <w:sz w:val="24"/>
          <w:szCs w:val="24"/>
        </w:rPr>
        <w:fldChar w:fldCharType="separate"/>
      </w:r>
      <w:r>
        <w:rPr>
          <w:rFonts w:hint="eastAsia" w:ascii="仿宋" w:hAnsi="仿宋" w:eastAsia="仿宋" w:cs="仿宋"/>
          <w:sz w:val="24"/>
          <w:szCs w:val="24"/>
        </w:rPr>
        <w:t>27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224AE99">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"_Toc1700" </w:instrText>
      </w:r>
      <w:r>
        <w:fldChar w:fldCharType="separate"/>
      </w:r>
      <w:r>
        <w:rPr>
          <w:rFonts w:hint="eastAsia" w:ascii="仿宋" w:hAnsi="仿宋" w:eastAsia="仿宋" w:cs="仿宋"/>
          <w:sz w:val="24"/>
          <w:szCs w:val="24"/>
        </w:rPr>
        <w:t>评标办法前附表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_Toc1700 \h </w:instrText>
      </w:r>
      <w:r>
        <w:rPr>
          <w:rFonts w:hint="eastAsia" w:ascii="仿宋" w:hAnsi="仿宋" w:eastAsia="仿宋" w:cs="仿宋"/>
          <w:sz w:val="24"/>
          <w:szCs w:val="24"/>
        </w:rPr>
        <w:fldChar w:fldCharType="separate"/>
      </w:r>
      <w:r>
        <w:rPr>
          <w:rFonts w:hint="eastAsia" w:ascii="仿宋" w:hAnsi="仿宋" w:eastAsia="仿宋" w:cs="仿宋"/>
          <w:sz w:val="24"/>
          <w:szCs w:val="24"/>
        </w:rPr>
        <w:t>27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AA2112B">
      <w:pPr>
        <w:pStyle w:val="17"/>
        <w:tabs>
          <w:tab w:val="right" w:leader="dot" w:pos="9638"/>
        </w:tabs>
        <w:spacing w:line="240" w:lineRule="auto"/>
        <w:rPr>
          <w:rFonts w:ascii="仿宋" w:hAnsi="仿宋" w:eastAsia="仿宋" w:cs="仿宋"/>
          <w:sz w:val="24"/>
          <w:szCs w:val="24"/>
        </w:rPr>
      </w:pPr>
      <w:r>
        <w:fldChar w:fldCharType="begin"/>
      </w:r>
      <w:r>
        <w:instrText xml:space="preserve"> HYPERLINK \l "_Toc6462" </w:instrText>
      </w:r>
      <w:r>
        <w:fldChar w:fldCharType="separate"/>
      </w:r>
      <w:r>
        <w:rPr>
          <w:rFonts w:hint="eastAsia" w:ascii="仿宋" w:hAnsi="仿宋" w:eastAsia="仿宋" w:cs="仿宋"/>
          <w:sz w:val="24"/>
          <w:szCs w:val="24"/>
        </w:rPr>
        <w:t>1、 初步评审标准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_Toc6462 \h </w:instrText>
      </w:r>
      <w:r>
        <w:rPr>
          <w:rFonts w:hint="eastAsia" w:ascii="仿宋" w:hAnsi="仿宋" w:eastAsia="仿宋" w:cs="仿宋"/>
          <w:sz w:val="24"/>
          <w:szCs w:val="24"/>
        </w:rPr>
        <w:fldChar w:fldCharType="separate"/>
      </w:r>
      <w:r>
        <w:rPr>
          <w:rFonts w:hint="eastAsia" w:ascii="仿宋" w:hAnsi="仿宋" w:eastAsia="仿宋" w:cs="仿宋"/>
          <w:sz w:val="24"/>
          <w:szCs w:val="24"/>
        </w:rPr>
        <w:t>27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ACC540C">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"_Toc24207" </w:instrText>
      </w:r>
      <w:r>
        <w:fldChar w:fldCharType="separate"/>
      </w:r>
      <w:r>
        <w:rPr>
          <w:rFonts w:hint="eastAsia" w:ascii="仿宋" w:hAnsi="仿宋" w:eastAsia="仿宋" w:cs="仿宋"/>
          <w:sz w:val="24"/>
          <w:szCs w:val="24"/>
        </w:rPr>
        <w:t>2、 否决投标情形汇总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_Toc24207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D1085AD">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"_Toc13938" </w:instrText>
      </w:r>
      <w:r>
        <w:fldChar w:fldCharType="separate"/>
      </w:r>
      <w:r>
        <w:rPr>
          <w:rFonts w:hint="eastAsia" w:ascii="仿宋" w:hAnsi="仿宋" w:eastAsia="仿宋" w:cs="仿宋"/>
          <w:sz w:val="24"/>
          <w:szCs w:val="24"/>
        </w:rPr>
        <w:t>3、 详细评审标准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_Toc13938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6405699">
      <w:pPr>
        <w:pStyle w:val="29"/>
        <w:tabs>
          <w:tab w:val="right" w:leader="dot" w:pos="9638"/>
        </w:tabs>
        <w:spacing w:line="240" w:lineRule="auto"/>
        <w:rPr>
          <w:rFonts w:ascii="仿宋" w:hAnsi="仿宋" w:eastAsia="仿宋" w:cs="仿宋"/>
          <w:sz w:val="24"/>
          <w:szCs w:val="24"/>
        </w:rPr>
      </w:pPr>
      <w:r>
        <w:fldChar w:fldCharType="begin"/>
      </w:r>
      <w:r>
        <w:instrText xml:space="preserve"> HYPERLINK \l "_Toc6583" </w:instrText>
      </w:r>
      <w:r>
        <w:fldChar w:fldCharType="separate"/>
      </w:r>
      <w:r>
        <w:rPr>
          <w:rFonts w:hint="eastAsia" w:ascii="仿宋" w:hAnsi="仿宋" w:eastAsia="仿宋" w:cs="仿宋"/>
          <w:sz w:val="24"/>
          <w:szCs w:val="24"/>
        </w:rPr>
        <w:t>一、评标方法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_Toc6583 \h </w:instrText>
      </w:r>
      <w:r>
        <w:rPr>
          <w:rFonts w:hint="eastAsia" w:ascii="仿宋" w:hAnsi="仿宋" w:eastAsia="仿宋" w:cs="仿宋"/>
          <w:sz w:val="24"/>
          <w:szCs w:val="24"/>
        </w:rPr>
        <w:fldChar w:fldCharType="separate"/>
      </w:r>
      <w:r>
        <w:rPr>
          <w:rFonts w:hint="eastAsia" w:ascii="仿宋" w:hAnsi="仿宋" w:eastAsia="仿宋" w:cs="仿宋"/>
          <w:sz w:val="24"/>
          <w:szCs w:val="24"/>
        </w:rPr>
        <w:t>36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FC5B18F">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"_Toc18381" </w:instrText>
      </w:r>
      <w:r>
        <w:fldChar w:fldCharType="separate"/>
      </w:r>
      <w:r>
        <w:rPr>
          <w:rFonts w:hint="eastAsia" w:ascii="仿宋" w:hAnsi="仿宋" w:eastAsia="仿宋" w:cs="仿宋"/>
          <w:sz w:val="24"/>
          <w:szCs w:val="24"/>
        </w:rPr>
        <w:t>二、评审标准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_Toc18381 \h </w:instrText>
      </w:r>
      <w:r>
        <w:rPr>
          <w:rFonts w:hint="eastAsia" w:ascii="仿宋" w:hAnsi="仿宋" w:eastAsia="仿宋" w:cs="仿宋"/>
          <w:sz w:val="24"/>
          <w:szCs w:val="24"/>
        </w:rPr>
        <w:fldChar w:fldCharType="separate"/>
      </w:r>
      <w:r>
        <w:rPr>
          <w:rFonts w:hint="eastAsia" w:ascii="仿宋" w:hAnsi="仿宋" w:eastAsia="仿宋" w:cs="仿宋"/>
          <w:sz w:val="24"/>
          <w:szCs w:val="24"/>
        </w:rPr>
        <w:t>36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F93F671">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"_Toc11212" </w:instrText>
      </w:r>
      <w:r>
        <w:fldChar w:fldCharType="separate"/>
      </w:r>
      <w:r>
        <w:rPr>
          <w:rFonts w:hint="eastAsia" w:ascii="仿宋" w:hAnsi="仿宋" w:eastAsia="仿宋" w:cs="仿宋"/>
          <w:sz w:val="24"/>
          <w:szCs w:val="24"/>
        </w:rPr>
        <w:t>三、评标程序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_Toc11212 \h </w:instrText>
      </w:r>
      <w:r>
        <w:rPr>
          <w:rFonts w:hint="eastAsia" w:ascii="仿宋" w:hAnsi="仿宋" w:eastAsia="仿宋" w:cs="仿宋"/>
          <w:sz w:val="24"/>
          <w:szCs w:val="24"/>
        </w:rPr>
        <w:fldChar w:fldCharType="separate"/>
      </w:r>
      <w:r>
        <w:rPr>
          <w:rFonts w:hint="eastAsia" w:ascii="仿宋" w:hAnsi="仿宋" w:eastAsia="仿宋" w:cs="仿宋"/>
          <w:sz w:val="24"/>
          <w:szCs w:val="24"/>
        </w:rPr>
        <w:t>36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A0EDB64">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"_Toc18467" </w:instrText>
      </w:r>
      <w:r>
        <w:fldChar w:fldCharType="separate"/>
      </w:r>
      <w:r>
        <w:rPr>
          <w:rFonts w:hint="eastAsia" w:ascii="仿宋" w:hAnsi="仿宋" w:eastAsia="仿宋" w:cs="仿宋"/>
          <w:sz w:val="24"/>
          <w:szCs w:val="24"/>
        </w:rPr>
        <w:t>3.1初步评审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_Toc18467 \h </w:instrText>
      </w:r>
      <w:r>
        <w:rPr>
          <w:rFonts w:hint="eastAsia" w:ascii="仿宋" w:hAnsi="仿宋" w:eastAsia="仿宋" w:cs="仿宋"/>
          <w:sz w:val="24"/>
          <w:szCs w:val="24"/>
        </w:rPr>
        <w:fldChar w:fldCharType="separate"/>
      </w:r>
      <w:r>
        <w:rPr>
          <w:rFonts w:hint="eastAsia" w:ascii="仿宋" w:hAnsi="仿宋" w:eastAsia="仿宋" w:cs="仿宋"/>
          <w:sz w:val="24"/>
          <w:szCs w:val="24"/>
        </w:rPr>
        <w:t>36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6018C3D">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"_Toc14213" </w:instrText>
      </w:r>
      <w:r>
        <w:fldChar w:fldCharType="separate"/>
      </w:r>
      <w:r>
        <w:rPr>
          <w:rFonts w:hint="eastAsia" w:ascii="仿宋" w:hAnsi="仿宋" w:eastAsia="仿宋" w:cs="仿宋"/>
          <w:sz w:val="24"/>
          <w:szCs w:val="24"/>
        </w:rPr>
        <w:t>3.2 详细评审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_Toc14213 \h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5E2443A">
      <w:pPr>
        <w:pStyle w:val="17"/>
        <w:tabs>
          <w:tab w:val="right" w:leader="dot" w:pos="9638"/>
        </w:tabs>
        <w:spacing w:line="240" w:lineRule="auto"/>
        <w:rPr>
          <w:rFonts w:ascii="仿宋" w:hAnsi="仿宋" w:eastAsia="仿宋" w:cs="仿宋"/>
          <w:sz w:val="24"/>
          <w:szCs w:val="24"/>
        </w:rPr>
      </w:pPr>
      <w:r>
        <w:fldChar w:fldCharType="begin"/>
      </w:r>
      <w:r>
        <w:instrText xml:space="preserve"> HYPERLINK \l "_Toc4079" </w:instrText>
      </w:r>
      <w:r>
        <w:fldChar w:fldCharType="separate"/>
      </w:r>
      <w:r>
        <w:rPr>
          <w:rFonts w:hint="eastAsia" w:ascii="仿宋" w:hAnsi="仿宋" w:eastAsia="仿宋" w:cs="仿宋"/>
          <w:sz w:val="24"/>
          <w:szCs w:val="24"/>
        </w:rPr>
        <w:t>3.3 投标文件的澄清、说明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_Toc4079 \h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78337A1">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"_Toc24620" </w:instrText>
      </w:r>
      <w:r>
        <w:fldChar w:fldCharType="separate"/>
      </w:r>
      <w:r>
        <w:rPr>
          <w:rFonts w:hint="eastAsia" w:ascii="仿宋" w:hAnsi="仿宋" w:eastAsia="仿宋" w:cs="仿宋"/>
          <w:sz w:val="24"/>
          <w:szCs w:val="24"/>
        </w:rPr>
        <w:t>3.4 中标候选人推荐原则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_Toc24620 \h </w:instrText>
      </w:r>
      <w:r>
        <w:rPr>
          <w:rFonts w:hint="eastAsia" w:ascii="仿宋" w:hAnsi="仿宋" w:eastAsia="仿宋" w:cs="仿宋"/>
          <w:sz w:val="24"/>
          <w:szCs w:val="24"/>
        </w:rPr>
        <w:fldChar w:fldCharType="separate"/>
      </w:r>
      <w:r>
        <w:rPr>
          <w:rFonts w:hint="eastAsia" w:ascii="仿宋" w:hAnsi="仿宋" w:eastAsia="仿宋" w:cs="仿宋"/>
          <w:sz w:val="24"/>
          <w:szCs w:val="24"/>
        </w:rPr>
        <w:t>38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AB1F9EA">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"_Toc15219" </w:instrText>
      </w:r>
      <w:r>
        <w:fldChar w:fldCharType="separate"/>
      </w:r>
      <w:r>
        <w:rPr>
          <w:rFonts w:hint="eastAsia" w:ascii="仿宋" w:hAnsi="仿宋" w:eastAsia="仿宋" w:cs="仿宋"/>
          <w:sz w:val="24"/>
          <w:szCs w:val="24"/>
        </w:rPr>
        <w:t>3.5 评标结果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_Toc15219 \h </w:instrText>
      </w:r>
      <w:r>
        <w:rPr>
          <w:rFonts w:hint="eastAsia" w:ascii="仿宋" w:hAnsi="仿宋" w:eastAsia="仿宋" w:cs="仿宋"/>
          <w:sz w:val="24"/>
          <w:szCs w:val="24"/>
        </w:rPr>
        <w:fldChar w:fldCharType="separate"/>
      </w:r>
      <w:r>
        <w:rPr>
          <w:rFonts w:hint="eastAsia" w:ascii="仿宋" w:hAnsi="仿宋" w:eastAsia="仿宋" w:cs="仿宋"/>
          <w:sz w:val="24"/>
          <w:szCs w:val="24"/>
        </w:rPr>
        <w:t>38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1A2F5A6">
      <w:pPr>
        <w:pStyle w:val="24"/>
        <w:tabs>
          <w:tab w:val="right" w:leader="dot" w:pos="9638"/>
        </w:tabs>
        <w:spacing w:line="240" w:lineRule="auto"/>
        <w:rPr>
          <w:rFonts w:ascii="仿宋" w:hAnsi="仿宋" w:eastAsia="仿宋" w:cs="仿宋"/>
          <w:sz w:val="24"/>
          <w:szCs w:val="24"/>
        </w:rPr>
      </w:pPr>
      <w:r>
        <w:fldChar w:fldCharType="begin"/>
      </w:r>
      <w:r>
        <w:instrText xml:space="preserve"> HYPERLINK \l "_Toc31830" </w:instrText>
      </w:r>
      <w:r>
        <w:fldChar w:fldCharType="separate"/>
      </w:r>
      <w:r>
        <w:rPr>
          <w:rFonts w:hint="eastAsia" w:ascii="仿宋" w:hAnsi="仿宋" w:eastAsia="仿宋" w:cs="仿宋"/>
          <w:sz w:val="24"/>
          <w:szCs w:val="24"/>
        </w:rPr>
        <w:t>第四章 合同条款</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_Toc31830 \h </w:instrText>
      </w:r>
      <w:r>
        <w:rPr>
          <w:rFonts w:hint="eastAsia" w:ascii="仿宋" w:hAnsi="仿宋" w:eastAsia="仿宋" w:cs="仿宋"/>
          <w:sz w:val="24"/>
          <w:szCs w:val="24"/>
        </w:rPr>
        <w:fldChar w:fldCharType="separate"/>
      </w:r>
      <w:r>
        <w:rPr>
          <w:rFonts w:hint="eastAsia" w:ascii="仿宋" w:hAnsi="仿宋" w:eastAsia="仿宋" w:cs="仿宋"/>
          <w:sz w:val="24"/>
          <w:szCs w:val="24"/>
        </w:rPr>
        <w:t>39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C3E049B">
      <w:pPr>
        <w:pStyle w:val="24"/>
        <w:tabs>
          <w:tab w:val="right" w:leader="dot" w:pos="9638"/>
        </w:tabs>
        <w:spacing w:line="240" w:lineRule="auto"/>
        <w:rPr>
          <w:rFonts w:ascii="仿宋" w:hAnsi="仿宋" w:eastAsia="仿宋" w:cs="仿宋"/>
          <w:sz w:val="24"/>
          <w:szCs w:val="24"/>
        </w:rPr>
      </w:pPr>
      <w:r>
        <w:fldChar w:fldCharType="begin"/>
      </w:r>
      <w:r>
        <w:instrText xml:space="preserve"> HYPERLINK \l "_Toc23930" </w:instrText>
      </w:r>
      <w:r>
        <w:fldChar w:fldCharType="separate"/>
      </w:r>
      <w:r>
        <w:rPr>
          <w:rFonts w:hint="eastAsia" w:ascii="仿宋" w:hAnsi="仿宋" w:eastAsia="仿宋" w:cs="仿宋"/>
          <w:bCs/>
          <w:sz w:val="24"/>
          <w:szCs w:val="24"/>
        </w:rPr>
        <w:t>第五章 技术规范书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_Toc23930 \h </w:instrText>
      </w:r>
      <w:r>
        <w:rPr>
          <w:rFonts w:hint="eastAsia" w:ascii="仿宋" w:hAnsi="仿宋" w:eastAsia="仿宋" w:cs="仿宋"/>
          <w:sz w:val="24"/>
          <w:szCs w:val="24"/>
        </w:rPr>
        <w:fldChar w:fldCharType="separate"/>
      </w:r>
      <w:r>
        <w:rPr>
          <w:rFonts w:hint="eastAsia" w:ascii="仿宋" w:hAnsi="仿宋" w:eastAsia="仿宋" w:cs="仿宋"/>
          <w:sz w:val="24"/>
          <w:szCs w:val="24"/>
        </w:rPr>
        <w:t>50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D09857C">
      <w:pPr>
        <w:pStyle w:val="24"/>
        <w:tabs>
          <w:tab w:val="right" w:leader="dot" w:pos="9638"/>
        </w:tabs>
        <w:spacing w:line="240" w:lineRule="auto"/>
        <w:rPr>
          <w:rFonts w:ascii="仿宋" w:hAnsi="仿宋" w:eastAsia="仿宋" w:cs="仿宋"/>
          <w:sz w:val="24"/>
          <w:szCs w:val="24"/>
        </w:rPr>
      </w:pPr>
      <w:r>
        <w:fldChar w:fldCharType="begin"/>
      </w:r>
      <w:r>
        <w:instrText xml:space="preserve"> HYPERLINK \l "_Toc15062" </w:instrText>
      </w:r>
      <w:r>
        <w:fldChar w:fldCharType="separate"/>
      </w:r>
      <w:r>
        <w:rPr>
          <w:rFonts w:hint="eastAsia" w:ascii="仿宋" w:hAnsi="仿宋" w:eastAsia="仿宋" w:cs="仿宋"/>
          <w:sz w:val="24"/>
          <w:szCs w:val="24"/>
        </w:rPr>
        <w:t>第六章 投标文件格式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_Toc15062 \h </w:instrText>
      </w:r>
      <w:r>
        <w:rPr>
          <w:rFonts w:hint="eastAsia" w:ascii="仿宋" w:hAnsi="仿宋" w:eastAsia="仿宋" w:cs="仿宋"/>
          <w:sz w:val="24"/>
          <w:szCs w:val="24"/>
        </w:rPr>
        <w:fldChar w:fldCharType="separate"/>
      </w:r>
      <w:r>
        <w:rPr>
          <w:rFonts w:hint="eastAsia" w:ascii="仿宋" w:hAnsi="仿宋" w:eastAsia="仿宋" w:cs="仿宋"/>
          <w:sz w:val="24"/>
          <w:szCs w:val="24"/>
        </w:rPr>
        <w:t>58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74E1B84">
      <w:pPr>
        <w:pStyle w:val="29"/>
        <w:tabs>
          <w:tab w:val="right" w:leader="dot" w:pos="9638"/>
        </w:tabs>
        <w:spacing w:line="240" w:lineRule="auto"/>
        <w:rPr>
          <w:rFonts w:ascii="仿宋" w:hAnsi="仿宋" w:eastAsia="仿宋" w:cs="仿宋"/>
          <w:sz w:val="24"/>
          <w:szCs w:val="24"/>
        </w:rPr>
      </w:pPr>
      <w:r>
        <w:fldChar w:fldCharType="begin"/>
      </w:r>
      <w:r>
        <w:instrText xml:space="preserve"> HYPERLINK \l "_Toc7129" </w:instrText>
      </w:r>
      <w:r>
        <w:fldChar w:fldCharType="separate"/>
      </w:r>
      <w:r>
        <w:rPr>
          <w:rFonts w:hint="eastAsia" w:ascii="仿宋" w:hAnsi="仿宋" w:eastAsia="仿宋" w:cs="仿宋"/>
          <w:sz w:val="24"/>
          <w:szCs w:val="24"/>
        </w:rPr>
        <w:t>一、商务文件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_Toc7129 \h </w:instrText>
      </w:r>
      <w:r>
        <w:rPr>
          <w:rFonts w:hint="eastAsia" w:ascii="仿宋" w:hAnsi="仿宋" w:eastAsia="仿宋" w:cs="仿宋"/>
          <w:sz w:val="24"/>
          <w:szCs w:val="24"/>
        </w:rPr>
        <w:fldChar w:fldCharType="separate"/>
      </w:r>
      <w:r>
        <w:rPr>
          <w:rFonts w:hint="eastAsia" w:ascii="仿宋" w:hAnsi="仿宋" w:eastAsia="仿宋" w:cs="仿宋"/>
          <w:sz w:val="24"/>
          <w:szCs w:val="24"/>
        </w:rPr>
        <w:t>59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05E315A">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"_Toc23353" </w:instrText>
      </w:r>
      <w:r>
        <w:fldChar w:fldCharType="separate"/>
      </w:r>
      <w:r>
        <w:rPr>
          <w:rFonts w:hint="eastAsia" w:ascii="仿宋" w:hAnsi="仿宋" w:eastAsia="仿宋" w:cs="仿宋"/>
          <w:sz w:val="24"/>
          <w:szCs w:val="24"/>
        </w:rPr>
        <w:t>初步评审索引表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_Toc23353 \h </w:instrText>
      </w:r>
      <w:r>
        <w:rPr>
          <w:rFonts w:hint="eastAsia" w:ascii="仿宋" w:hAnsi="仿宋" w:eastAsia="仿宋" w:cs="仿宋"/>
          <w:sz w:val="24"/>
          <w:szCs w:val="24"/>
        </w:rPr>
        <w:fldChar w:fldCharType="separate"/>
      </w:r>
      <w:r>
        <w:rPr>
          <w:rFonts w:hint="eastAsia" w:ascii="仿宋" w:hAnsi="仿宋" w:eastAsia="仿宋" w:cs="仿宋"/>
          <w:sz w:val="24"/>
          <w:szCs w:val="24"/>
        </w:rPr>
        <w:t>59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AEACED2">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"_Toc19663" </w:instrText>
      </w:r>
      <w:r>
        <w:fldChar w:fldCharType="separate"/>
      </w:r>
      <w:r>
        <w:rPr>
          <w:rFonts w:hint="eastAsia" w:ascii="仿宋" w:hAnsi="仿宋" w:eastAsia="仿宋" w:cs="仿宋"/>
          <w:sz w:val="24"/>
          <w:szCs w:val="24"/>
        </w:rPr>
        <w:t>详细评审索引表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_Toc19663 \h </w:instrText>
      </w:r>
      <w:r>
        <w:rPr>
          <w:rFonts w:hint="eastAsia" w:ascii="仿宋" w:hAnsi="仿宋" w:eastAsia="仿宋" w:cs="仿宋"/>
          <w:sz w:val="24"/>
          <w:szCs w:val="24"/>
        </w:rPr>
        <w:fldChar w:fldCharType="separate"/>
      </w:r>
      <w:r>
        <w:rPr>
          <w:rFonts w:hint="eastAsia" w:ascii="仿宋" w:hAnsi="仿宋" w:eastAsia="仿宋" w:cs="仿宋"/>
          <w:sz w:val="24"/>
          <w:szCs w:val="24"/>
        </w:rPr>
        <w:t>60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1D363C2">
      <w:pPr>
        <w:pStyle w:val="17"/>
        <w:tabs>
          <w:tab w:val="right" w:leader="dot" w:pos="9638"/>
        </w:tabs>
        <w:spacing w:line="240" w:lineRule="auto"/>
        <w:rPr>
          <w:rFonts w:ascii="仿宋" w:hAnsi="仿宋" w:eastAsia="仿宋" w:cs="仿宋"/>
          <w:sz w:val="24"/>
          <w:szCs w:val="24"/>
        </w:rPr>
      </w:pPr>
      <w:r>
        <w:fldChar w:fldCharType="begin"/>
      </w:r>
      <w:r>
        <w:instrText xml:space="preserve"> HYPERLINK \l "_Toc9244" </w:instrText>
      </w:r>
      <w:r>
        <w:fldChar w:fldCharType="separate"/>
      </w:r>
      <w:r>
        <w:rPr>
          <w:rFonts w:hint="eastAsia" w:ascii="仿宋" w:hAnsi="仿宋" w:eastAsia="仿宋" w:cs="仿宋"/>
          <w:sz w:val="24"/>
          <w:szCs w:val="24"/>
        </w:rPr>
        <w:t>（一）投标函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_Toc9244 \h </w:instrText>
      </w:r>
      <w:r>
        <w:rPr>
          <w:rFonts w:hint="eastAsia" w:ascii="仿宋" w:hAnsi="仿宋" w:eastAsia="仿宋" w:cs="仿宋"/>
          <w:sz w:val="24"/>
          <w:szCs w:val="24"/>
        </w:rPr>
        <w:fldChar w:fldCharType="separate"/>
      </w:r>
      <w:r>
        <w:rPr>
          <w:rFonts w:hint="eastAsia" w:ascii="仿宋" w:hAnsi="仿宋" w:eastAsia="仿宋" w:cs="仿宋"/>
          <w:sz w:val="24"/>
          <w:szCs w:val="24"/>
        </w:rPr>
        <w:t>61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E885EA1">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"_Toc10355" </w:instrText>
      </w:r>
      <w:r>
        <w:fldChar w:fldCharType="separate"/>
      </w:r>
      <w:r>
        <w:rPr>
          <w:rFonts w:hint="eastAsia" w:ascii="仿宋" w:hAnsi="仿宋" w:eastAsia="仿宋" w:cs="仿宋"/>
          <w:sz w:val="24"/>
          <w:szCs w:val="24"/>
        </w:rPr>
        <w:t>（二）法定代表人（负责人）身份证明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_Toc10355 \h </w:instrText>
      </w:r>
      <w:r>
        <w:rPr>
          <w:rFonts w:hint="eastAsia" w:ascii="仿宋" w:hAnsi="仿宋" w:eastAsia="仿宋" w:cs="仿宋"/>
          <w:sz w:val="24"/>
          <w:szCs w:val="24"/>
        </w:rPr>
        <w:fldChar w:fldCharType="separate"/>
      </w:r>
      <w:r>
        <w:rPr>
          <w:rFonts w:hint="eastAsia" w:ascii="仿宋" w:hAnsi="仿宋" w:eastAsia="仿宋" w:cs="仿宋"/>
          <w:sz w:val="24"/>
          <w:szCs w:val="24"/>
        </w:rPr>
        <w:t>62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81CB2FA">
      <w:pPr>
        <w:pStyle w:val="17"/>
        <w:tabs>
          <w:tab w:val="right" w:leader="dot" w:pos="9638"/>
        </w:tabs>
        <w:spacing w:line="240" w:lineRule="auto"/>
        <w:rPr>
          <w:rFonts w:ascii="仿宋" w:hAnsi="仿宋" w:eastAsia="仿宋" w:cs="仿宋"/>
          <w:sz w:val="24"/>
          <w:szCs w:val="24"/>
        </w:rPr>
      </w:pPr>
      <w:r>
        <w:fldChar w:fldCharType="begin"/>
      </w:r>
      <w:r>
        <w:instrText xml:space="preserve"> HYPERLINK \l "_Toc4453" </w:instrText>
      </w:r>
      <w:r>
        <w:fldChar w:fldCharType="separate"/>
      </w:r>
      <w:r>
        <w:rPr>
          <w:rFonts w:hint="eastAsia" w:ascii="仿宋" w:hAnsi="仿宋" w:eastAsia="仿宋" w:cs="仿宋"/>
          <w:sz w:val="24"/>
          <w:szCs w:val="24"/>
        </w:rPr>
        <w:t>（三）法定代表人（负责人）授权委托书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_Toc4453 \h </w:instrText>
      </w:r>
      <w:r>
        <w:rPr>
          <w:rFonts w:hint="eastAsia" w:ascii="仿宋" w:hAnsi="仿宋" w:eastAsia="仿宋" w:cs="仿宋"/>
          <w:sz w:val="24"/>
          <w:szCs w:val="24"/>
        </w:rPr>
        <w:fldChar w:fldCharType="separate"/>
      </w:r>
      <w:r>
        <w:rPr>
          <w:rFonts w:hint="eastAsia" w:ascii="仿宋" w:hAnsi="仿宋" w:eastAsia="仿宋" w:cs="仿宋"/>
          <w:sz w:val="24"/>
          <w:szCs w:val="24"/>
        </w:rPr>
        <w:t>63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CDAD2E0">
      <w:pPr>
        <w:pStyle w:val="17"/>
        <w:tabs>
          <w:tab w:val="right" w:leader="dot" w:pos="9638"/>
        </w:tabs>
        <w:spacing w:line="240" w:lineRule="auto"/>
        <w:rPr>
          <w:rFonts w:ascii="仿宋" w:hAnsi="仿宋" w:eastAsia="仿宋" w:cs="仿宋"/>
          <w:sz w:val="24"/>
          <w:szCs w:val="24"/>
        </w:rPr>
      </w:pPr>
      <w:r>
        <w:fldChar w:fldCharType="begin"/>
      </w:r>
      <w:r>
        <w:instrText xml:space="preserve"> HYPERLINK \l "_Toc30360" </w:instrText>
      </w:r>
      <w:r>
        <w:fldChar w:fldCharType="separate"/>
      </w:r>
      <w:r>
        <w:rPr>
          <w:rFonts w:hint="eastAsia" w:ascii="仿宋" w:hAnsi="仿宋" w:eastAsia="仿宋" w:cs="仿宋"/>
          <w:sz w:val="24"/>
          <w:szCs w:val="24"/>
        </w:rPr>
        <w:t>（四）资格证明文件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_Toc30360 \h </w:instrText>
      </w:r>
      <w:r>
        <w:rPr>
          <w:rFonts w:hint="eastAsia" w:ascii="仿宋" w:hAnsi="仿宋" w:eastAsia="仿宋" w:cs="仿宋"/>
          <w:sz w:val="24"/>
          <w:szCs w:val="24"/>
        </w:rPr>
        <w:fldChar w:fldCharType="separate"/>
      </w:r>
      <w:r>
        <w:rPr>
          <w:rFonts w:hint="eastAsia" w:ascii="仿宋" w:hAnsi="仿宋" w:eastAsia="仿宋" w:cs="仿宋"/>
          <w:sz w:val="24"/>
          <w:szCs w:val="24"/>
        </w:rPr>
        <w:t>64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975F0F1">
      <w:pPr>
        <w:pStyle w:val="17"/>
        <w:tabs>
          <w:tab w:val="right" w:leader="dot" w:pos="9638"/>
        </w:tabs>
        <w:spacing w:line="240" w:lineRule="auto"/>
        <w:rPr>
          <w:rFonts w:ascii="仿宋" w:hAnsi="仿宋" w:eastAsia="仿宋" w:cs="仿宋"/>
          <w:sz w:val="24"/>
          <w:szCs w:val="24"/>
        </w:rPr>
      </w:pPr>
      <w:r>
        <w:fldChar w:fldCharType="begin"/>
      </w:r>
      <w:r>
        <w:instrText xml:space="preserve"> HYPERLINK \l "_Toc8469" </w:instrText>
      </w:r>
      <w:r>
        <w:fldChar w:fldCharType="separate"/>
      </w:r>
      <w:r>
        <w:rPr>
          <w:rFonts w:hint="eastAsia" w:ascii="仿宋" w:hAnsi="仿宋" w:eastAsia="仿宋" w:cs="仿宋"/>
          <w:sz w:val="24"/>
          <w:szCs w:val="24"/>
        </w:rPr>
        <w:t>（五）投标人须知应答偏离表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_Toc8469 \h </w:instrText>
      </w:r>
      <w:r>
        <w:rPr>
          <w:rFonts w:hint="eastAsia" w:ascii="仿宋" w:hAnsi="仿宋" w:eastAsia="仿宋" w:cs="仿宋"/>
          <w:sz w:val="24"/>
          <w:szCs w:val="24"/>
        </w:rPr>
        <w:fldChar w:fldCharType="separate"/>
      </w:r>
      <w:r>
        <w:rPr>
          <w:rFonts w:hint="eastAsia" w:ascii="仿宋" w:hAnsi="仿宋" w:eastAsia="仿宋" w:cs="仿宋"/>
          <w:sz w:val="24"/>
          <w:szCs w:val="24"/>
        </w:rPr>
        <w:t>64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33B341D">
      <w:pPr>
        <w:pStyle w:val="17"/>
        <w:tabs>
          <w:tab w:val="right" w:leader="dot" w:pos="9638"/>
        </w:tabs>
        <w:spacing w:line="240" w:lineRule="auto"/>
        <w:rPr>
          <w:rFonts w:ascii="仿宋" w:hAnsi="仿宋" w:eastAsia="仿宋" w:cs="仿宋"/>
          <w:sz w:val="24"/>
          <w:szCs w:val="24"/>
        </w:rPr>
      </w:pPr>
      <w:r>
        <w:fldChar w:fldCharType="begin"/>
      </w:r>
      <w:r>
        <w:instrText xml:space="preserve"> HYPERLINK \l "_Toc9422" </w:instrText>
      </w:r>
      <w:r>
        <w:fldChar w:fldCharType="separate"/>
      </w:r>
      <w:r>
        <w:rPr>
          <w:rFonts w:hint="eastAsia" w:ascii="仿宋" w:hAnsi="仿宋" w:eastAsia="仿宋" w:cs="仿宋"/>
          <w:sz w:val="24"/>
          <w:szCs w:val="24"/>
        </w:rPr>
        <w:t>（六）合同条款应答偏离表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_Toc9422 \h </w:instrText>
      </w:r>
      <w:r>
        <w:rPr>
          <w:rFonts w:hint="eastAsia" w:ascii="仿宋" w:hAnsi="仿宋" w:eastAsia="仿宋" w:cs="仿宋"/>
          <w:sz w:val="24"/>
          <w:szCs w:val="24"/>
        </w:rPr>
        <w:fldChar w:fldCharType="separate"/>
      </w:r>
      <w:r>
        <w:rPr>
          <w:rFonts w:hint="eastAsia" w:ascii="仿宋" w:hAnsi="仿宋" w:eastAsia="仿宋" w:cs="仿宋"/>
          <w:sz w:val="24"/>
          <w:szCs w:val="24"/>
        </w:rPr>
        <w:t>73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DD4159A">
      <w:pPr>
        <w:pStyle w:val="17"/>
        <w:tabs>
          <w:tab w:val="right" w:leader="dot" w:pos="9638"/>
        </w:tabs>
        <w:spacing w:line="240" w:lineRule="auto"/>
        <w:rPr>
          <w:rFonts w:ascii="仿宋" w:hAnsi="仿宋" w:eastAsia="仿宋" w:cs="仿宋"/>
          <w:sz w:val="24"/>
          <w:szCs w:val="24"/>
        </w:rPr>
      </w:pPr>
      <w:r>
        <w:fldChar w:fldCharType="begin"/>
      </w:r>
      <w:r>
        <w:instrText xml:space="preserve"> HYPERLINK \l "_Toc7110" </w:instrText>
      </w:r>
      <w:r>
        <w:fldChar w:fldCharType="separate"/>
      </w:r>
      <w:r>
        <w:rPr>
          <w:rFonts w:hint="eastAsia" w:ascii="仿宋" w:hAnsi="仿宋" w:eastAsia="仿宋" w:cs="仿宋"/>
          <w:sz w:val="24"/>
          <w:szCs w:val="24"/>
        </w:rPr>
        <w:t>（七）供应商行为准则承诺书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_Toc7110 \h </w:instrText>
      </w:r>
      <w:r>
        <w:rPr>
          <w:rFonts w:hint="eastAsia" w:ascii="仿宋" w:hAnsi="仿宋" w:eastAsia="仿宋" w:cs="仿宋"/>
          <w:sz w:val="24"/>
          <w:szCs w:val="24"/>
        </w:rPr>
        <w:fldChar w:fldCharType="separate"/>
      </w:r>
      <w:r>
        <w:rPr>
          <w:rFonts w:hint="eastAsia" w:ascii="仿宋" w:hAnsi="仿宋" w:eastAsia="仿宋" w:cs="仿宋"/>
          <w:sz w:val="24"/>
          <w:szCs w:val="24"/>
        </w:rPr>
        <w:t>74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F2329AF">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"_Toc19814" </w:instrText>
      </w:r>
      <w:r>
        <w:fldChar w:fldCharType="separate"/>
      </w:r>
      <w:r>
        <w:rPr>
          <w:rFonts w:hint="eastAsia" w:ascii="仿宋" w:hAnsi="仿宋" w:eastAsia="仿宋" w:cs="仿宋"/>
          <w:sz w:val="24"/>
          <w:szCs w:val="24"/>
        </w:rPr>
        <w:t>（八）供应商廉洁诚信承诺书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_Toc19814 \h </w:instrText>
      </w:r>
      <w:r>
        <w:rPr>
          <w:rFonts w:hint="eastAsia" w:ascii="仿宋" w:hAnsi="仿宋" w:eastAsia="仿宋" w:cs="仿宋"/>
          <w:sz w:val="24"/>
          <w:szCs w:val="24"/>
        </w:rPr>
        <w:fldChar w:fldCharType="separate"/>
      </w:r>
      <w:r>
        <w:rPr>
          <w:rFonts w:hint="eastAsia" w:ascii="仿宋" w:hAnsi="仿宋" w:eastAsia="仿宋" w:cs="仿宋"/>
          <w:sz w:val="24"/>
          <w:szCs w:val="24"/>
        </w:rPr>
        <w:t>76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4390346">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"_Toc24092" </w:instrText>
      </w:r>
      <w:r>
        <w:fldChar w:fldCharType="separate"/>
      </w:r>
      <w:r>
        <w:rPr>
          <w:rFonts w:hint="eastAsia" w:ascii="仿宋" w:hAnsi="仿宋" w:eastAsia="仿宋" w:cs="仿宋"/>
          <w:sz w:val="24"/>
          <w:szCs w:val="24"/>
        </w:rPr>
        <w:t>（九）企业证书一览表(资质证书)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_Toc24092 \h </w:instrText>
      </w:r>
      <w:r>
        <w:rPr>
          <w:rFonts w:hint="eastAsia" w:ascii="仿宋" w:hAnsi="仿宋" w:eastAsia="仿宋" w:cs="仿宋"/>
          <w:sz w:val="24"/>
          <w:szCs w:val="24"/>
        </w:rPr>
        <w:fldChar w:fldCharType="separate"/>
      </w:r>
      <w:r>
        <w:rPr>
          <w:rFonts w:hint="eastAsia" w:ascii="仿宋" w:hAnsi="仿宋" w:eastAsia="仿宋" w:cs="仿宋"/>
          <w:sz w:val="24"/>
          <w:szCs w:val="24"/>
        </w:rPr>
        <w:t>79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94D6E78">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"_Toc16297" </w:instrText>
      </w:r>
      <w:r>
        <w:fldChar w:fldCharType="separate"/>
      </w:r>
      <w:r>
        <w:rPr>
          <w:rFonts w:hint="eastAsia" w:ascii="仿宋" w:hAnsi="仿宋" w:eastAsia="仿宋" w:cs="仿宋"/>
          <w:sz w:val="24"/>
          <w:szCs w:val="24"/>
        </w:rPr>
        <w:t>（十）同类项目汇总表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_Toc16297 \h </w:instrText>
      </w:r>
      <w:r>
        <w:rPr>
          <w:rFonts w:hint="eastAsia" w:ascii="仿宋" w:hAnsi="仿宋" w:eastAsia="仿宋" w:cs="仿宋"/>
          <w:sz w:val="24"/>
          <w:szCs w:val="24"/>
        </w:rPr>
        <w:fldChar w:fldCharType="separate"/>
      </w:r>
      <w:r>
        <w:rPr>
          <w:rFonts w:hint="eastAsia" w:ascii="仿宋" w:hAnsi="仿宋" w:eastAsia="仿宋" w:cs="仿宋"/>
          <w:sz w:val="24"/>
          <w:szCs w:val="24"/>
        </w:rPr>
        <w:t>80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AEA4E1B">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"_Toc2083" </w:instrText>
      </w:r>
      <w:r>
        <w:fldChar w:fldCharType="separate"/>
      </w:r>
      <w:r>
        <w:rPr>
          <w:rFonts w:hint="eastAsia" w:ascii="仿宋" w:hAnsi="仿宋" w:eastAsia="仿宋" w:cs="仿宋"/>
          <w:sz w:val="24"/>
          <w:szCs w:val="24"/>
        </w:rPr>
        <w:t>（十一）其他材料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_Toc2083 \h </w:instrText>
      </w:r>
      <w:r>
        <w:rPr>
          <w:rFonts w:hint="eastAsia" w:ascii="仿宋" w:hAnsi="仿宋" w:eastAsia="仿宋" w:cs="仿宋"/>
          <w:sz w:val="24"/>
          <w:szCs w:val="24"/>
        </w:rPr>
        <w:fldChar w:fldCharType="separate"/>
      </w:r>
      <w:r>
        <w:rPr>
          <w:rFonts w:hint="eastAsia" w:ascii="仿宋" w:hAnsi="仿宋" w:eastAsia="仿宋" w:cs="仿宋"/>
          <w:sz w:val="24"/>
          <w:szCs w:val="24"/>
        </w:rPr>
        <w:t>81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1F305FC">
      <w:pPr>
        <w:pStyle w:val="29"/>
        <w:tabs>
          <w:tab w:val="right" w:leader="dot" w:pos="9638"/>
        </w:tabs>
        <w:spacing w:line="240" w:lineRule="auto"/>
        <w:rPr>
          <w:rFonts w:ascii="仿宋" w:hAnsi="仿宋" w:eastAsia="仿宋" w:cs="仿宋"/>
          <w:sz w:val="24"/>
          <w:szCs w:val="24"/>
        </w:rPr>
      </w:pPr>
      <w:r>
        <w:fldChar w:fldCharType="begin"/>
      </w:r>
      <w:r>
        <w:instrText xml:space="preserve"> HYPERLINK \l "_Toc22267" </w:instrText>
      </w:r>
      <w:r>
        <w:fldChar w:fldCharType="separate"/>
      </w:r>
      <w:r>
        <w:rPr>
          <w:rFonts w:hint="eastAsia" w:ascii="仿宋" w:hAnsi="仿宋" w:eastAsia="仿宋" w:cs="仿宋"/>
          <w:sz w:val="24"/>
          <w:szCs w:val="24"/>
        </w:rPr>
        <w:t>二、技术文件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_Toc22267 \h </w:instrText>
      </w:r>
      <w:r>
        <w:rPr>
          <w:rFonts w:hint="eastAsia" w:ascii="仿宋" w:hAnsi="仿宋" w:eastAsia="仿宋" w:cs="仿宋"/>
          <w:sz w:val="24"/>
          <w:szCs w:val="24"/>
        </w:rPr>
        <w:fldChar w:fldCharType="separate"/>
      </w:r>
      <w:r>
        <w:rPr>
          <w:rFonts w:hint="eastAsia" w:ascii="仿宋" w:hAnsi="仿宋" w:eastAsia="仿宋" w:cs="仿宋"/>
          <w:sz w:val="24"/>
          <w:szCs w:val="24"/>
        </w:rPr>
        <w:t>81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2C9A577">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"_Toc28095" </w:instrText>
      </w:r>
      <w:r>
        <w:fldChar w:fldCharType="separate"/>
      </w:r>
      <w:r>
        <w:rPr>
          <w:rFonts w:hint="eastAsia" w:ascii="仿宋" w:hAnsi="仿宋" w:eastAsia="仿宋" w:cs="仿宋"/>
          <w:sz w:val="24"/>
          <w:szCs w:val="24"/>
        </w:rPr>
        <w:t>详细评审索引表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_Toc28095 \h </w:instrText>
      </w:r>
      <w:r>
        <w:rPr>
          <w:rFonts w:hint="eastAsia" w:ascii="仿宋" w:hAnsi="仿宋" w:eastAsia="仿宋" w:cs="仿宋"/>
          <w:sz w:val="24"/>
          <w:szCs w:val="24"/>
        </w:rPr>
        <w:fldChar w:fldCharType="separate"/>
      </w:r>
      <w:r>
        <w:rPr>
          <w:rFonts w:hint="eastAsia" w:ascii="仿宋" w:hAnsi="仿宋" w:eastAsia="仿宋" w:cs="仿宋"/>
          <w:sz w:val="24"/>
          <w:szCs w:val="24"/>
        </w:rPr>
        <w:t>81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DBB5DF2">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"_Toc17023" </w:instrText>
      </w:r>
      <w:r>
        <w:fldChar w:fldCharType="separate"/>
      </w:r>
      <w:r>
        <w:rPr>
          <w:rFonts w:hint="eastAsia" w:ascii="仿宋" w:hAnsi="仿宋" w:eastAsia="仿宋" w:cs="仿宋"/>
          <w:sz w:val="24"/>
          <w:szCs w:val="24"/>
        </w:rPr>
        <w:t>（一）技术规范书应答偏离表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_Toc17023 \h </w:instrText>
      </w:r>
      <w:r>
        <w:rPr>
          <w:rFonts w:hint="eastAsia" w:ascii="仿宋" w:hAnsi="仿宋" w:eastAsia="仿宋" w:cs="仿宋"/>
          <w:sz w:val="24"/>
          <w:szCs w:val="24"/>
        </w:rPr>
        <w:fldChar w:fldCharType="separate"/>
      </w:r>
      <w:r>
        <w:rPr>
          <w:rFonts w:hint="eastAsia" w:ascii="仿宋" w:hAnsi="仿宋" w:eastAsia="仿宋" w:cs="仿宋"/>
          <w:sz w:val="24"/>
          <w:szCs w:val="24"/>
        </w:rPr>
        <w:t>82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EDDEC6F">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"_Toc20554" </w:instrText>
      </w:r>
      <w:r>
        <w:fldChar w:fldCharType="separate"/>
      </w:r>
      <w:r>
        <w:rPr>
          <w:rFonts w:hint="eastAsia" w:ascii="仿宋" w:hAnsi="仿宋" w:eastAsia="仿宋" w:cs="仿宋"/>
          <w:sz w:val="24"/>
          <w:szCs w:val="24"/>
        </w:rPr>
        <w:t>（二）技术方案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_Toc20554 \h </w:instrText>
      </w:r>
      <w:r>
        <w:rPr>
          <w:rFonts w:hint="eastAsia" w:ascii="仿宋" w:hAnsi="仿宋" w:eastAsia="仿宋" w:cs="仿宋"/>
          <w:sz w:val="24"/>
          <w:szCs w:val="24"/>
        </w:rPr>
        <w:fldChar w:fldCharType="separate"/>
      </w:r>
      <w:r>
        <w:rPr>
          <w:rFonts w:hint="eastAsia" w:ascii="仿宋" w:hAnsi="仿宋" w:eastAsia="仿宋" w:cs="仿宋"/>
          <w:sz w:val="24"/>
          <w:szCs w:val="24"/>
        </w:rPr>
        <w:t>83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E191747">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"_Toc15671" </w:instrText>
      </w:r>
      <w:r>
        <w:fldChar w:fldCharType="separate"/>
      </w:r>
      <w:r>
        <w:rPr>
          <w:rFonts w:hint="eastAsia" w:ascii="仿宋" w:hAnsi="仿宋" w:eastAsia="仿宋" w:cs="仿宋"/>
          <w:sz w:val="24"/>
          <w:szCs w:val="24"/>
        </w:rPr>
        <w:t>（三）其他材料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_Toc15671 \h </w:instrText>
      </w:r>
      <w:r>
        <w:rPr>
          <w:rFonts w:hint="eastAsia" w:ascii="仿宋" w:hAnsi="仿宋" w:eastAsia="仿宋" w:cs="仿宋"/>
          <w:sz w:val="24"/>
          <w:szCs w:val="24"/>
        </w:rPr>
        <w:fldChar w:fldCharType="separate"/>
      </w:r>
      <w:r>
        <w:rPr>
          <w:rFonts w:hint="eastAsia" w:ascii="仿宋" w:hAnsi="仿宋" w:eastAsia="仿宋" w:cs="仿宋"/>
          <w:sz w:val="24"/>
          <w:szCs w:val="24"/>
        </w:rPr>
        <w:t>84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A614967">
      <w:pPr>
        <w:pStyle w:val="29"/>
        <w:tabs>
          <w:tab w:val="right" w:leader="dot" w:pos="9638"/>
        </w:tabs>
        <w:spacing w:line="240" w:lineRule="auto"/>
        <w:rPr>
          <w:rFonts w:ascii="仿宋" w:hAnsi="仿宋" w:eastAsia="仿宋" w:cs="仿宋"/>
          <w:sz w:val="24"/>
          <w:szCs w:val="24"/>
        </w:rPr>
      </w:pPr>
      <w:r>
        <w:fldChar w:fldCharType="begin"/>
      </w:r>
      <w:r>
        <w:instrText xml:space="preserve"> HYPERLINK \l "_Toc17466" </w:instrText>
      </w:r>
      <w:r>
        <w:fldChar w:fldCharType="separate"/>
      </w:r>
      <w:r>
        <w:rPr>
          <w:rFonts w:hint="eastAsia" w:ascii="仿宋" w:hAnsi="仿宋" w:eastAsia="仿宋" w:cs="仿宋"/>
          <w:sz w:val="24"/>
          <w:szCs w:val="24"/>
        </w:rPr>
        <w:t>三、报价文件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_Toc17466 \h </w:instrText>
      </w:r>
      <w:r>
        <w:rPr>
          <w:rFonts w:hint="eastAsia" w:ascii="仿宋" w:hAnsi="仿宋" w:eastAsia="仿宋" w:cs="仿宋"/>
          <w:sz w:val="24"/>
          <w:szCs w:val="24"/>
        </w:rPr>
        <w:fldChar w:fldCharType="separate"/>
      </w:r>
      <w:r>
        <w:rPr>
          <w:rFonts w:hint="eastAsia" w:ascii="仿宋" w:hAnsi="仿宋" w:eastAsia="仿宋" w:cs="仿宋"/>
          <w:sz w:val="24"/>
          <w:szCs w:val="24"/>
        </w:rPr>
        <w:t>85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978303B">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"_Toc21440" </w:instrText>
      </w:r>
      <w:r>
        <w:fldChar w:fldCharType="separate"/>
      </w:r>
      <w:r>
        <w:rPr>
          <w:rFonts w:hint="eastAsia" w:ascii="仿宋" w:hAnsi="仿宋" w:eastAsia="仿宋" w:cs="仿宋"/>
          <w:sz w:val="24"/>
          <w:szCs w:val="24"/>
        </w:rPr>
        <w:t>（一）投标一览表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_Toc21440 \h </w:instrText>
      </w:r>
      <w:r>
        <w:rPr>
          <w:rFonts w:hint="eastAsia" w:ascii="仿宋" w:hAnsi="仿宋" w:eastAsia="仿宋" w:cs="仿宋"/>
          <w:sz w:val="24"/>
          <w:szCs w:val="24"/>
        </w:rPr>
        <w:fldChar w:fldCharType="separate"/>
      </w:r>
      <w:r>
        <w:rPr>
          <w:rFonts w:hint="eastAsia" w:ascii="仿宋" w:hAnsi="仿宋" w:eastAsia="仿宋" w:cs="仿宋"/>
          <w:sz w:val="24"/>
          <w:szCs w:val="24"/>
        </w:rPr>
        <w:t>85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C6AA78F">
      <w:pPr>
        <w:pStyle w:val="17"/>
        <w:tabs>
          <w:tab w:val="right" w:leader="dot" w:pos="9638"/>
        </w:tabs>
        <w:spacing w:line="240" w:lineRule="auto"/>
        <w:rPr>
          <w:rFonts w:ascii="仿宋" w:hAnsi="仿宋" w:eastAsia="仿宋" w:cs="仿宋"/>
          <w:sz w:val="24"/>
          <w:szCs w:val="24"/>
        </w:rPr>
      </w:pPr>
      <w:r>
        <w:fldChar w:fldCharType="begin"/>
      </w:r>
      <w:r>
        <w:instrText xml:space="preserve"> HYPERLINK \l "_Toc19888" </w:instrText>
      </w:r>
      <w:r>
        <w:fldChar w:fldCharType="separate"/>
      </w:r>
      <w:r>
        <w:rPr>
          <w:rFonts w:hint="eastAsia" w:ascii="仿宋" w:hAnsi="仿宋" w:eastAsia="仿宋" w:cs="仿宋"/>
          <w:sz w:val="24"/>
          <w:szCs w:val="24"/>
        </w:rPr>
        <w:t>（二）投标保证金汇款凭证</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_Toc19888 \h </w:instrText>
      </w:r>
      <w:r>
        <w:rPr>
          <w:rFonts w:hint="eastAsia" w:ascii="仿宋" w:hAnsi="仿宋" w:eastAsia="仿宋" w:cs="仿宋"/>
          <w:sz w:val="24"/>
          <w:szCs w:val="24"/>
        </w:rPr>
        <w:fldChar w:fldCharType="separate"/>
      </w:r>
      <w:r>
        <w:rPr>
          <w:rFonts w:hint="eastAsia" w:ascii="仿宋" w:hAnsi="仿宋" w:eastAsia="仿宋" w:cs="仿宋"/>
          <w:sz w:val="24"/>
          <w:szCs w:val="24"/>
        </w:rPr>
        <w:t>87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7A520A4">
      <w:pPr>
        <w:pStyle w:val="17"/>
        <w:tabs>
          <w:tab w:val="right" w:leader="dot" w:pos="9638"/>
        </w:tabs>
        <w:spacing w:line="240" w:lineRule="auto"/>
        <w:rPr>
          <w:rFonts w:ascii="仿宋" w:hAnsi="仿宋" w:eastAsia="仿宋" w:cs="仿宋"/>
          <w:sz w:val="24"/>
          <w:szCs w:val="24"/>
        </w:rPr>
      </w:pPr>
      <w:r>
        <w:fldChar w:fldCharType="begin"/>
      </w:r>
      <w:r>
        <w:instrText xml:space="preserve"> HYPERLINK \l "_Toc25550" </w:instrText>
      </w:r>
      <w:r>
        <w:fldChar w:fldCharType="separate"/>
      </w:r>
      <w:r>
        <w:rPr>
          <w:rFonts w:hint="eastAsia" w:ascii="仿宋" w:hAnsi="仿宋" w:eastAsia="仿宋" w:cs="仿宋"/>
          <w:sz w:val="24"/>
          <w:szCs w:val="24"/>
        </w:rPr>
        <w:t>（三）招标代理服务费确认函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_Toc25550 \h </w:instrText>
      </w:r>
      <w:r>
        <w:rPr>
          <w:rFonts w:hint="eastAsia" w:ascii="仿宋" w:hAnsi="仿宋" w:eastAsia="仿宋" w:cs="仿宋"/>
          <w:sz w:val="24"/>
          <w:szCs w:val="24"/>
        </w:rPr>
        <w:fldChar w:fldCharType="separate"/>
      </w:r>
      <w:r>
        <w:rPr>
          <w:rFonts w:hint="eastAsia" w:ascii="仿宋" w:hAnsi="仿宋" w:eastAsia="仿宋" w:cs="仿宋"/>
          <w:sz w:val="24"/>
          <w:szCs w:val="24"/>
        </w:rPr>
        <w:t>88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F90DB19">
      <w:pPr>
        <w:pStyle w:val="24"/>
        <w:tabs>
          <w:tab w:val="right" w:leader="dot" w:pos="9638"/>
        </w:tabs>
        <w:spacing w:line="240" w:lineRule="auto"/>
        <w:rPr>
          <w:rFonts w:ascii="仿宋" w:hAnsi="仿宋" w:eastAsia="仿宋" w:cs="仿宋"/>
          <w:sz w:val="24"/>
          <w:szCs w:val="24"/>
        </w:rPr>
      </w:pPr>
      <w:r>
        <w:fldChar w:fldCharType="begin"/>
      </w:r>
      <w:r>
        <w:instrText xml:space="preserve"> HYPERLINK \l "_Toc23896" </w:instrText>
      </w:r>
      <w:r>
        <w:fldChar w:fldCharType="separate"/>
      </w:r>
      <w:r>
        <w:rPr>
          <w:rFonts w:hint="eastAsia" w:ascii="仿宋" w:hAnsi="仿宋" w:eastAsia="仿宋" w:cs="仿宋"/>
          <w:sz w:val="24"/>
          <w:szCs w:val="24"/>
        </w:rPr>
        <w:t>第七章 供应商黑名单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_Toc23896 \h </w:instrText>
      </w:r>
      <w:r>
        <w:rPr>
          <w:rFonts w:hint="eastAsia" w:ascii="仿宋" w:hAnsi="仿宋" w:eastAsia="仿宋" w:cs="仿宋"/>
          <w:sz w:val="24"/>
          <w:szCs w:val="24"/>
        </w:rPr>
        <w:fldChar w:fldCharType="separate"/>
      </w:r>
      <w:r>
        <w:rPr>
          <w:rFonts w:hint="eastAsia" w:ascii="仿宋" w:hAnsi="仿宋" w:eastAsia="仿宋" w:cs="仿宋"/>
          <w:sz w:val="24"/>
          <w:szCs w:val="24"/>
        </w:rPr>
        <w:t>89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25E4639">
      <w:pPr>
        <w:tabs>
          <w:tab w:val="right" w:leader="dot" w:pos="8296"/>
        </w:tabs>
        <w:spacing w:line="240" w:lineRule="auto"/>
        <w:jc w:val="left"/>
        <w:rPr>
          <w:rFonts w:ascii="仿宋" w:hAnsi="仿宋" w:eastAsia="仿宋" w:cs="仿宋"/>
          <w:szCs w:val="21"/>
        </w:rPr>
      </w:pPr>
      <w:r>
        <w:rPr>
          <w:rFonts w:hint="eastAsia" w:ascii="仿宋" w:hAnsi="仿宋" w:eastAsia="仿宋" w:cs="仿宋"/>
          <w:sz w:val="24"/>
          <w:szCs w:val="24"/>
        </w:rPr>
        <w:fldChar w:fldCharType="end"/>
      </w:r>
    </w:p>
    <w:p w14:paraId="20088A18">
      <w:pPr>
        <w:pStyle w:val="3"/>
        <w:spacing w:before="0" w:after="0" w:line="360" w:lineRule="auto"/>
        <w:rPr>
          <w:rFonts w:ascii="仿宋" w:hAnsi="仿宋" w:cs="仿宋"/>
        </w:rPr>
      </w:pPr>
      <w:r>
        <w:rPr>
          <w:rFonts w:hint="eastAsia" w:ascii="仿宋" w:hAnsi="仿宋" w:cs="仿宋"/>
          <w:b w:val="0"/>
        </w:rPr>
        <w:br w:type="page"/>
      </w:r>
      <w:bookmarkStart w:id="0" w:name="_Toc9649"/>
      <w:bookmarkStart w:id="1" w:name="_Toc14796"/>
      <w:bookmarkStart w:id="2" w:name="_Toc9208"/>
      <w:bookmarkStart w:id="3" w:name="_Toc109124222"/>
      <w:bookmarkStart w:id="4" w:name="_Toc7914"/>
      <w:bookmarkStart w:id="5" w:name="_Toc11854"/>
      <w:bookmarkStart w:id="6" w:name="_Toc65682912"/>
      <w:r>
        <w:rPr>
          <w:rFonts w:hint="eastAsia" w:ascii="仿宋" w:hAnsi="仿宋" w:cs="仿宋"/>
        </w:rPr>
        <w:t xml:space="preserve">第一章 </w:t>
      </w:r>
      <w:bookmarkEnd w:id="0"/>
      <w:bookmarkEnd w:id="1"/>
      <w:bookmarkEnd w:id="2"/>
      <w:r>
        <w:rPr>
          <w:rFonts w:hint="eastAsia" w:ascii="仿宋" w:hAnsi="仿宋" w:cs="仿宋"/>
        </w:rPr>
        <w:t>招标公告</w:t>
      </w:r>
      <w:bookmarkEnd w:id="3"/>
      <w:bookmarkEnd w:id="4"/>
      <w:bookmarkEnd w:id="5"/>
      <w:bookmarkEnd w:id="6"/>
    </w:p>
    <w:p w14:paraId="2ED4742A">
      <w:pPr>
        <w:pStyle w:val="4"/>
        <w:rPr>
          <w:rFonts w:ascii="仿宋" w:hAnsi="仿宋" w:cs="仿宋"/>
          <w:szCs w:val="24"/>
        </w:rPr>
      </w:pPr>
      <w:bookmarkStart w:id="7" w:name="_Toc10131"/>
      <w:bookmarkStart w:id="8" w:name="_Toc24950"/>
      <w:bookmarkStart w:id="9" w:name="_Toc25200"/>
      <w:bookmarkStart w:id="10" w:name="_Toc2750"/>
      <w:bookmarkStart w:id="11" w:name="_Toc65682913"/>
      <w:bookmarkStart w:id="12" w:name="_Toc109124223"/>
      <w:bookmarkStart w:id="13" w:name="_Toc16096"/>
      <w:bookmarkStart w:id="14" w:name="_Toc19565"/>
      <w:bookmarkStart w:id="15" w:name="_Toc23271"/>
      <w:r>
        <w:rPr>
          <w:rFonts w:hint="eastAsia" w:ascii="仿宋" w:hAnsi="仿宋" w:cs="仿宋"/>
          <w:szCs w:val="24"/>
        </w:rPr>
        <w:t>一、</w:t>
      </w:r>
      <w:bookmarkEnd w:id="7"/>
      <w:bookmarkEnd w:id="8"/>
      <w:bookmarkEnd w:id="9"/>
      <w:r>
        <w:rPr>
          <w:rFonts w:hint="eastAsia" w:ascii="仿宋" w:hAnsi="仿宋" w:cs="仿宋"/>
          <w:szCs w:val="24"/>
        </w:rPr>
        <w:t>招标条件</w:t>
      </w:r>
      <w:bookmarkEnd w:id="10"/>
      <w:bookmarkEnd w:id="11"/>
      <w:bookmarkEnd w:id="12"/>
      <w:bookmarkEnd w:id="13"/>
      <w:bookmarkEnd w:id="14"/>
      <w:bookmarkEnd w:id="15"/>
    </w:p>
    <w:p w14:paraId="5E2108D6">
      <w:pPr>
        <w:wordWrap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本招标项目</w:t>
      </w:r>
      <w:r>
        <w:rPr>
          <w:rFonts w:hint="eastAsia" w:ascii="仿宋" w:hAnsi="仿宋" w:eastAsia="仿宋" w:cs="仿宋"/>
          <w:sz w:val="24"/>
          <w:szCs w:val="24"/>
          <w:u w:val="single"/>
        </w:rPr>
        <w:t>人保财险广东广州市分公司驻人保大厦全体员工洗衣服务采购项目</w:t>
      </w:r>
      <w:r>
        <w:rPr>
          <w:rFonts w:hint="eastAsia" w:ascii="仿宋" w:hAnsi="仿宋" w:eastAsia="仿宋" w:cs="仿宋"/>
          <w:sz w:val="24"/>
          <w:szCs w:val="24"/>
        </w:rPr>
        <w:t>（</w:t>
      </w:r>
      <w:r>
        <w:rPr>
          <w:rFonts w:hint="eastAsia" w:ascii="仿宋" w:hAnsi="仿宋" w:eastAsia="仿宋" w:cs="仿宋"/>
          <w:sz w:val="24"/>
        </w:rPr>
        <w:t>招标代理</w:t>
      </w:r>
      <w:r>
        <w:rPr>
          <w:rFonts w:hint="eastAsia" w:ascii="仿宋" w:hAnsi="仿宋" w:eastAsia="仿宋" w:cs="仿宋"/>
          <w:sz w:val="24"/>
          <w:szCs w:val="24"/>
        </w:rPr>
        <w:t>项目编号：ZJZB-2025-14642）</w:t>
      </w:r>
      <w:bookmarkStart w:id="16" w:name="_Hlk69906010"/>
      <w:r>
        <w:rPr>
          <w:rFonts w:hint="eastAsia" w:ascii="仿宋" w:hAnsi="仿宋" w:eastAsia="仿宋" w:cs="仿宋"/>
          <w:sz w:val="24"/>
          <w:szCs w:val="24"/>
        </w:rPr>
        <w:t>由</w:t>
      </w:r>
      <w:r>
        <w:rPr>
          <w:rFonts w:hint="eastAsia" w:ascii="仿宋" w:hAnsi="仿宋" w:eastAsia="仿宋" w:cs="仿宋"/>
          <w:sz w:val="24"/>
          <w:szCs w:val="24"/>
          <w:u w:val="single"/>
        </w:rPr>
        <w:t>中国人民财产保险股份有限公司广州市分公司</w:t>
      </w:r>
      <w:r>
        <w:rPr>
          <w:rFonts w:hint="eastAsia" w:ascii="仿宋" w:hAnsi="仿宋" w:eastAsia="仿宋" w:cs="仿宋"/>
          <w:sz w:val="24"/>
          <w:szCs w:val="24"/>
        </w:rPr>
        <w:t>（以下简称“招标人”）采购，落实资金，组织本项目的相关招标工作，采购合同由</w:t>
      </w:r>
      <w:r>
        <w:rPr>
          <w:rFonts w:hint="eastAsia" w:ascii="仿宋" w:hAnsi="仿宋" w:eastAsia="仿宋" w:cs="仿宋"/>
          <w:sz w:val="24"/>
          <w:szCs w:val="24"/>
          <w:u w:val="single"/>
        </w:rPr>
        <w:t>中国人民财产保险股份有限公司广州市分公司</w:t>
      </w:r>
      <w:r>
        <w:rPr>
          <w:rFonts w:hint="eastAsia" w:ascii="仿宋" w:hAnsi="仿宋" w:eastAsia="仿宋" w:cs="仿宋"/>
          <w:sz w:val="24"/>
          <w:szCs w:val="24"/>
        </w:rPr>
        <w:t>根据中标结果与中标人签署。</w:t>
      </w:r>
      <w:bookmarkEnd w:id="16"/>
      <w:r>
        <w:rPr>
          <w:rFonts w:hint="eastAsia" w:ascii="仿宋" w:hAnsi="仿宋" w:eastAsia="仿宋" w:cs="仿宋"/>
          <w:sz w:val="24"/>
          <w:szCs w:val="24"/>
        </w:rPr>
        <w:t>现委托</w:t>
      </w:r>
      <w:r>
        <w:rPr>
          <w:rFonts w:hint="eastAsia" w:ascii="仿宋" w:hAnsi="仿宋" w:eastAsia="仿宋" w:cs="仿宋"/>
          <w:sz w:val="24"/>
          <w:szCs w:val="24"/>
          <w:u w:val="single"/>
        </w:rPr>
        <w:t>中捷通信有限公司</w:t>
      </w:r>
      <w:r>
        <w:rPr>
          <w:rFonts w:hint="eastAsia" w:ascii="仿宋" w:hAnsi="仿宋" w:eastAsia="仿宋" w:cs="仿宋"/>
          <w:sz w:val="24"/>
          <w:szCs w:val="24"/>
        </w:rPr>
        <w:t>（以下简称“招标代理机构”）进行公开招标，有意向且具有提供标的物能力的潜在投标人（以下简称“投标人”）可前来投标。</w:t>
      </w:r>
    </w:p>
    <w:p w14:paraId="4F3EA0B3">
      <w:pPr>
        <w:pStyle w:val="4"/>
        <w:rPr>
          <w:rFonts w:ascii="仿宋" w:hAnsi="仿宋" w:cs="仿宋"/>
          <w:szCs w:val="24"/>
        </w:rPr>
      </w:pPr>
      <w:bookmarkStart w:id="17" w:name="_Toc65682914"/>
      <w:bookmarkStart w:id="18" w:name="_Toc18478"/>
      <w:bookmarkStart w:id="19" w:name="_Toc12475"/>
      <w:bookmarkStart w:id="20" w:name="_Toc26163"/>
      <w:bookmarkStart w:id="21" w:name="_Toc1608"/>
      <w:bookmarkStart w:id="22" w:name="_Toc109124224"/>
      <w:r>
        <w:rPr>
          <w:rFonts w:hint="eastAsia" w:ascii="仿宋" w:hAnsi="仿宋" w:cs="仿宋"/>
          <w:szCs w:val="24"/>
        </w:rPr>
        <w:t>二、项目概况与招标范围</w:t>
      </w:r>
      <w:bookmarkEnd w:id="17"/>
      <w:bookmarkEnd w:id="18"/>
      <w:bookmarkEnd w:id="19"/>
      <w:bookmarkEnd w:id="20"/>
      <w:bookmarkEnd w:id="21"/>
      <w:bookmarkEnd w:id="22"/>
    </w:p>
    <w:p w14:paraId="5C64BAE3">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2.1项目名称：</w:t>
      </w:r>
      <w:r>
        <w:rPr>
          <w:rFonts w:hint="eastAsia" w:ascii="仿宋" w:hAnsi="仿宋" w:eastAsia="仿宋" w:cs="仿宋"/>
          <w:sz w:val="24"/>
          <w:szCs w:val="24"/>
          <w:u w:val="single"/>
        </w:rPr>
        <w:t>人保财险广东广州市分公司驻人保大厦全体员工洗衣服务采购项目</w:t>
      </w:r>
      <w:r>
        <w:rPr>
          <w:rFonts w:hint="eastAsia" w:ascii="仿宋" w:hAnsi="仿宋" w:eastAsia="仿宋" w:cs="仿宋"/>
          <w:sz w:val="24"/>
          <w:szCs w:val="24"/>
        </w:rPr>
        <w:t>。</w:t>
      </w:r>
    </w:p>
    <w:p w14:paraId="70C54835">
      <w:pPr>
        <w:spacing w:line="360" w:lineRule="auto"/>
        <w:ind w:firstLine="480" w:firstLineChars="200"/>
        <w:textAlignment w:val="baseline"/>
        <w:rPr>
          <w:rFonts w:ascii="仿宋" w:hAnsi="仿宋" w:eastAsia="仿宋" w:cs="仿宋"/>
          <w:kern w:val="0"/>
          <w:sz w:val="24"/>
          <w:szCs w:val="24"/>
          <w:lang w:bidi="ar"/>
        </w:rPr>
      </w:pPr>
      <w:r>
        <w:rPr>
          <w:rFonts w:hint="eastAsia" w:ascii="仿宋" w:hAnsi="仿宋" w:eastAsia="仿宋" w:cs="仿宋"/>
          <w:sz w:val="24"/>
          <w:szCs w:val="24"/>
        </w:rPr>
        <w:t>2.2招标范围：本项目招标内容是为招标人960位员工提供每人每季度至少4次衣物的洗涤服务，具体内容及要求见招标文件第五章技术规范书</w:t>
      </w:r>
      <w:r>
        <w:rPr>
          <w:rFonts w:hint="eastAsia" w:ascii="仿宋" w:hAnsi="仿宋" w:eastAsia="仿宋" w:cs="仿宋"/>
          <w:kern w:val="0"/>
          <w:sz w:val="24"/>
          <w:szCs w:val="24"/>
          <w:lang w:bidi="ar"/>
        </w:rPr>
        <w:t>。</w:t>
      </w:r>
    </w:p>
    <w:p w14:paraId="11873EC4">
      <w:pPr>
        <w:spacing w:line="360" w:lineRule="auto"/>
        <w:ind w:firstLine="480" w:firstLineChars="200"/>
        <w:textAlignment w:val="baseline"/>
        <w:rPr>
          <w:rFonts w:ascii="仿宋" w:hAnsi="仿宋" w:eastAsia="仿宋" w:cs="仿宋"/>
          <w:sz w:val="24"/>
          <w:szCs w:val="24"/>
        </w:rPr>
      </w:pPr>
      <w:bookmarkStart w:id="23" w:name="_Hlk69456893"/>
      <w:r>
        <w:rPr>
          <w:rFonts w:hint="eastAsia" w:ascii="仿宋" w:hAnsi="仿宋" w:eastAsia="仿宋" w:cs="仿宋"/>
          <w:sz w:val="24"/>
          <w:szCs w:val="24"/>
        </w:rPr>
        <w:t>2.3项目性质：服务。</w:t>
      </w:r>
    </w:p>
    <w:p w14:paraId="277E8809">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2.4标包划分：本项目不划分标包，情况如下：</w:t>
      </w:r>
    </w:p>
    <w:tbl>
      <w:tblPr>
        <w:tblStyle w:val="33"/>
        <w:tblW w:w="34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64"/>
        <w:gridCol w:w="1449"/>
      </w:tblGrid>
      <w:tr w14:paraId="5761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10" w:type="pct"/>
            <w:vAlign w:val="center"/>
          </w:tcPr>
          <w:p w14:paraId="4470613C">
            <w:pPr>
              <w:widowControl/>
              <w:adjustRightInd w:val="0"/>
              <w:snapToGrid w:val="0"/>
              <w:spacing w:line="360" w:lineRule="auto"/>
              <w:jc w:val="center"/>
              <w:rPr>
                <w:rFonts w:ascii="仿宋" w:hAnsi="仿宋" w:eastAsia="仿宋" w:cs="仿宋"/>
                <w:b/>
                <w:bCs/>
                <w:kern w:val="0"/>
                <w:sz w:val="24"/>
                <w:szCs w:val="24"/>
              </w:rPr>
            </w:pPr>
            <w:bookmarkStart w:id="24" w:name="_Toc17299"/>
            <w:bookmarkStart w:id="25" w:name="_Toc65682915"/>
            <w:r>
              <w:rPr>
                <w:rFonts w:hint="eastAsia" w:ascii="仿宋" w:hAnsi="仿宋" w:eastAsia="仿宋" w:cs="仿宋"/>
                <w:b/>
                <w:bCs/>
                <w:kern w:val="0"/>
                <w:sz w:val="24"/>
                <w:szCs w:val="24"/>
              </w:rPr>
              <w:t>服务区域</w:t>
            </w:r>
          </w:p>
        </w:tc>
        <w:tc>
          <w:tcPr>
            <w:tcW w:w="1910" w:type="pct"/>
            <w:vAlign w:val="center"/>
          </w:tcPr>
          <w:p w14:paraId="1D2614BB">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项目总预算（含税）</w:t>
            </w:r>
          </w:p>
        </w:tc>
        <w:tc>
          <w:tcPr>
            <w:tcW w:w="1079" w:type="pct"/>
            <w:vAlign w:val="center"/>
          </w:tcPr>
          <w:p w14:paraId="0A3F4B06">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中标人数量</w:t>
            </w:r>
          </w:p>
        </w:tc>
      </w:tr>
      <w:tr w14:paraId="29FB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010" w:type="pct"/>
          </w:tcPr>
          <w:p w14:paraId="7A5EF845">
            <w:pPr>
              <w:widowControl/>
              <w:topLinePunct/>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广州</w:t>
            </w:r>
          </w:p>
        </w:tc>
        <w:tc>
          <w:tcPr>
            <w:tcW w:w="1910" w:type="pct"/>
            <w:vAlign w:val="center"/>
          </w:tcPr>
          <w:p w14:paraId="4A8FF47D">
            <w:pPr>
              <w:widowControl/>
              <w:adjustRightInd w:val="0"/>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96万元</w:t>
            </w:r>
          </w:p>
        </w:tc>
        <w:tc>
          <w:tcPr>
            <w:tcW w:w="1079" w:type="pct"/>
            <w:vAlign w:val="center"/>
          </w:tcPr>
          <w:p w14:paraId="6BE1A640">
            <w:pPr>
              <w:widowControl/>
              <w:adjustRightInd w:val="0"/>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1家</w:t>
            </w:r>
          </w:p>
        </w:tc>
      </w:tr>
    </w:tbl>
    <w:p w14:paraId="0BDFAA11">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投标人须对采购标的进行整体投标，任何只对标包采购标的其中一部分内容、数量进行的投标都被视为无效投标。</w:t>
      </w:r>
    </w:p>
    <w:p w14:paraId="38A31873">
      <w:pPr>
        <w:adjustRightInd w:val="0"/>
        <w:snapToGrid w:val="0"/>
        <w:spacing w:line="360" w:lineRule="auto"/>
        <w:ind w:firstLine="480"/>
        <w:jc w:val="left"/>
        <w:textAlignment w:val="baseline"/>
        <w:rPr>
          <w:rFonts w:ascii="仿宋" w:hAnsi="仿宋" w:eastAsia="仿宋" w:cs="仿宋"/>
          <w:sz w:val="24"/>
          <w:szCs w:val="24"/>
        </w:rPr>
      </w:pPr>
      <w:r>
        <w:rPr>
          <w:rFonts w:hint="eastAsia" w:ascii="仿宋" w:hAnsi="仿宋" w:eastAsia="仿宋" w:cs="仿宋"/>
          <w:sz w:val="24"/>
          <w:szCs w:val="24"/>
        </w:rPr>
        <w:t>2.5服务期限：1年。</w:t>
      </w:r>
    </w:p>
    <w:p w14:paraId="54A6F967">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2.6服务地点/交货地点：广东省广州市。</w:t>
      </w:r>
      <w:bookmarkEnd w:id="23"/>
    </w:p>
    <w:p w14:paraId="47BB4B50">
      <w:pPr>
        <w:pStyle w:val="4"/>
        <w:rPr>
          <w:rFonts w:ascii="仿宋" w:hAnsi="仿宋" w:cs="仿宋"/>
          <w:szCs w:val="24"/>
        </w:rPr>
      </w:pPr>
      <w:bookmarkStart w:id="26" w:name="_Toc26074"/>
      <w:bookmarkStart w:id="27" w:name="_Toc109124225"/>
      <w:bookmarkStart w:id="28" w:name="_Toc19669"/>
      <w:bookmarkStart w:id="29" w:name="_Toc31746"/>
      <w:r>
        <w:rPr>
          <w:rFonts w:hint="eastAsia" w:ascii="仿宋" w:hAnsi="仿宋" w:cs="仿宋"/>
          <w:szCs w:val="24"/>
        </w:rPr>
        <w:t>三、投标人资格要求</w:t>
      </w:r>
      <w:bookmarkEnd w:id="24"/>
      <w:bookmarkEnd w:id="25"/>
      <w:bookmarkEnd w:id="26"/>
      <w:bookmarkEnd w:id="27"/>
      <w:bookmarkEnd w:id="28"/>
      <w:bookmarkEnd w:id="29"/>
    </w:p>
    <w:p w14:paraId="526D4BDC">
      <w:pPr>
        <w:spacing w:after="120"/>
        <w:ind w:firstLine="480" w:firstLineChars="200"/>
        <w:rPr>
          <w:rFonts w:ascii="仿宋" w:hAnsi="仿宋" w:eastAsia="仿宋" w:cs="仿宋"/>
          <w:szCs w:val="21"/>
        </w:rPr>
      </w:pPr>
      <w:bookmarkStart w:id="30" w:name="_Toc21224"/>
      <w:bookmarkStart w:id="31" w:name="_Toc20773"/>
      <w:bookmarkStart w:id="32" w:name="_Toc19546"/>
      <w:bookmarkStart w:id="33" w:name="_Toc109124226"/>
      <w:bookmarkStart w:id="34" w:name="_Toc2398"/>
      <w:bookmarkStart w:id="35" w:name="_Toc65682916"/>
      <w:r>
        <w:rPr>
          <w:rFonts w:hint="eastAsia" w:ascii="仿宋" w:hAnsi="仿宋" w:eastAsia="仿宋" w:cs="仿宋"/>
          <w:sz w:val="24"/>
          <w:szCs w:val="24"/>
        </w:rPr>
        <w:t>3.1</w:t>
      </w:r>
      <w:r>
        <w:rPr>
          <w:rFonts w:hint="eastAsia" w:ascii="仿宋" w:hAnsi="仿宋" w:eastAsia="仿宋" w:cs="仿宋"/>
          <w:b/>
          <w:bCs/>
          <w:sz w:val="24"/>
          <w:szCs w:val="24"/>
        </w:rPr>
        <w:t>在中华人民共和国境内依法登记的法人或其他组织，</w:t>
      </w:r>
      <w:r>
        <w:rPr>
          <w:rFonts w:hint="eastAsia" w:ascii="仿宋" w:hAnsi="仿宋" w:eastAsia="仿宋" w:cs="仿宋"/>
          <w:b/>
          <w:sz w:val="24"/>
          <w:szCs w:val="24"/>
        </w:rPr>
        <w:t>具有独立承担民事责任的能力</w:t>
      </w:r>
      <w:r>
        <w:rPr>
          <w:rFonts w:hint="eastAsia" w:ascii="仿宋" w:hAnsi="仿宋" w:eastAsia="仿宋" w:cs="仿宋"/>
          <w:sz w:val="24"/>
          <w:szCs w:val="24"/>
        </w:rPr>
        <w:t>，投标人如为企业法人，须提供企业法人营业执照</w:t>
      </w:r>
      <w:r>
        <w:rPr>
          <w:rFonts w:hint="eastAsia" w:ascii="仿宋" w:hAnsi="仿宋" w:eastAsia="仿宋" w:cs="仿宋"/>
          <w:sz w:val="24"/>
        </w:rPr>
        <w:t>（复印件）</w:t>
      </w:r>
      <w:r>
        <w:rPr>
          <w:rFonts w:hint="eastAsia" w:ascii="仿宋" w:hAnsi="仿宋" w:eastAsia="仿宋" w:cs="仿宋"/>
          <w:sz w:val="24"/>
          <w:szCs w:val="24"/>
        </w:rPr>
        <w:t>；投标人如为事业单位或其他组织，须提供事业单位法人证书或登记证或组织机构代码证或其他有效证明文件（复印件）。</w:t>
      </w:r>
    </w:p>
    <w:p w14:paraId="405D4C99">
      <w:pPr>
        <w:spacing w:line="360" w:lineRule="auto"/>
        <w:ind w:firstLine="480" w:firstLineChars="200"/>
        <w:textAlignment w:val="baseline"/>
        <w:rPr>
          <w:rFonts w:ascii="仿宋" w:hAnsi="仿宋" w:eastAsia="仿宋" w:cs="仿宋"/>
        </w:rPr>
      </w:pPr>
      <w:r>
        <w:rPr>
          <w:rFonts w:hint="eastAsia" w:ascii="仿宋" w:hAnsi="仿宋" w:eastAsia="仿宋" w:cs="仿宋"/>
          <w:sz w:val="24"/>
          <w:szCs w:val="24"/>
        </w:rPr>
        <w:t>3.2</w:t>
      </w:r>
      <w:r>
        <w:rPr>
          <w:rFonts w:hint="eastAsia" w:ascii="仿宋" w:hAnsi="仿宋" w:eastAsia="仿宋" w:cs="仿宋"/>
          <w:b/>
          <w:sz w:val="24"/>
          <w:szCs w:val="24"/>
        </w:rPr>
        <w:t>具有良好的商业信誉和健全的财务会计制度</w:t>
      </w:r>
      <w:r>
        <w:rPr>
          <w:rFonts w:hint="eastAsia" w:ascii="仿宋" w:hAnsi="仿宋" w:eastAsia="仿宋" w:cs="仿宋"/>
          <w:sz w:val="24"/>
          <w:szCs w:val="24"/>
        </w:rPr>
        <w:t>，提供2024年度经会计师事务所或审计机构审计的财务审计报告（至少包含会计师事务所或审计机构签章页、资产负债表、现金流量表、损益表/利润表）或开标日前6个月内开具的银行资信证明。</w:t>
      </w:r>
    </w:p>
    <w:p w14:paraId="424BB816">
      <w:pPr>
        <w:spacing w:line="360" w:lineRule="auto"/>
        <w:ind w:firstLine="480" w:firstLineChars="200"/>
        <w:textAlignment w:val="baseline"/>
        <w:rPr>
          <w:rFonts w:ascii="仿宋" w:hAnsi="仿宋" w:eastAsia="仿宋" w:cs="仿宋"/>
        </w:rPr>
      </w:pPr>
      <w:r>
        <w:rPr>
          <w:rFonts w:hint="eastAsia" w:ascii="仿宋" w:hAnsi="仿宋" w:eastAsia="仿宋" w:cs="仿宋"/>
          <w:sz w:val="24"/>
          <w:szCs w:val="24"/>
        </w:rPr>
        <w:t>3.3</w:t>
      </w:r>
      <w:r>
        <w:rPr>
          <w:rFonts w:hint="eastAsia" w:ascii="仿宋" w:hAnsi="仿宋" w:eastAsia="仿宋" w:cs="仿宋"/>
          <w:b/>
          <w:sz w:val="24"/>
          <w:szCs w:val="24"/>
        </w:rPr>
        <w:t>投标人应具有履行合同所必需的设备和专业技术能力</w:t>
      </w:r>
      <w:r>
        <w:rPr>
          <w:rFonts w:hint="eastAsia" w:ascii="仿宋" w:hAnsi="仿宋" w:eastAsia="仿宋" w:cs="仿宋"/>
          <w:sz w:val="24"/>
          <w:szCs w:val="24"/>
        </w:rPr>
        <w:t>，须提供近三年（2022年1月1日至今）具备1个或以上同类项目实施案例，并提供符合上述要求的合同关键页作为有效的业绩证明材料。合同关键页包含但不限于合同首页、合同标的页、签署日期页及盖章页等。如合同为框架协议类，须同时提供该框架协议下经双方确认的、发生具体采购/服务事项的相关材料。</w:t>
      </w:r>
    </w:p>
    <w:p w14:paraId="3604FE63">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3.4</w:t>
      </w:r>
      <w:r>
        <w:rPr>
          <w:rFonts w:hint="eastAsia" w:ascii="仿宋" w:hAnsi="仿宋" w:eastAsia="仿宋" w:cs="仿宋"/>
          <w:b/>
          <w:sz w:val="24"/>
          <w:szCs w:val="24"/>
        </w:rPr>
        <w:t>具有依法缴纳税收和社会保障资金的良好记录</w:t>
      </w:r>
      <w:r>
        <w:rPr>
          <w:rFonts w:hint="eastAsia" w:ascii="仿宋" w:hAnsi="仿宋" w:eastAsia="仿宋" w:cs="仿宋"/>
          <w:sz w:val="24"/>
          <w:szCs w:val="24"/>
        </w:rPr>
        <w:t>，提供近6个月任意一个月的企业税收和社会保障资金缴纳凭证。</w:t>
      </w:r>
    </w:p>
    <w:p w14:paraId="18FC9EE6">
      <w:pPr>
        <w:spacing w:line="360" w:lineRule="auto"/>
        <w:ind w:firstLine="480" w:firstLineChars="200"/>
        <w:textAlignment w:val="baseline"/>
        <w:rPr>
          <w:rFonts w:hint="eastAsia" w:ascii="仿宋" w:hAnsi="仿宋" w:eastAsia="仿宋" w:cs="Monaco"/>
          <w:color w:val="000000"/>
          <w:sz w:val="24"/>
          <w:szCs w:val="24"/>
          <w:highlight w:val="none"/>
        </w:rPr>
      </w:pPr>
      <w:r>
        <w:rPr>
          <w:rFonts w:hint="eastAsia" w:ascii="仿宋" w:hAnsi="仿宋" w:eastAsia="仿宋" w:cs="仿宋"/>
          <w:sz w:val="24"/>
          <w:szCs w:val="24"/>
        </w:rPr>
        <w:t>3.5</w:t>
      </w:r>
      <w:r>
        <w:rPr>
          <w:rFonts w:hint="eastAsia" w:ascii="仿宋" w:hAnsi="仿宋" w:eastAsia="仿宋" w:cs="仿宋"/>
          <w:b/>
          <w:sz w:val="24"/>
          <w:szCs w:val="24"/>
        </w:rPr>
        <w:t>投标人应经营状况良好，且近三年内（2022年1月1日至今）无违法违规记录。</w:t>
      </w:r>
      <w:r>
        <w:rPr>
          <w:rFonts w:hint="eastAsia" w:ascii="仿宋" w:hAnsi="仿宋" w:eastAsia="仿宋" w:cs="Monaco"/>
          <w:color w:val="000000"/>
          <w:sz w:val="24"/>
          <w:szCs w:val="24"/>
          <w:highlight w:val="none"/>
        </w:rPr>
        <w:t>违法违规记录是指被“信用中国”列入失信被执行人、重大税收违法失信主体、政府采购严重违法失信行为记录名单。投标人需提供自招标公告发布之日至投标截止之日期间对以上三项内容的查询截图。</w:t>
      </w:r>
    </w:p>
    <w:p w14:paraId="01C812D2">
      <w:pPr>
        <w:spacing w:line="360" w:lineRule="auto"/>
        <w:ind w:firstLine="480" w:firstLineChars="200"/>
        <w:textAlignment w:val="baseline"/>
        <w:rPr>
          <w:rFonts w:hint="eastAsia" w:ascii="仿宋" w:hAnsi="仿宋" w:eastAsia="仿宋" w:cs="Monaco"/>
          <w:color w:val="000000"/>
          <w:sz w:val="24"/>
          <w:szCs w:val="24"/>
          <w:highlight w:val="none"/>
        </w:rPr>
      </w:pPr>
      <w:r>
        <w:rPr>
          <w:rFonts w:hint="eastAsia" w:ascii="仿宋" w:hAnsi="仿宋" w:eastAsia="仿宋" w:cs="Monaco"/>
          <w:color w:val="000000"/>
          <w:sz w:val="24"/>
          <w:szCs w:val="24"/>
          <w:highlight w:val="none"/>
        </w:rPr>
        <w:t>信用中国查询网址：https://www.creditchina.gov.cn/zhuanxiangchaxun/</w:t>
      </w:r>
    </w:p>
    <w:p w14:paraId="519773FA">
      <w:pPr>
        <w:spacing w:line="360" w:lineRule="auto"/>
        <w:ind w:firstLine="480" w:firstLineChars="200"/>
        <w:textAlignment w:val="baseline"/>
        <w:rPr>
          <w:rFonts w:ascii="仿宋" w:hAnsi="仿宋" w:eastAsia="仿宋" w:cs="仿宋"/>
          <w:b/>
          <w:sz w:val="24"/>
          <w:szCs w:val="24"/>
        </w:rPr>
      </w:pPr>
      <w:r>
        <w:rPr>
          <w:rFonts w:hint="eastAsia" w:ascii="仿宋" w:hAnsi="仿宋" w:eastAsia="仿宋" w:cs="仿宋"/>
          <w:sz w:val="24"/>
          <w:szCs w:val="24"/>
        </w:rPr>
        <w:t>3.6</w:t>
      </w:r>
      <w:r>
        <w:rPr>
          <w:rFonts w:hint="eastAsia" w:ascii="仿宋" w:hAnsi="仿宋" w:eastAsia="仿宋" w:cs="仿宋"/>
          <w:b/>
          <w:sz w:val="24"/>
          <w:szCs w:val="24"/>
        </w:rPr>
        <w:t>严禁列入招标人及其所隶属的中国人民保险各级机构的供应商黑名单且在禁入期内的供应商参与采购活动</w:t>
      </w:r>
      <w:r>
        <w:rPr>
          <w:rFonts w:hint="eastAsia" w:ascii="仿宋" w:hAnsi="仿宋" w:eastAsia="仿宋" w:cs="宋体"/>
          <w:color w:val="000000"/>
          <w:sz w:val="24"/>
        </w:rPr>
        <w:t>，需提供</w:t>
      </w:r>
      <w:r>
        <w:rPr>
          <w:rFonts w:hint="eastAsia" w:ascii="仿宋" w:hAnsi="仿宋" w:eastAsia="仿宋" w:cs="宋体"/>
          <w:sz w:val="24"/>
          <w:szCs w:val="24"/>
        </w:rPr>
        <w:t>《</w:t>
      </w:r>
      <w:r>
        <w:rPr>
          <w:rFonts w:hint="eastAsia" w:ascii="仿宋" w:hAnsi="仿宋" w:eastAsia="仿宋" w:cs="宋体"/>
          <w:color w:val="000000"/>
          <w:sz w:val="24"/>
        </w:rPr>
        <w:t>未被列入供应商黑名单承诺函</w:t>
      </w:r>
      <w:r>
        <w:rPr>
          <w:rFonts w:hint="eastAsia" w:ascii="仿宋" w:hAnsi="仿宋" w:eastAsia="仿宋" w:cs="宋体"/>
          <w:sz w:val="24"/>
          <w:szCs w:val="24"/>
        </w:rPr>
        <w:t>》。</w:t>
      </w:r>
    </w:p>
    <w:p w14:paraId="5B88D657">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3.7单位负责人为同一人或存在控股、管理关系的不同单位，不得参加同一标段/标包投标或未划分标段/标包的同一招标项目投标，需填写《投标人控股及管理关系情况申报表》。</w:t>
      </w:r>
    </w:p>
    <w:p w14:paraId="2C609351">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3.8本项目不接受联合体投标</w:t>
      </w:r>
      <w:r>
        <w:rPr>
          <w:rFonts w:hint="eastAsia" w:ascii="仿宋" w:hAnsi="仿宋" w:eastAsia="仿宋" w:cs="宋体"/>
          <w:color w:val="000000"/>
          <w:sz w:val="24"/>
        </w:rPr>
        <w:t>，需提供</w:t>
      </w:r>
      <w:r>
        <w:rPr>
          <w:rFonts w:hint="eastAsia" w:ascii="仿宋" w:hAnsi="仿宋" w:eastAsia="仿宋" w:cs="宋体"/>
          <w:sz w:val="24"/>
          <w:szCs w:val="24"/>
        </w:rPr>
        <w:t>《</w:t>
      </w:r>
      <w:r>
        <w:rPr>
          <w:rFonts w:hint="eastAsia" w:ascii="仿宋" w:hAnsi="仿宋" w:eastAsia="仿宋" w:cs="宋体"/>
          <w:color w:val="000000"/>
          <w:sz w:val="24"/>
        </w:rPr>
        <w:t>非联合体投标声明</w:t>
      </w:r>
      <w:r>
        <w:rPr>
          <w:rFonts w:hint="eastAsia" w:ascii="仿宋" w:hAnsi="仿宋" w:eastAsia="仿宋" w:cs="宋体"/>
          <w:sz w:val="24"/>
          <w:szCs w:val="24"/>
        </w:rPr>
        <w:t>》</w:t>
      </w:r>
      <w:r>
        <w:rPr>
          <w:rFonts w:hint="eastAsia" w:ascii="仿宋" w:hAnsi="仿宋" w:eastAsia="仿宋" w:cs="仿宋"/>
          <w:sz w:val="24"/>
          <w:szCs w:val="24"/>
        </w:rPr>
        <w:t>。</w:t>
      </w:r>
    </w:p>
    <w:p w14:paraId="349B79DC">
      <w:pPr>
        <w:pStyle w:val="4"/>
        <w:rPr>
          <w:rFonts w:ascii="仿宋" w:hAnsi="仿宋" w:cs="仿宋"/>
        </w:rPr>
      </w:pPr>
      <w:r>
        <w:rPr>
          <w:rFonts w:hint="eastAsia" w:ascii="仿宋" w:hAnsi="仿宋" w:cs="仿宋"/>
        </w:rPr>
        <w:t>四、资格审查方法</w:t>
      </w:r>
      <w:bookmarkEnd w:id="30"/>
      <w:bookmarkEnd w:id="31"/>
      <w:bookmarkEnd w:id="32"/>
      <w:bookmarkEnd w:id="33"/>
      <w:bookmarkEnd w:id="34"/>
      <w:bookmarkEnd w:id="35"/>
    </w:p>
    <w:p w14:paraId="7CA7C895">
      <w:pPr>
        <w:spacing w:line="360" w:lineRule="auto"/>
        <w:ind w:firstLine="480" w:firstLineChars="200"/>
        <w:textAlignment w:val="baseline"/>
        <w:rPr>
          <w:rFonts w:ascii="仿宋" w:hAnsi="仿宋" w:eastAsia="仿宋" w:cs="仿宋"/>
          <w:sz w:val="24"/>
          <w:szCs w:val="24"/>
        </w:rPr>
      </w:pPr>
      <w:bookmarkStart w:id="36" w:name="_Toc32460"/>
      <w:bookmarkStart w:id="37" w:name="_Toc65682917"/>
      <w:r>
        <w:rPr>
          <w:rFonts w:hint="eastAsia" w:ascii="仿宋" w:hAnsi="仿宋" w:eastAsia="仿宋" w:cs="仿宋"/>
          <w:sz w:val="24"/>
          <w:szCs w:val="24"/>
        </w:rPr>
        <w:t>本项目将进行资格后审，资格审查方法为合格制，资格审查标准和内容见招标文件第三章“评标办法”。未通过资格后审的投标人，投标将被否决。</w:t>
      </w:r>
    </w:p>
    <w:p w14:paraId="6361B7D6">
      <w:pPr>
        <w:pStyle w:val="4"/>
        <w:rPr>
          <w:rFonts w:ascii="仿宋" w:hAnsi="仿宋" w:cs="仿宋"/>
          <w:szCs w:val="24"/>
        </w:rPr>
      </w:pPr>
      <w:bookmarkStart w:id="38" w:name="_Toc21874"/>
      <w:bookmarkStart w:id="39" w:name="_Toc3639"/>
      <w:bookmarkStart w:id="40" w:name="_Toc12323"/>
      <w:bookmarkStart w:id="41" w:name="_Toc109124227"/>
      <w:r>
        <w:rPr>
          <w:rFonts w:hint="eastAsia" w:ascii="仿宋" w:hAnsi="仿宋" w:cs="仿宋"/>
          <w:szCs w:val="24"/>
        </w:rPr>
        <w:t>五、招标文件的获取</w:t>
      </w:r>
      <w:bookmarkEnd w:id="36"/>
      <w:bookmarkEnd w:id="37"/>
      <w:bookmarkEnd w:id="38"/>
      <w:bookmarkEnd w:id="39"/>
      <w:bookmarkEnd w:id="40"/>
      <w:bookmarkEnd w:id="41"/>
    </w:p>
    <w:p w14:paraId="1504A051">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5.1招标文件获取时间：</w:t>
      </w:r>
      <w:r>
        <w:rPr>
          <w:rFonts w:hint="eastAsia" w:ascii="仿宋" w:hAnsi="仿宋" w:eastAsia="仿宋" w:cs="仿宋"/>
          <w:b/>
          <w:sz w:val="24"/>
          <w:szCs w:val="24"/>
          <w:u w:val="single"/>
        </w:rPr>
        <w:t>2025年0</w:t>
      </w:r>
      <w:r>
        <w:rPr>
          <w:rFonts w:hint="eastAsia" w:ascii="仿宋" w:hAnsi="仿宋" w:eastAsia="仿宋" w:cs="仿宋"/>
          <w:b/>
          <w:sz w:val="24"/>
          <w:szCs w:val="24"/>
          <w:u w:val="single"/>
          <w:lang w:val="en-US" w:eastAsia="zh-CN"/>
        </w:rPr>
        <w:t>7</w:t>
      </w:r>
      <w:r>
        <w:rPr>
          <w:rFonts w:hint="eastAsia" w:ascii="仿宋" w:hAnsi="仿宋" w:eastAsia="仿宋" w:cs="仿宋"/>
          <w:b/>
          <w:sz w:val="24"/>
          <w:szCs w:val="24"/>
          <w:u w:val="single"/>
        </w:rPr>
        <w:t>月</w:t>
      </w:r>
      <w:r>
        <w:rPr>
          <w:rFonts w:hint="eastAsia" w:ascii="仿宋" w:hAnsi="仿宋" w:eastAsia="仿宋" w:cs="仿宋"/>
          <w:b/>
          <w:sz w:val="24"/>
          <w:szCs w:val="24"/>
          <w:u w:val="single"/>
          <w:lang w:val="en-US" w:eastAsia="zh-CN"/>
        </w:rPr>
        <w:t>18</w:t>
      </w:r>
      <w:r>
        <w:rPr>
          <w:rFonts w:hint="eastAsia" w:ascii="仿宋" w:hAnsi="仿宋" w:eastAsia="仿宋" w:cs="仿宋"/>
          <w:b/>
          <w:sz w:val="24"/>
          <w:szCs w:val="24"/>
          <w:u w:val="single"/>
        </w:rPr>
        <w:t>日</w:t>
      </w:r>
      <w:r>
        <w:rPr>
          <w:rFonts w:hint="eastAsia" w:ascii="仿宋" w:hAnsi="仿宋" w:eastAsia="仿宋" w:cs="仿宋"/>
          <w:b/>
          <w:sz w:val="24"/>
          <w:szCs w:val="24"/>
        </w:rPr>
        <w:t>至</w:t>
      </w:r>
      <w:r>
        <w:rPr>
          <w:rFonts w:hint="eastAsia" w:ascii="仿宋" w:hAnsi="仿宋" w:eastAsia="仿宋" w:cs="仿宋"/>
          <w:b/>
          <w:sz w:val="24"/>
          <w:szCs w:val="24"/>
          <w:u w:val="single"/>
        </w:rPr>
        <w:t>2025年0</w:t>
      </w:r>
      <w:r>
        <w:rPr>
          <w:rFonts w:hint="eastAsia" w:ascii="仿宋" w:hAnsi="仿宋" w:eastAsia="仿宋" w:cs="仿宋"/>
          <w:b/>
          <w:sz w:val="24"/>
          <w:szCs w:val="24"/>
          <w:u w:val="single"/>
          <w:lang w:val="en-US" w:eastAsia="zh-CN"/>
        </w:rPr>
        <w:t>7</w:t>
      </w:r>
      <w:r>
        <w:rPr>
          <w:rFonts w:hint="eastAsia" w:ascii="仿宋" w:hAnsi="仿宋" w:eastAsia="仿宋" w:cs="仿宋"/>
          <w:b/>
          <w:sz w:val="24"/>
          <w:szCs w:val="24"/>
          <w:u w:val="single"/>
        </w:rPr>
        <w:t>月</w:t>
      </w:r>
      <w:r>
        <w:rPr>
          <w:rFonts w:hint="eastAsia" w:ascii="仿宋" w:hAnsi="仿宋" w:eastAsia="仿宋" w:cs="仿宋"/>
          <w:b/>
          <w:sz w:val="24"/>
          <w:szCs w:val="24"/>
          <w:u w:val="single"/>
          <w:lang w:val="en-US" w:eastAsia="zh-CN"/>
        </w:rPr>
        <w:t>25</w:t>
      </w:r>
      <w:r>
        <w:rPr>
          <w:rFonts w:hint="eastAsia" w:ascii="仿宋" w:hAnsi="仿宋" w:eastAsia="仿宋" w:cs="仿宋"/>
          <w:b/>
          <w:sz w:val="24"/>
          <w:szCs w:val="24"/>
          <w:u w:val="single"/>
        </w:rPr>
        <w:t>日，</w:t>
      </w:r>
      <w:r>
        <w:rPr>
          <w:rFonts w:hint="eastAsia" w:ascii="仿宋" w:hAnsi="仿宋" w:eastAsia="仿宋" w:cs="仿宋"/>
          <w:sz w:val="24"/>
          <w:szCs w:val="24"/>
        </w:rPr>
        <w:t>（法定公休日、法定节假日除外），每日上午8时30分至12时00分，下午14时00分至17时30分（北京时间，下同）。</w:t>
      </w:r>
    </w:p>
    <w:p w14:paraId="1EDC1F41">
      <w:pPr>
        <w:spacing w:line="360" w:lineRule="auto"/>
        <w:ind w:firstLine="422" w:firstLineChars="200"/>
        <w:textAlignment w:val="baseline"/>
        <w:rPr>
          <w:rFonts w:ascii="仿宋" w:hAnsi="仿宋" w:eastAsia="仿宋" w:cs="仿宋"/>
          <w:b/>
          <w:bCs/>
          <w:sz w:val="24"/>
          <w:szCs w:val="24"/>
        </w:rPr>
      </w:pPr>
      <w:r>
        <w:rPr>
          <w:rFonts w:hint="eastAsia" w:ascii="仿宋" w:hAnsi="仿宋" w:eastAsia="仿宋" w:cs="仿宋"/>
          <w:b/>
          <w:bCs/>
          <w:szCs w:val="21"/>
        </w:rPr>
        <w:t>★</w:t>
      </w:r>
      <w:r>
        <w:rPr>
          <w:rFonts w:hint="eastAsia" w:ascii="仿宋" w:hAnsi="仿宋" w:eastAsia="仿宋" w:cs="仿宋"/>
          <w:b/>
          <w:bCs/>
          <w:sz w:val="24"/>
          <w:szCs w:val="24"/>
        </w:rPr>
        <w:t>5.2凡有意向参加本项目投标的潜在投标人，均须在招标文件获取时间内完成以下操作：</w:t>
      </w:r>
    </w:p>
    <w:p w14:paraId="5D9E631C">
      <w:pPr>
        <w:spacing w:line="360" w:lineRule="auto"/>
        <w:ind w:firstLine="482" w:firstLineChars="200"/>
        <w:textAlignment w:val="baseline"/>
        <w:rPr>
          <w:rFonts w:ascii="仿宋" w:hAnsi="仿宋" w:eastAsia="仿宋" w:cs="仿宋"/>
          <w:sz w:val="24"/>
          <w:szCs w:val="24"/>
        </w:rPr>
      </w:pPr>
      <w:r>
        <w:rPr>
          <w:rFonts w:hint="eastAsia" w:ascii="仿宋" w:hAnsi="仿宋" w:eastAsia="仿宋" w:cs="仿宋"/>
          <w:b/>
          <w:bCs/>
          <w:sz w:val="24"/>
          <w:szCs w:val="24"/>
        </w:rPr>
        <w:t>（一）招标人平台：</w:t>
      </w:r>
      <w:r>
        <w:rPr>
          <w:rFonts w:hint="eastAsia" w:ascii="仿宋" w:hAnsi="仿宋" w:eastAsia="仿宋" w:cs="仿宋"/>
          <w:sz w:val="24"/>
          <w:szCs w:val="24"/>
        </w:rPr>
        <w:t>登录“人保e采”外网门户（ec.picc.com）申请注册入库，审核通过后进行项目报名（相关详见“人保e采”外网门户的《人保e采管理系统供应商入库操作指南》）。</w:t>
      </w:r>
    </w:p>
    <w:p w14:paraId="0AD5D791">
      <w:pPr>
        <w:spacing w:line="360" w:lineRule="auto"/>
        <w:ind w:firstLine="482" w:firstLineChars="200"/>
        <w:textAlignment w:val="baseline"/>
        <w:rPr>
          <w:rFonts w:ascii="仿宋" w:hAnsi="仿宋" w:eastAsia="仿宋" w:cs="仿宋"/>
          <w:b/>
          <w:bCs/>
          <w:sz w:val="24"/>
          <w:szCs w:val="24"/>
        </w:rPr>
      </w:pPr>
      <w:r>
        <w:rPr>
          <w:rFonts w:hint="eastAsia" w:ascii="仿宋" w:hAnsi="仿宋" w:eastAsia="仿宋" w:cs="仿宋"/>
          <w:b/>
          <w:bCs/>
          <w:sz w:val="24"/>
          <w:szCs w:val="24"/>
        </w:rPr>
        <w:t>（二）招标代理机构平台：</w:t>
      </w:r>
    </w:p>
    <w:p w14:paraId="01685327">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 xml:space="preserve">招标文件获取方式（以下方式任选其一即可，推荐方式②）： </w:t>
      </w:r>
    </w:p>
    <w:p w14:paraId="481DDE0E">
      <w:pPr>
        <w:spacing w:line="360" w:lineRule="auto"/>
        <w:ind w:firstLine="482" w:firstLineChars="200"/>
        <w:textAlignment w:val="baseline"/>
        <w:rPr>
          <w:rFonts w:ascii="仿宋" w:hAnsi="仿宋" w:eastAsia="仿宋" w:cs="仿宋"/>
          <w:sz w:val="24"/>
          <w:szCs w:val="24"/>
        </w:rPr>
      </w:pPr>
      <w:r>
        <w:rPr>
          <w:rFonts w:hint="eastAsia" w:ascii="仿宋" w:hAnsi="仿宋" w:eastAsia="仿宋" w:cs="仿宋"/>
          <w:b/>
          <w:bCs/>
          <w:sz w:val="24"/>
          <w:szCs w:val="24"/>
        </w:rPr>
        <w:t>①电子招标系统获取文件：</w:t>
      </w:r>
      <w:r>
        <w:rPr>
          <w:rFonts w:hint="eastAsia" w:ascii="仿宋" w:hAnsi="仿宋" w:eastAsia="仿宋" w:cs="仿宋"/>
          <w:sz w:val="24"/>
          <w:szCs w:val="24"/>
        </w:rPr>
        <w:t>登录中捷通信有限公司电子招标系统（链捷招）（zjzb.chinaccsscm.cn）完成获取并下载文件，账号为贵公司组织机构代码或统一社会信用代码，登录/注册后请及时完善信息并更改密码。</w:t>
      </w:r>
    </w:p>
    <w:p w14:paraId="4D0DA36D">
      <w:pPr>
        <w:spacing w:line="360" w:lineRule="auto"/>
        <w:ind w:firstLine="482" w:firstLineChars="200"/>
        <w:textAlignment w:val="baseline"/>
        <w:rPr>
          <w:rFonts w:ascii="仿宋" w:hAnsi="仿宋" w:eastAsia="仿宋" w:cs="仿宋"/>
          <w:sz w:val="24"/>
          <w:szCs w:val="24"/>
        </w:rPr>
      </w:pPr>
      <w:r>
        <w:rPr>
          <w:rFonts w:hint="eastAsia" w:ascii="仿宋" w:hAnsi="仿宋" w:eastAsia="仿宋" w:cs="仿宋"/>
          <w:b/>
          <w:bCs/>
          <w:sz w:val="24"/>
          <w:szCs w:val="24"/>
        </w:rPr>
        <w:t>②邮件获取文件：</w:t>
      </w:r>
      <w:r>
        <w:rPr>
          <w:rFonts w:hint="eastAsia" w:ascii="仿宋" w:hAnsi="仿宋" w:eastAsia="仿宋" w:cs="仿宋"/>
          <w:sz w:val="24"/>
          <w:szCs w:val="24"/>
        </w:rPr>
        <w:t>将营业执照复印件盖章+授权委托书+标书款汇款底单+标书售卖登记表（盖章）打包发以邮件方式发送给文件售卖联系人。</w:t>
      </w:r>
    </w:p>
    <w:p w14:paraId="34F3E4D3">
      <w:pPr>
        <w:spacing w:line="360" w:lineRule="auto"/>
        <w:ind w:firstLine="482" w:firstLineChars="200"/>
        <w:textAlignment w:val="baseline"/>
        <w:rPr>
          <w:rFonts w:ascii="仿宋" w:hAnsi="仿宋" w:eastAsia="仿宋" w:cs="仿宋"/>
          <w:sz w:val="24"/>
          <w:szCs w:val="24"/>
        </w:rPr>
      </w:pPr>
      <w:r>
        <w:rPr>
          <w:rFonts w:hint="eastAsia" w:ascii="仿宋" w:hAnsi="仿宋" w:eastAsia="仿宋" w:cs="仿宋"/>
          <w:b/>
          <w:bCs/>
          <w:sz w:val="24"/>
          <w:szCs w:val="24"/>
        </w:rPr>
        <w:t>③现场获取文件：</w:t>
      </w:r>
      <w:r>
        <w:rPr>
          <w:rFonts w:hint="eastAsia" w:ascii="仿宋" w:hAnsi="仿宋" w:eastAsia="仿宋" w:cs="仿宋"/>
          <w:sz w:val="24"/>
          <w:szCs w:val="24"/>
        </w:rPr>
        <w:t>携带营业执照复印件盖章、授权委托书及受托人身份证或工作证于广州市越秀区较场西路21号中捷通信有限公司4楼标书售卖室获取文件。</w:t>
      </w:r>
    </w:p>
    <w:p w14:paraId="1214C908">
      <w:pPr>
        <w:spacing w:line="360" w:lineRule="auto"/>
        <w:ind w:firstLine="482" w:firstLineChars="200"/>
        <w:textAlignment w:val="baseline"/>
        <w:rPr>
          <w:rFonts w:ascii="仿宋" w:hAnsi="仿宋" w:eastAsia="仿宋" w:cs="仿宋"/>
          <w:b/>
          <w:bCs/>
          <w:sz w:val="24"/>
          <w:szCs w:val="24"/>
        </w:rPr>
      </w:pPr>
      <w:r>
        <w:rPr>
          <w:rFonts w:hint="eastAsia" w:ascii="仿宋" w:hAnsi="仿宋" w:eastAsia="仿宋" w:cs="仿宋"/>
          <w:b/>
          <w:bCs/>
          <w:sz w:val="24"/>
          <w:szCs w:val="24"/>
        </w:rPr>
        <w:t>文件售卖联系人：黄小姐，联系电话：020-83820346/020-83800940/020-83806127，QQ：2959505405，联系邮箱：zhongjbss2@zjscs.com。</w:t>
      </w:r>
    </w:p>
    <w:p w14:paraId="7127164A">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（3）招标文件每套售价300元人民币，售后不退。</w:t>
      </w:r>
    </w:p>
    <w:p w14:paraId="53536783">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开户银行：中信银行广州花园支行</w:t>
      </w:r>
    </w:p>
    <w:p w14:paraId="19AF3899">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户    名：中捷通信有限公司</w:t>
      </w:r>
    </w:p>
    <w:p w14:paraId="13A69557">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账    号：3110910043850050889（每个项目的汇款账号会有所不同，请在汇款前认真核对账号，由于投标人的汇错账号等因素造成的一切后果由投标人自行承担）</w:t>
      </w:r>
    </w:p>
    <w:p w14:paraId="41CF2B8C">
      <w:pPr>
        <w:pStyle w:val="4"/>
        <w:rPr>
          <w:rFonts w:ascii="仿宋" w:hAnsi="仿宋" w:cs="仿宋"/>
        </w:rPr>
      </w:pPr>
      <w:bookmarkStart w:id="42" w:name="_Toc22998"/>
      <w:bookmarkStart w:id="43" w:name="_Toc109124228"/>
      <w:bookmarkStart w:id="44" w:name="_Toc17213"/>
      <w:bookmarkStart w:id="45" w:name="_Toc23969"/>
      <w:bookmarkStart w:id="46" w:name="_Toc7435"/>
      <w:r>
        <w:rPr>
          <w:rFonts w:hint="eastAsia" w:ascii="仿宋" w:hAnsi="仿宋" w:cs="仿宋"/>
        </w:rPr>
        <w:t>六、投标文件的递交</w:t>
      </w:r>
      <w:bookmarkEnd w:id="42"/>
      <w:bookmarkEnd w:id="43"/>
      <w:bookmarkEnd w:id="44"/>
      <w:bookmarkEnd w:id="45"/>
      <w:bookmarkEnd w:id="46"/>
      <w:bookmarkStart w:id="1080" w:name="_GoBack"/>
      <w:bookmarkEnd w:id="1080"/>
    </w:p>
    <w:p w14:paraId="0B0B9AD1">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6.1投标文件递交截止时间：</w:t>
      </w:r>
      <w:r>
        <w:rPr>
          <w:rFonts w:hint="eastAsia" w:ascii="仿宋" w:hAnsi="仿宋" w:eastAsia="仿宋" w:cs="仿宋"/>
          <w:b/>
          <w:bCs/>
          <w:sz w:val="24"/>
          <w:szCs w:val="24"/>
          <w:u w:val="single"/>
        </w:rPr>
        <w:t>2025年0</w:t>
      </w:r>
      <w:r>
        <w:rPr>
          <w:rFonts w:hint="eastAsia" w:ascii="仿宋" w:hAnsi="仿宋" w:eastAsia="仿宋" w:cs="仿宋"/>
          <w:b/>
          <w:bCs/>
          <w:sz w:val="24"/>
          <w:szCs w:val="24"/>
          <w:u w:val="single"/>
          <w:lang w:val="en-US" w:eastAsia="zh-CN"/>
        </w:rPr>
        <w:t>8</w:t>
      </w:r>
      <w:r>
        <w:rPr>
          <w:rFonts w:hint="eastAsia" w:ascii="仿宋" w:hAnsi="仿宋" w:eastAsia="仿宋" w:cs="仿宋"/>
          <w:b/>
          <w:bCs/>
          <w:sz w:val="24"/>
          <w:szCs w:val="24"/>
          <w:u w:val="single"/>
        </w:rPr>
        <w:t>月</w:t>
      </w:r>
      <w:r>
        <w:rPr>
          <w:rFonts w:hint="eastAsia" w:ascii="仿宋" w:hAnsi="仿宋" w:eastAsia="仿宋" w:cs="仿宋"/>
          <w:b/>
          <w:bCs/>
          <w:sz w:val="24"/>
          <w:szCs w:val="24"/>
          <w:u w:val="single"/>
          <w:lang w:val="en-US" w:eastAsia="zh-CN"/>
        </w:rPr>
        <w:t>08</w:t>
      </w:r>
      <w:r>
        <w:rPr>
          <w:rFonts w:hint="eastAsia" w:ascii="仿宋" w:hAnsi="仿宋" w:eastAsia="仿宋" w:cs="仿宋"/>
          <w:b/>
          <w:bCs/>
          <w:sz w:val="24"/>
          <w:szCs w:val="24"/>
          <w:u w:val="single"/>
        </w:rPr>
        <w:t>日09时30分00秒</w:t>
      </w:r>
      <w:r>
        <w:rPr>
          <w:rFonts w:hint="eastAsia" w:ascii="仿宋" w:hAnsi="仿宋" w:eastAsia="仿宋" w:cs="仿宋"/>
          <w:b/>
          <w:bCs/>
          <w:sz w:val="24"/>
          <w:szCs w:val="24"/>
        </w:rPr>
        <w:t>。</w:t>
      </w:r>
    </w:p>
    <w:p w14:paraId="74155891">
      <w:pPr>
        <w:spacing w:line="360" w:lineRule="auto"/>
        <w:ind w:firstLine="480" w:firstLineChars="200"/>
        <w:textAlignment w:val="baseline"/>
        <w:rPr>
          <w:rFonts w:ascii="仿宋" w:hAnsi="仿宋" w:eastAsia="仿宋" w:cs="仿宋"/>
          <w:b/>
          <w:bCs/>
          <w:sz w:val="24"/>
          <w:szCs w:val="24"/>
        </w:rPr>
      </w:pPr>
      <w:r>
        <w:rPr>
          <w:rFonts w:hint="eastAsia" w:ascii="仿宋" w:hAnsi="仿宋" w:eastAsia="仿宋" w:cs="仿宋"/>
          <w:sz w:val="24"/>
          <w:szCs w:val="24"/>
        </w:rPr>
        <w:t>6.2投标文件递交地点：须现场递交/邮寄至</w:t>
      </w:r>
      <w:r>
        <w:rPr>
          <w:rFonts w:hint="eastAsia" w:ascii="仿宋" w:hAnsi="仿宋" w:eastAsia="仿宋" w:cs="仿宋"/>
          <w:b/>
          <w:bCs/>
          <w:sz w:val="24"/>
          <w:szCs w:val="24"/>
          <w:u w:val="single"/>
        </w:rPr>
        <w:t>广州市越秀区较场西路21号中捷通信有限公司3楼会议室</w:t>
      </w:r>
      <w:r>
        <w:rPr>
          <w:rFonts w:hint="eastAsia" w:ascii="仿宋" w:hAnsi="仿宋" w:eastAsia="仿宋" w:cs="仿宋"/>
          <w:sz w:val="24"/>
          <w:szCs w:val="24"/>
        </w:rPr>
        <w:t>，</w:t>
      </w:r>
      <w:r>
        <w:rPr>
          <w:rFonts w:hint="eastAsia" w:ascii="仿宋" w:hAnsi="仿宋" w:eastAsia="仿宋" w:cs="仿宋"/>
          <w:b/>
          <w:bCs/>
          <w:sz w:val="24"/>
          <w:szCs w:val="24"/>
        </w:rPr>
        <w:t>逾期送达或者未送达指定地点或者未按照招标文件要求封装的纸质投标文件不予接收。</w:t>
      </w:r>
      <w:bookmarkStart w:id="47" w:name="_Toc109124229"/>
      <w:bookmarkStart w:id="48" w:name="_Toc3941"/>
    </w:p>
    <w:p w14:paraId="313D49AD">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6.3</w:t>
      </w:r>
      <w:r>
        <w:rPr>
          <w:rFonts w:hint="eastAsia" w:ascii="仿宋" w:hAnsi="仿宋" w:eastAsia="仿宋" w:cs="仿宋"/>
          <w:b/>
          <w:bCs/>
          <w:sz w:val="24"/>
          <w:szCs w:val="24"/>
        </w:rPr>
        <w:t>本项目将于上述同一时间、地点进行开标</w:t>
      </w:r>
      <w:r>
        <w:rPr>
          <w:rFonts w:hint="eastAsia" w:ascii="仿宋" w:hAnsi="仿宋" w:eastAsia="仿宋" w:cs="仿宋"/>
          <w:sz w:val="24"/>
          <w:szCs w:val="24"/>
        </w:rPr>
        <w:t>，招标人/招标代理机构邀请投标人代表准时参加。</w:t>
      </w:r>
    </w:p>
    <w:p w14:paraId="603E97C2">
      <w:pPr>
        <w:spacing w:line="360" w:lineRule="auto"/>
        <w:ind w:firstLine="480" w:firstLineChars="200"/>
        <w:textAlignment w:val="baseline"/>
        <w:rPr>
          <w:rFonts w:ascii="仿宋" w:hAnsi="仿宋" w:eastAsia="仿宋" w:cs="仿宋"/>
          <w:b/>
          <w:bCs/>
          <w:sz w:val="24"/>
          <w:szCs w:val="24"/>
        </w:rPr>
      </w:pPr>
      <w:r>
        <w:rPr>
          <w:rFonts w:hint="eastAsia" w:ascii="仿宋" w:hAnsi="仿宋" w:eastAsia="仿宋" w:cs="仿宋"/>
          <w:sz w:val="24"/>
          <w:szCs w:val="24"/>
        </w:rPr>
        <w:t>6.4</w:t>
      </w:r>
      <w:r>
        <w:rPr>
          <w:rFonts w:hint="eastAsia" w:ascii="仿宋" w:hAnsi="仿宋" w:eastAsia="仿宋" w:cs="仿宋"/>
          <w:b/>
          <w:bCs/>
          <w:sz w:val="24"/>
          <w:szCs w:val="24"/>
        </w:rPr>
        <w:t>出现以下情形之一时，招标人/招标代理机构不予接收投标文件：</w:t>
      </w:r>
    </w:p>
    <w:p w14:paraId="77FFE2D0">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6.4.1逾期送达或者未送达指定地点的；</w:t>
      </w:r>
    </w:p>
    <w:p w14:paraId="29FC8D88">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6.4.2未按照招标文件要求密封的；</w:t>
      </w:r>
    </w:p>
    <w:p w14:paraId="4848C791">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6.4.3未按照招标公告要求获取招标文件的。</w:t>
      </w:r>
    </w:p>
    <w:p w14:paraId="7FD4A555">
      <w:pPr>
        <w:pStyle w:val="4"/>
        <w:rPr>
          <w:rFonts w:ascii="仿宋" w:hAnsi="仿宋" w:cs="仿宋"/>
        </w:rPr>
      </w:pPr>
      <w:bookmarkStart w:id="49" w:name="_Toc14958"/>
      <w:bookmarkStart w:id="50" w:name="_Toc2801"/>
      <w:bookmarkStart w:id="51" w:name="_Toc11603"/>
      <w:r>
        <w:rPr>
          <w:rFonts w:hint="eastAsia" w:ascii="仿宋" w:hAnsi="仿宋" w:cs="仿宋"/>
        </w:rPr>
        <w:t>七、发布公告的媒介</w:t>
      </w:r>
      <w:bookmarkEnd w:id="47"/>
      <w:bookmarkEnd w:id="48"/>
      <w:bookmarkEnd w:id="49"/>
      <w:bookmarkEnd w:id="50"/>
      <w:bookmarkEnd w:id="51"/>
    </w:p>
    <w:p w14:paraId="3167F104">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本项目招标公告同时在</w:t>
      </w:r>
      <w:r>
        <w:rPr>
          <w:rFonts w:hint="eastAsia" w:ascii="仿宋" w:hAnsi="仿宋" w:eastAsia="仿宋" w:cs="仿宋"/>
          <w:sz w:val="24"/>
          <w:u w:val="single"/>
        </w:rPr>
        <w:t>“人保e采”外网门户（ec.picc.com）、</w:t>
      </w:r>
      <w:r>
        <w:rPr>
          <w:rFonts w:hint="eastAsia" w:ascii="仿宋" w:hAnsi="仿宋" w:eastAsia="仿宋" w:cs="仿宋"/>
          <w:sz w:val="24"/>
          <w:szCs w:val="24"/>
          <w:u w:val="single"/>
        </w:rPr>
        <w:t>中国招标投标公共服务平台（bulletin.cebpubservice.com）、中国金融集中采购网（www.cfcpn.com）、中国采购与招标网（www.chinabidding.com.cn）及中捷通信有限公司电子招标系统（链捷招）（zjzb.chinaccsscm.cn）</w:t>
      </w:r>
      <w:r>
        <w:rPr>
          <w:rFonts w:hint="eastAsia" w:ascii="仿宋" w:hAnsi="仿宋" w:eastAsia="仿宋" w:cs="仿宋"/>
          <w:sz w:val="24"/>
          <w:szCs w:val="24"/>
        </w:rPr>
        <w:t>上发布，除上述外，招标人/招标代理机构不在其他任何网站、论坛等媒介上发布任何招标采购信息，其他任何媒介上转载的、以招标人/招标代理机构为采购主体的招标采购信息均为非法转载，均为无效。对于非法转载、篡改招标公告信息的组织或个人，招标人/招标代理机构保留追究其法律责任的权利。</w:t>
      </w:r>
    </w:p>
    <w:p w14:paraId="0C868610">
      <w:pPr>
        <w:pStyle w:val="4"/>
        <w:rPr>
          <w:rFonts w:ascii="仿宋" w:hAnsi="仿宋" w:cs="仿宋"/>
        </w:rPr>
      </w:pPr>
      <w:bookmarkStart w:id="52" w:name="_Toc20415"/>
      <w:bookmarkStart w:id="53" w:name="_Toc4554"/>
      <w:bookmarkStart w:id="54" w:name="_Toc24589"/>
      <w:bookmarkStart w:id="55" w:name="_Toc26408"/>
      <w:bookmarkStart w:id="56" w:name="_Toc7046"/>
      <w:bookmarkStart w:id="57" w:name="_Toc16709"/>
      <w:bookmarkStart w:id="58" w:name="_Toc20504"/>
      <w:bookmarkStart w:id="59" w:name="_Toc109124230"/>
      <w:r>
        <w:rPr>
          <w:rFonts w:hint="eastAsia" w:ascii="仿宋" w:hAnsi="仿宋" w:cs="仿宋"/>
        </w:rPr>
        <w:t>八、联系方式</w:t>
      </w:r>
      <w:bookmarkEnd w:id="52"/>
      <w:bookmarkEnd w:id="53"/>
      <w:bookmarkEnd w:id="54"/>
      <w:bookmarkEnd w:id="55"/>
      <w:bookmarkEnd w:id="56"/>
      <w:bookmarkEnd w:id="57"/>
      <w:bookmarkEnd w:id="58"/>
      <w:bookmarkEnd w:id="59"/>
    </w:p>
    <w:p w14:paraId="136C60FA">
      <w:pPr>
        <w:spacing w:line="360" w:lineRule="auto"/>
        <w:ind w:firstLine="482" w:firstLineChars="200"/>
        <w:textAlignment w:val="baseline"/>
        <w:rPr>
          <w:rFonts w:ascii="仿宋" w:hAnsi="仿宋" w:eastAsia="仿宋" w:cs="仿宋"/>
          <w:b/>
          <w:sz w:val="24"/>
          <w:szCs w:val="24"/>
        </w:rPr>
      </w:pPr>
      <w:r>
        <w:rPr>
          <w:rFonts w:hint="eastAsia" w:ascii="仿宋" w:hAnsi="仿宋" w:eastAsia="仿宋" w:cs="仿宋"/>
          <w:b/>
          <w:sz w:val="24"/>
          <w:szCs w:val="24"/>
        </w:rPr>
        <w:t>招标人：中国人民财产保险股份有限公司广州市分公司</w:t>
      </w:r>
    </w:p>
    <w:p w14:paraId="4300CA8B">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地址：广州市越秀区广州大道中303号</w:t>
      </w:r>
    </w:p>
    <w:p w14:paraId="76ED50F3">
      <w:pPr>
        <w:spacing w:line="360" w:lineRule="auto"/>
        <w:ind w:firstLine="482" w:firstLineChars="200"/>
        <w:textAlignment w:val="baseline"/>
        <w:rPr>
          <w:rFonts w:ascii="仿宋" w:hAnsi="仿宋" w:eastAsia="仿宋" w:cs="仿宋"/>
          <w:b/>
          <w:sz w:val="24"/>
          <w:szCs w:val="24"/>
        </w:rPr>
      </w:pPr>
      <w:r>
        <w:rPr>
          <w:rFonts w:hint="eastAsia" w:ascii="仿宋" w:hAnsi="仿宋" w:eastAsia="仿宋" w:cs="仿宋"/>
          <w:b/>
          <w:sz w:val="24"/>
          <w:szCs w:val="24"/>
        </w:rPr>
        <w:t>招标代理机构：中捷通信有限公司</w:t>
      </w:r>
    </w:p>
    <w:p w14:paraId="69B8510E">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地址：广州市越秀区较场西路21号</w:t>
      </w:r>
    </w:p>
    <w:p w14:paraId="78F1F0F6">
      <w:pPr>
        <w:spacing w:line="360" w:lineRule="auto"/>
        <w:ind w:firstLine="480" w:firstLineChars="200"/>
        <w:textAlignment w:val="baseline"/>
        <w:rPr>
          <w:rFonts w:ascii="仿宋" w:hAnsi="仿宋" w:eastAsia="仿宋" w:cs="仿宋"/>
          <w:sz w:val="24"/>
          <w:szCs w:val="24"/>
        </w:rPr>
      </w:pPr>
      <w:bookmarkStart w:id="60" w:name="_Hlk69457004"/>
      <w:r>
        <w:rPr>
          <w:rFonts w:hint="eastAsia" w:ascii="仿宋" w:hAnsi="仿宋" w:eastAsia="仿宋" w:cs="仿宋"/>
          <w:sz w:val="24"/>
          <w:szCs w:val="24"/>
        </w:rPr>
        <w:t>项目经理：丁海军（招标师）、叶家良、李叔文</w:t>
      </w:r>
    </w:p>
    <w:p w14:paraId="18438A1C">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电话：13660559868、13168804301</w:t>
      </w:r>
    </w:p>
    <w:p w14:paraId="567180AA">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电子邮件：13660559868@163.com</w:t>
      </w:r>
    </w:p>
    <w:bookmarkEnd w:id="60"/>
    <w:p w14:paraId="206D4AF9">
      <w:pPr>
        <w:spacing w:line="360" w:lineRule="auto"/>
        <w:ind w:firstLine="480" w:firstLineChars="200"/>
        <w:textAlignment w:val="baseline"/>
        <w:rPr>
          <w:rFonts w:ascii="仿宋" w:hAnsi="仿宋" w:eastAsia="仿宋" w:cs="仿宋"/>
          <w:bCs/>
          <w:sz w:val="24"/>
          <w:szCs w:val="24"/>
        </w:rPr>
      </w:pPr>
      <w:r>
        <w:rPr>
          <w:rFonts w:hint="eastAsia" w:ascii="仿宋" w:hAnsi="仿宋" w:eastAsia="仿宋" w:cs="仿宋"/>
          <w:bCs/>
          <w:sz w:val="24"/>
          <w:szCs w:val="24"/>
        </w:rPr>
        <w:t xml:space="preserve">开户银行：中信银行广州花园支行   </w:t>
      </w:r>
    </w:p>
    <w:p w14:paraId="132B81C8">
      <w:pPr>
        <w:spacing w:line="360" w:lineRule="auto"/>
        <w:ind w:firstLine="480" w:firstLineChars="200"/>
        <w:textAlignment w:val="baseline"/>
        <w:rPr>
          <w:rFonts w:ascii="仿宋" w:hAnsi="仿宋" w:eastAsia="仿宋" w:cs="仿宋"/>
          <w:bCs/>
          <w:sz w:val="24"/>
          <w:szCs w:val="24"/>
        </w:rPr>
      </w:pPr>
      <w:r>
        <w:rPr>
          <w:rFonts w:hint="eastAsia" w:ascii="仿宋" w:hAnsi="仿宋" w:eastAsia="仿宋" w:cs="仿宋"/>
          <w:bCs/>
          <w:sz w:val="24"/>
          <w:szCs w:val="24"/>
        </w:rPr>
        <w:t>账号：3110910043850050889</w:t>
      </w:r>
    </w:p>
    <w:p w14:paraId="6DE56DBD">
      <w:pPr>
        <w:spacing w:line="360" w:lineRule="auto"/>
        <w:ind w:firstLine="420"/>
        <w:rPr>
          <w:rFonts w:ascii="仿宋" w:hAnsi="仿宋" w:eastAsia="仿宋" w:cs="仿宋"/>
          <w:sz w:val="24"/>
          <w:szCs w:val="24"/>
        </w:rPr>
      </w:pPr>
      <w:bookmarkStart w:id="61" w:name="_Toc1946"/>
      <w:bookmarkStart w:id="62" w:name="_Toc109124231"/>
      <w:bookmarkStart w:id="63" w:name="_Toc65682922"/>
      <w:bookmarkStart w:id="64" w:name="_Toc11197"/>
      <w:bookmarkStart w:id="65" w:name="_Toc23286"/>
      <w:bookmarkStart w:id="66" w:name="_Toc25626"/>
    </w:p>
    <w:p w14:paraId="20E35B29">
      <w:pPr>
        <w:spacing w:line="360" w:lineRule="auto"/>
        <w:ind w:firstLine="480" w:firstLineChars="200"/>
        <w:jc w:val="right"/>
        <w:textAlignment w:val="baseline"/>
        <w:rPr>
          <w:rFonts w:ascii="仿宋" w:hAnsi="仿宋" w:eastAsia="仿宋" w:cs="仿宋"/>
          <w:sz w:val="24"/>
          <w:szCs w:val="24"/>
        </w:rPr>
      </w:pPr>
    </w:p>
    <w:p w14:paraId="74B4AE3E">
      <w:pPr>
        <w:spacing w:line="360" w:lineRule="auto"/>
        <w:ind w:firstLine="480" w:firstLineChars="200"/>
        <w:jc w:val="right"/>
        <w:textAlignment w:val="baseline"/>
        <w:rPr>
          <w:rFonts w:ascii="仿宋" w:hAnsi="仿宋" w:eastAsia="仿宋" w:cs="仿宋"/>
          <w:sz w:val="24"/>
          <w:szCs w:val="24"/>
        </w:rPr>
      </w:pPr>
      <w:r>
        <w:rPr>
          <w:rFonts w:hint="eastAsia" w:ascii="仿宋" w:hAnsi="仿宋" w:eastAsia="仿宋" w:cs="仿宋"/>
          <w:sz w:val="24"/>
          <w:szCs w:val="24"/>
        </w:rPr>
        <w:t>招标人：中国人民财产保险股份有限公司广州市分公司</w:t>
      </w:r>
    </w:p>
    <w:p w14:paraId="0578709D">
      <w:pPr>
        <w:spacing w:line="360" w:lineRule="auto"/>
        <w:ind w:firstLine="480" w:firstLineChars="200"/>
        <w:jc w:val="right"/>
        <w:textAlignment w:val="baseline"/>
        <w:rPr>
          <w:rFonts w:ascii="仿宋" w:hAnsi="仿宋" w:eastAsia="仿宋" w:cs="仿宋"/>
          <w:sz w:val="24"/>
          <w:szCs w:val="24"/>
        </w:rPr>
      </w:pPr>
      <w:r>
        <w:rPr>
          <w:rFonts w:hint="eastAsia" w:ascii="仿宋" w:hAnsi="仿宋" w:eastAsia="仿宋" w:cs="仿宋"/>
          <w:sz w:val="24"/>
          <w:szCs w:val="24"/>
        </w:rPr>
        <w:t>招标代理机构：中捷通信有限公司</w:t>
      </w:r>
    </w:p>
    <w:p w14:paraId="00F268A4">
      <w:pPr>
        <w:spacing w:line="360" w:lineRule="auto"/>
        <w:ind w:firstLine="480" w:firstLineChars="200"/>
        <w:jc w:val="right"/>
        <w:textAlignment w:val="baseline"/>
        <w:rPr>
          <w:rFonts w:ascii="仿宋" w:hAnsi="仿宋" w:eastAsia="仿宋" w:cs="仿宋"/>
          <w:sz w:val="24"/>
          <w:szCs w:val="24"/>
        </w:rPr>
      </w:pPr>
      <w:r>
        <w:rPr>
          <w:rFonts w:hint="eastAsia" w:ascii="仿宋" w:hAnsi="仿宋" w:eastAsia="仿宋" w:cs="仿宋"/>
          <w:sz w:val="24"/>
          <w:szCs w:val="24"/>
        </w:rPr>
        <w:t>日期：2025年0</w:t>
      </w:r>
      <w:r>
        <w:rPr>
          <w:rFonts w:hint="eastAsia" w:ascii="仿宋" w:hAnsi="仿宋" w:eastAsia="仿宋" w:cs="仿宋"/>
          <w:sz w:val="24"/>
          <w:szCs w:val="24"/>
          <w:lang w:val="en-US" w:eastAsia="zh-CN"/>
        </w:rPr>
        <w:t>7</w:t>
      </w:r>
      <w:r>
        <w:rPr>
          <w:rFonts w:hint="eastAsia" w:ascii="仿宋" w:hAnsi="仿宋" w:eastAsia="仿宋" w:cs="仿宋"/>
          <w:sz w:val="24"/>
          <w:szCs w:val="24"/>
        </w:rPr>
        <w:t>月</w:t>
      </w:r>
      <w:r>
        <w:rPr>
          <w:rFonts w:hint="eastAsia" w:ascii="仿宋" w:hAnsi="仿宋" w:eastAsia="仿宋" w:cs="仿宋"/>
          <w:sz w:val="24"/>
          <w:szCs w:val="24"/>
          <w:lang w:val="en-US" w:eastAsia="zh-CN"/>
        </w:rPr>
        <w:t>17</w:t>
      </w:r>
      <w:r>
        <w:rPr>
          <w:rFonts w:hint="eastAsia" w:ascii="仿宋" w:hAnsi="仿宋" w:eastAsia="仿宋" w:cs="仿宋"/>
          <w:sz w:val="24"/>
          <w:szCs w:val="24"/>
        </w:rPr>
        <w:t>日</w:t>
      </w:r>
    </w:p>
    <w:p w14:paraId="61320679">
      <w:pPr>
        <w:pStyle w:val="14"/>
        <w:spacing w:line="360" w:lineRule="auto"/>
        <w:rPr>
          <w:rFonts w:ascii="仿宋" w:hAnsi="仿宋" w:eastAsia="仿宋" w:cs="仿宋"/>
          <w:szCs w:val="21"/>
        </w:rPr>
      </w:pPr>
    </w:p>
    <w:p w14:paraId="7C11F516">
      <w:pPr>
        <w:pStyle w:val="3"/>
        <w:spacing w:before="0" w:after="0" w:line="360" w:lineRule="auto"/>
        <w:rPr>
          <w:rFonts w:ascii="仿宋" w:hAnsi="仿宋" w:cs="仿宋"/>
        </w:rPr>
      </w:pPr>
      <w:r>
        <w:rPr>
          <w:rFonts w:hint="eastAsia" w:ascii="仿宋" w:hAnsi="仿宋" w:cs="仿宋"/>
        </w:rPr>
        <w:br w:type="page"/>
      </w:r>
      <w:bookmarkStart w:id="67" w:name="_Toc28930"/>
      <w:r>
        <w:rPr>
          <w:rFonts w:hint="eastAsia" w:ascii="仿宋" w:hAnsi="仿宋" w:cs="仿宋"/>
        </w:rPr>
        <w:t>第二章 投标人须知</w:t>
      </w:r>
      <w:bookmarkEnd w:id="61"/>
      <w:bookmarkEnd w:id="62"/>
      <w:bookmarkEnd w:id="63"/>
      <w:bookmarkEnd w:id="64"/>
      <w:bookmarkEnd w:id="65"/>
      <w:bookmarkEnd w:id="66"/>
      <w:bookmarkEnd w:id="67"/>
    </w:p>
    <w:p w14:paraId="46E1145F">
      <w:pPr>
        <w:pStyle w:val="4"/>
        <w:jc w:val="center"/>
        <w:rPr>
          <w:rFonts w:ascii="仿宋" w:hAnsi="仿宋" w:cs="仿宋"/>
          <w:szCs w:val="24"/>
        </w:rPr>
      </w:pPr>
      <w:bookmarkStart w:id="68" w:name="_Toc3704"/>
      <w:bookmarkStart w:id="69" w:name="_Toc750"/>
      <w:bookmarkStart w:id="70" w:name="_Toc65682923"/>
      <w:bookmarkStart w:id="71" w:name="_Toc21246"/>
      <w:bookmarkStart w:id="72" w:name="_Toc26332"/>
      <w:bookmarkStart w:id="73" w:name="_Toc10064"/>
      <w:bookmarkStart w:id="74" w:name="_Toc109124232"/>
      <w:bookmarkStart w:id="75" w:name="_Toc3521"/>
      <w:bookmarkStart w:id="76" w:name="_Toc31194"/>
      <w:r>
        <w:rPr>
          <w:rFonts w:hint="eastAsia" w:ascii="仿宋" w:hAnsi="仿宋" w:cs="仿宋"/>
          <w:szCs w:val="24"/>
        </w:rPr>
        <w:t>投标人须知前附表</w:t>
      </w:r>
      <w:bookmarkEnd w:id="68"/>
      <w:bookmarkEnd w:id="69"/>
      <w:bookmarkEnd w:id="70"/>
      <w:bookmarkEnd w:id="71"/>
      <w:bookmarkEnd w:id="72"/>
      <w:bookmarkEnd w:id="73"/>
      <w:bookmarkEnd w:id="74"/>
      <w:bookmarkEnd w:id="75"/>
      <w:bookmarkEnd w:id="76"/>
    </w:p>
    <w:p w14:paraId="5880B5E7">
      <w:pPr>
        <w:spacing w:line="360" w:lineRule="auto"/>
        <w:textAlignment w:val="baseline"/>
        <w:rPr>
          <w:rFonts w:ascii="仿宋" w:hAnsi="仿宋" w:eastAsia="仿宋" w:cs="仿宋"/>
          <w:b/>
          <w:sz w:val="24"/>
          <w:szCs w:val="24"/>
        </w:rPr>
      </w:pPr>
      <w:r>
        <w:rPr>
          <w:rFonts w:hint="eastAsia" w:ascii="仿宋" w:hAnsi="仿宋" w:eastAsia="仿宋" w:cs="仿宋"/>
          <w:b/>
          <w:sz w:val="24"/>
          <w:szCs w:val="24"/>
        </w:rPr>
        <w:t>本投标人须知前附表是对投标人须知正文的具体补充和修改，如有矛盾，以本前附表为准。</w:t>
      </w:r>
    </w:p>
    <w:tbl>
      <w:tblPr>
        <w:tblStyle w:val="33"/>
        <w:tblW w:w="4997" w:type="pct"/>
        <w:jc w:val="center"/>
        <w:tblLayout w:type="autofit"/>
        <w:tblCellMar>
          <w:top w:w="0" w:type="dxa"/>
          <w:left w:w="108" w:type="dxa"/>
          <w:bottom w:w="0" w:type="dxa"/>
          <w:right w:w="108" w:type="dxa"/>
        </w:tblCellMar>
      </w:tblPr>
      <w:tblGrid>
        <w:gridCol w:w="827"/>
        <w:gridCol w:w="1720"/>
        <w:gridCol w:w="7301"/>
      </w:tblGrid>
      <w:tr w14:paraId="33F09E36">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7C41CAA9">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条款号</w:t>
            </w:r>
          </w:p>
        </w:tc>
        <w:tc>
          <w:tcPr>
            <w:tcW w:w="873" w:type="pct"/>
            <w:tcBorders>
              <w:top w:val="single" w:color="auto" w:sz="4" w:space="0"/>
              <w:left w:val="single" w:color="auto" w:sz="4" w:space="0"/>
              <w:bottom w:val="single" w:color="auto" w:sz="4" w:space="0"/>
              <w:right w:val="single" w:color="auto" w:sz="4" w:space="0"/>
            </w:tcBorders>
            <w:vAlign w:val="center"/>
          </w:tcPr>
          <w:p w14:paraId="2491D25F">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条款名称</w:t>
            </w:r>
          </w:p>
        </w:tc>
        <w:tc>
          <w:tcPr>
            <w:tcW w:w="3706" w:type="pct"/>
            <w:tcBorders>
              <w:top w:val="single" w:color="auto" w:sz="4" w:space="0"/>
              <w:left w:val="single" w:color="auto" w:sz="4" w:space="0"/>
              <w:bottom w:val="single" w:color="auto" w:sz="4" w:space="0"/>
              <w:right w:val="single" w:color="auto" w:sz="4" w:space="0"/>
            </w:tcBorders>
            <w:vAlign w:val="center"/>
          </w:tcPr>
          <w:p w14:paraId="6873E799">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编列内容</w:t>
            </w:r>
          </w:p>
        </w:tc>
      </w:tr>
      <w:tr w14:paraId="53BEE557">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347BCB24">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1.2</w:t>
            </w:r>
          </w:p>
        </w:tc>
        <w:tc>
          <w:tcPr>
            <w:tcW w:w="873" w:type="pct"/>
            <w:tcBorders>
              <w:top w:val="single" w:color="auto" w:sz="4" w:space="0"/>
              <w:left w:val="single" w:color="auto" w:sz="4" w:space="0"/>
              <w:bottom w:val="single" w:color="auto" w:sz="4" w:space="0"/>
              <w:right w:val="single" w:color="auto" w:sz="4" w:space="0"/>
            </w:tcBorders>
            <w:vAlign w:val="center"/>
          </w:tcPr>
          <w:p w14:paraId="0B565DA5">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资金来源及比例</w:t>
            </w:r>
          </w:p>
        </w:tc>
        <w:tc>
          <w:tcPr>
            <w:tcW w:w="3706" w:type="pct"/>
            <w:tcBorders>
              <w:top w:val="single" w:color="auto" w:sz="4" w:space="0"/>
              <w:left w:val="single" w:color="auto" w:sz="4" w:space="0"/>
              <w:bottom w:val="single" w:color="auto" w:sz="4" w:space="0"/>
              <w:right w:val="single" w:color="auto" w:sz="4" w:space="0"/>
            </w:tcBorders>
            <w:vAlign w:val="center"/>
          </w:tcPr>
          <w:p w14:paraId="1FCB366C">
            <w:pPr>
              <w:snapToGrid w:val="0"/>
              <w:spacing w:line="360" w:lineRule="auto"/>
              <w:rPr>
                <w:rFonts w:ascii="仿宋" w:hAnsi="仿宋" w:eastAsia="仿宋" w:cs="仿宋"/>
                <w:sz w:val="24"/>
                <w:szCs w:val="24"/>
              </w:rPr>
            </w:pPr>
            <w:r>
              <w:rPr>
                <w:rFonts w:hint="eastAsia" w:ascii="仿宋" w:hAnsi="仿宋" w:eastAsia="仿宋" w:cs="仿宋"/>
                <w:sz w:val="24"/>
                <w:szCs w:val="24"/>
              </w:rPr>
              <w:t>■招标人或其子公司（含分支机构）自筹（比例100%）</w:t>
            </w:r>
          </w:p>
          <w:p w14:paraId="70F41ED1">
            <w:pPr>
              <w:snapToGrid w:val="0"/>
              <w:spacing w:line="360" w:lineRule="auto"/>
              <w:rPr>
                <w:rFonts w:ascii="仿宋" w:hAnsi="仿宋" w:eastAsia="仿宋" w:cs="仿宋"/>
                <w:sz w:val="24"/>
                <w:szCs w:val="24"/>
              </w:rPr>
            </w:pPr>
            <w:r>
              <w:rPr>
                <w:rFonts w:hint="eastAsia" w:ascii="仿宋" w:hAnsi="仿宋" w:eastAsia="仿宋" w:cs="仿宋"/>
                <w:sz w:val="24"/>
                <w:szCs w:val="24"/>
              </w:rPr>
              <w:t>□使用财政资金</w:t>
            </w:r>
          </w:p>
          <w:p w14:paraId="3EC42BF1">
            <w:pPr>
              <w:snapToGrid w:val="0"/>
              <w:spacing w:line="360" w:lineRule="auto"/>
              <w:rPr>
                <w:rFonts w:ascii="仿宋" w:hAnsi="仿宋" w:eastAsia="仿宋" w:cs="仿宋"/>
                <w:sz w:val="24"/>
                <w:szCs w:val="24"/>
              </w:rPr>
            </w:pPr>
            <w:r>
              <w:rPr>
                <w:rFonts w:hint="eastAsia" w:ascii="仿宋" w:hAnsi="仿宋" w:eastAsia="仿宋" w:cs="仿宋"/>
                <w:sz w:val="24"/>
                <w:szCs w:val="24"/>
              </w:rPr>
              <w:t>□银行贷款</w:t>
            </w:r>
          </w:p>
          <w:p w14:paraId="5DB0FF3D">
            <w:pPr>
              <w:snapToGrid w:val="0"/>
              <w:spacing w:line="360" w:lineRule="auto"/>
              <w:rPr>
                <w:rFonts w:ascii="仿宋" w:hAnsi="仿宋" w:eastAsia="仿宋" w:cs="仿宋"/>
                <w:sz w:val="24"/>
                <w:szCs w:val="24"/>
              </w:rPr>
            </w:pPr>
            <w:r>
              <w:rPr>
                <w:rFonts w:hint="eastAsia" w:ascii="仿宋" w:hAnsi="仿宋" w:eastAsia="仿宋" w:cs="仿宋"/>
                <w:sz w:val="24"/>
                <w:szCs w:val="24"/>
              </w:rPr>
              <w:t>□国家融资</w:t>
            </w:r>
          </w:p>
          <w:p w14:paraId="6831CE19">
            <w:pPr>
              <w:snapToGrid w:val="0"/>
              <w:spacing w:line="360" w:lineRule="auto"/>
              <w:rPr>
                <w:rFonts w:ascii="仿宋" w:hAnsi="仿宋" w:eastAsia="仿宋" w:cs="仿宋"/>
                <w:sz w:val="24"/>
                <w:szCs w:val="24"/>
              </w:rPr>
            </w:pPr>
            <w:r>
              <w:rPr>
                <w:rFonts w:hint="eastAsia" w:ascii="仿宋" w:hAnsi="仿宋" w:eastAsia="仿宋" w:cs="仿宋"/>
                <w:sz w:val="24"/>
                <w:szCs w:val="24"/>
              </w:rPr>
              <w:t>□其他：</w:t>
            </w:r>
          </w:p>
        </w:tc>
      </w:tr>
      <w:tr w14:paraId="5B2AFC01">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5321318B">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1.3</w:t>
            </w:r>
          </w:p>
        </w:tc>
        <w:tc>
          <w:tcPr>
            <w:tcW w:w="873" w:type="pct"/>
            <w:tcBorders>
              <w:top w:val="single" w:color="auto" w:sz="4" w:space="0"/>
              <w:left w:val="single" w:color="auto" w:sz="4" w:space="0"/>
              <w:bottom w:val="single" w:color="auto" w:sz="4" w:space="0"/>
              <w:right w:val="single" w:color="auto" w:sz="4" w:space="0"/>
            </w:tcBorders>
            <w:vAlign w:val="center"/>
          </w:tcPr>
          <w:p w14:paraId="15B14CB9">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招标方式</w:t>
            </w:r>
          </w:p>
        </w:tc>
        <w:tc>
          <w:tcPr>
            <w:tcW w:w="3706" w:type="pct"/>
            <w:tcBorders>
              <w:top w:val="single" w:color="auto" w:sz="4" w:space="0"/>
              <w:left w:val="single" w:color="auto" w:sz="4" w:space="0"/>
              <w:bottom w:val="single" w:color="auto" w:sz="4" w:space="0"/>
              <w:right w:val="single" w:color="auto" w:sz="4" w:space="0"/>
            </w:tcBorders>
            <w:vAlign w:val="center"/>
          </w:tcPr>
          <w:p w14:paraId="6E148A9A">
            <w:pPr>
              <w:snapToGrid w:val="0"/>
              <w:spacing w:line="360" w:lineRule="auto"/>
              <w:textAlignment w:val="baseline"/>
              <w:rPr>
                <w:rFonts w:ascii="仿宋" w:hAnsi="仿宋" w:eastAsia="仿宋" w:cs="仿宋"/>
                <w:sz w:val="24"/>
                <w:szCs w:val="24"/>
              </w:rPr>
            </w:pPr>
            <w:r>
              <w:rPr>
                <w:rFonts w:hint="eastAsia" w:ascii="仿宋" w:hAnsi="仿宋" w:eastAsia="仿宋" w:cs="仿宋"/>
                <w:sz w:val="24"/>
                <w:szCs w:val="24"/>
              </w:rPr>
              <w:t>■公开招标</w:t>
            </w:r>
          </w:p>
          <w:p w14:paraId="61C7F36C">
            <w:pPr>
              <w:snapToGrid w:val="0"/>
              <w:spacing w:line="360" w:lineRule="auto"/>
              <w:textAlignment w:val="baseline"/>
              <w:rPr>
                <w:rFonts w:ascii="仿宋" w:hAnsi="仿宋" w:eastAsia="仿宋" w:cs="仿宋"/>
                <w:sz w:val="24"/>
                <w:szCs w:val="24"/>
              </w:rPr>
            </w:pPr>
            <w:r>
              <w:rPr>
                <w:rFonts w:hint="eastAsia" w:ascii="仿宋" w:hAnsi="仿宋" w:eastAsia="仿宋" w:cs="仿宋"/>
                <w:sz w:val="24"/>
                <w:szCs w:val="24"/>
              </w:rPr>
              <w:t>□邀请招标</w:t>
            </w:r>
          </w:p>
        </w:tc>
      </w:tr>
      <w:tr w14:paraId="6100DF8A">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0803BE16">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1.4</w:t>
            </w:r>
          </w:p>
        </w:tc>
        <w:tc>
          <w:tcPr>
            <w:tcW w:w="873" w:type="pct"/>
            <w:tcBorders>
              <w:top w:val="single" w:color="auto" w:sz="4" w:space="0"/>
              <w:left w:val="single" w:color="auto" w:sz="4" w:space="0"/>
              <w:bottom w:val="single" w:color="auto" w:sz="4" w:space="0"/>
              <w:right w:val="single" w:color="auto" w:sz="4" w:space="0"/>
            </w:tcBorders>
            <w:vAlign w:val="center"/>
          </w:tcPr>
          <w:p w14:paraId="6EDE2213">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招标组织形式</w:t>
            </w:r>
          </w:p>
        </w:tc>
        <w:tc>
          <w:tcPr>
            <w:tcW w:w="3706" w:type="pct"/>
            <w:tcBorders>
              <w:top w:val="single" w:color="auto" w:sz="4" w:space="0"/>
              <w:left w:val="single" w:color="auto" w:sz="4" w:space="0"/>
              <w:bottom w:val="single" w:color="auto" w:sz="4" w:space="0"/>
              <w:right w:val="single" w:color="auto" w:sz="4" w:space="0"/>
            </w:tcBorders>
            <w:vAlign w:val="center"/>
          </w:tcPr>
          <w:p w14:paraId="197D2532">
            <w:pPr>
              <w:pStyle w:val="121"/>
              <w:topLinePunct/>
              <w:snapToGrid w:val="0"/>
              <w:spacing w:line="360" w:lineRule="auto"/>
              <w:rPr>
                <w:rFonts w:ascii="仿宋" w:hAnsi="仿宋" w:eastAsia="仿宋" w:cs="仿宋"/>
                <w:szCs w:val="24"/>
              </w:rPr>
            </w:pPr>
            <w:r>
              <w:rPr>
                <w:rFonts w:hint="eastAsia" w:ascii="仿宋" w:hAnsi="仿宋" w:eastAsia="仿宋" w:cs="仿宋"/>
                <w:szCs w:val="24"/>
              </w:rPr>
              <w:t>□自行招标</w:t>
            </w:r>
          </w:p>
          <w:p w14:paraId="0D65CAFC">
            <w:pPr>
              <w:pStyle w:val="121"/>
              <w:topLinePunct/>
              <w:snapToGrid w:val="0"/>
              <w:spacing w:line="360" w:lineRule="auto"/>
              <w:rPr>
                <w:rFonts w:ascii="仿宋" w:hAnsi="仿宋" w:eastAsia="仿宋" w:cs="仿宋"/>
                <w:szCs w:val="24"/>
              </w:rPr>
            </w:pPr>
            <w:r>
              <w:rPr>
                <w:rFonts w:hint="eastAsia" w:ascii="仿宋" w:hAnsi="仿宋" w:eastAsia="仿宋" w:cs="仿宋"/>
                <w:szCs w:val="24"/>
              </w:rPr>
              <w:t xml:space="preserve">■委托招标代理机构代理招标 </w:t>
            </w:r>
          </w:p>
          <w:p w14:paraId="136BB4AA">
            <w:pPr>
              <w:pStyle w:val="121"/>
              <w:topLinePunct/>
              <w:snapToGrid w:val="0"/>
              <w:spacing w:line="360" w:lineRule="auto"/>
              <w:rPr>
                <w:rFonts w:ascii="仿宋" w:hAnsi="仿宋" w:eastAsia="仿宋" w:cs="仿宋"/>
                <w:szCs w:val="24"/>
              </w:rPr>
            </w:pPr>
            <w:r>
              <w:rPr>
                <w:rFonts w:hint="eastAsia" w:ascii="仿宋" w:hAnsi="仿宋" w:eastAsia="仿宋" w:cs="仿宋"/>
                <w:szCs w:val="24"/>
              </w:rPr>
              <w:t>招标代理机构名称：中捷通信有限公司</w:t>
            </w:r>
          </w:p>
        </w:tc>
      </w:tr>
      <w:tr w14:paraId="3073403B">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212E4410">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1.5</w:t>
            </w:r>
          </w:p>
        </w:tc>
        <w:tc>
          <w:tcPr>
            <w:tcW w:w="873" w:type="pct"/>
            <w:tcBorders>
              <w:top w:val="single" w:color="auto" w:sz="4" w:space="0"/>
              <w:left w:val="single" w:color="auto" w:sz="4" w:space="0"/>
              <w:bottom w:val="single" w:color="auto" w:sz="4" w:space="0"/>
              <w:right w:val="single" w:color="auto" w:sz="4" w:space="0"/>
            </w:tcBorders>
            <w:vAlign w:val="center"/>
          </w:tcPr>
          <w:p w14:paraId="16B5E11F">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资格审查方式</w:t>
            </w:r>
          </w:p>
        </w:tc>
        <w:tc>
          <w:tcPr>
            <w:tcW w:w="3706" w:type="pct"/>
            <w:tcBorders>
              <w:top w:val="single" w:color="auto" w:sz="4" w:space="0"/>
              <w:left w:val="single" w:color="auto" w:sz="4" w:space="0"/>
              <w:bottom w:val="single" w:color="auto" w:sz="4" w:space="0"/>
              <w:right w:val="single" w:color="auto" w:sz="4" w:space="0"/>
            </w:tcBorders>
            <w:vAlign w:val="center"/>
          </w:tcPr>
          <w:p w14:paraId="1FA113D4">
            <w:pPr>
              <w:pStyle w:val="121"/>
              <w:topLinePunct/>
              <w:snapToGrid w:val="0"/>
              <w:spacing w:line="360" w:lineRule="auto"/>
              <w:rPr>
                <w:rFonts w:ascii="仿宋" w:hAnsi="仿宋" w:eastAsia="仿宋" w:cs="仿宋"/>
                <w:szCs w:val="24"/>
              </w:rPr>
            </w:pPr>
            <w:r>
              <w:rPr>
                <w:rFonts w:hint="eastAsia" w:ascii="仿宋" w:hAnsi="仿宋" w:eastAsia="仿宋" w:cs="仿宋"/>
                <w:szCs w:val="24"/>
              </w:rPr>
              <w:t>□资格预审</w:t>
            </w:r>
          </w:p>
          <w:p w14:paraId="27CC1740">
            <w:pPr>
              <w:pStyle w:val="121"/>
              <w:topLinePunct/>
              <w:snapToGrid w:val="0"/>
              <w:spacing w:line="360" w:lineRule="auto"/>
              <w:rPr>
                <w:rFonts w:ascii="仿宋" w:hAnsi="仿宋" w:eastAsia="仿宋" w:cs="仿宋"/>
                <w:szCs w:val="24"/>
              </w:rPr>
            </w:pPr>
            <w:r>
              <w:rPr>
                <w:rFonts w:hint="eastAsia" w:ascii="仿宋" w:hAnsi="仿宋" w:eastAsia="仿宋" w:cs="仿宋"/>
                <w:szCs w:val="24"/>
              </w:rPr>
              <w:t>■资格后审</w:t>
            </w:r>
          </w:p>
        </w:tc>
      </w:tr>
      <w:tr w14:paraId="2A104BA6">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5918D62F">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2.1</w:t>
            </w:r>
          </w:p>
        </w:tc>
        <w:tc>
          <w:tcPr>
            <w:tcW w:w="873" w:type="pct"/>
            <w:tcBorders>
              <w:top w:val="single" w:color="auto" w:sz="4" w:space="0"/>
              <w:left w:val="single" w:color="auto" w:sz="4" w:space="0"/>
              <w:bottom w:val="single" w:color="auto" w:sz="4" w:space="0"/>
              <w:right w:val="single" w:color="auto" w:sz="4" w:space="0"/>
            </w:tcBorders>
            <w:vAlign w:val="center"/>
          </w:tcPr>
          <w:p w14:paraId="5818DEDE">
            <w:pPr>
              <w:snapToGrid w:val="0"/>
              <w:spacing w:line="360" w:lineRule="auto"/>
              <w:jc w:val="center"/>
              <w:rPr>
                <w:rFonts w:ascii="仿宋" w:hAnsi="仿宋" w:eastAsia="仿宋" w:cs="仿宋"/>
                <w:sz w:val="24"/>
                <w:szCs w:val="24"/>
              </w:rPr>
            </w:pPr>
            <w:r>
              <w:rPr>
                <w:rFonts w:hint="eastAsia" w:ascii="仿宋" w:hAnsi="仿宋" w:eastAsia="仿宋" w:cs="仿宋"/>
                <w:kern w:val="0"/>
                <w:sz w:val="24"/>
                <w:szCs w:val="24"/>
              </w:rPr>
              <w:t>招标文件的组成</w:t>
            </w:r>
          </w:p>
        </w:tc>
        <w:tc>
          <w:tcPr>
            <w:tcW w:w="3706" w:type="pct"/>
            <w:tcBorders>
              <w:top w:val="single" w:color="auto" w:sz="4" w:space="0"/>
              <w:left w:val="single" w:color="auto" w:sz="4" w:space="0"/>
              <w:bottom w:val="single" w:color="auto" w:sz="4" w:space="0"/>
              <w:right w:val="single" w:color="auto" w:sz="4" w:space="0"/>
            </w:tcBorders>
            <w:vAlign w:val="center"/>
          </w:tcPr>
          <w:p w14:paraId="0D34C8A3">
            <w:pPr>
              <w:widowControl/>
              <w:topLinePunct/>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本招标文件由以下部分组成：</w:t>
            </w:r>
          </w:p>
          <w:p w14:paraId="5D3534E0">
            <w:pPr>
              <w:widowControl/>
              <w:topLinePunct/>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第一章  招标公告</w:t>
            </w:r>
          </w:p>
          <w:p w14:paraId="7285B2FD">
            <w:pPr>
              <w:widowControl/>
              <w:topLinePunct/>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第二章  投标人须知</w:t>
            </w:r>
          </w:p>
          <w:p w14:paraId="739F3220">
            <w:pPr>
              <w:widowControl/>
              <w:topLinePunct/>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第三章  评标办法</w:t>
            </w:r>
          </w:p>
          <w:p w14:paraId="43103F06">
            <w:pPr>
              <w:widowControl/>
              <w:topLinePunct/>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第四章  合同条款</w:t>
            </w:r>
          </w:p>
          <w:p w14:paraId="75FAE745">
            <w:pPr>
              <w:widowControl/>
              <w:topLinePunct/>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第五章  技术规范书</w:t>
            </w:r>
          </w:p>
          <w:p w14:paraId="3008F16C">
            <w:pPr>
              <w:pStyle w:val="121"/>
              <w:topLinePunct/>
              <w:snapToGrid w:val="0"/>
              <w:spacing w:line="360" w:lineRule="auto"/>
              <w:rPr>
                <w:rFonts w:ascii="仿宋" w:hAnsi="仿宋" w:eastAsia="仿宋" w:cs="仿宋"/>
                <w:szCs w:val="24"/>
              </w:rPr>
            </w:pPr>
            <w:r>
              <w:rPr>
                <w:rFonts w:hint="eastAsia" w:ascii="仿宋" w:hAnsi="仿宋" w:eastAsia="仿宋" w:cs="仿宋"/>
                <w:kern w:val="0"/>
                <w:szCs w:val="24"/>
              </w:rPr>
              <w:t>第六章  投标文件格式</w:t>
            </w:r>
          </w:p>
        </w:tc>
      </w:tr>
      <w:tr w14:paraId="56522F72">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1A99CBED">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2.1.3</w:t>
            </w:r>
          </w:p>
        </w:tc>
        <w:tc>
          <w:tcPr>
            <w:tcW w:w="873" w:type="pct"/>
            <w:tcBorders>
              <w:top w:val="single" w:color="auto" w:sz="4" w:space="0"/>
              <w:left w:val="single" w:color="auto" w:sz="4" w:space="0"/>
              <w:bottom w:val="single" w:color="auto" w:sz="4" w:space="0"/>
              <w:right w:val="single" w:color="auto" w:sz="4" w:space="0"/>
            </w:tcBorders>
            <w:vAlign w:val="center"/>
          </w:tcPr>
          <w:p w14:paraId="685277B9">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★实质性要求的标识</w:t>
            </w:r>
          </w:p>
        </w:tc>
        <w:tc>
          <w:tcPr>
            <w:tcW w:w="3706" w:type="pct"/>
            <w:tcBorders>
              <w:top w:val="single" w:color="auto" w:sz="4" w:space="0"/>
              <w:left w:val="single" w:color="auto" w:sz="4" w:space="0"/>
              <w:bottom w:val="single" w:color="auto" w:sz="4" w:space="0"/>
              <w:right w:val="single" w:color="auto" w:sz="4" w:space="0"/>
            </w:tcBorders>
            <w:vAlign w:val="center"/>
          </w:tcPr>
          <w:p w14:paraId="3C1E7D11">
            <w:pPr>
              <w:pStyle w:val="121"/>
              <w:topLinePunct/>
              <w:snapToGrid w:val="0"/>
              <w:spacing w:line="360" w:lineRule="auto"/>
              <w:rPr>
                <w:rFonts w:ascii="仿宋" w:hAnsi="仿宋" w:eastAsia="仿宋" w:cs="仿宋"/>
                <w:szCs w:val="24"/>
              </w:rPr>
            </w:pPr>
            <w:r>
              <w:rPr>
                <w:rFonts w:hint="eastAsia" w:ascii="仿宋" w:hAnsi="仿宋" w:eastAsia="仿宋" w:cs="仿宋"/>
                <w:szCs w:val="24"/>
                <w:u w:val="single"/>
              </w:rPr>
              <w:t>招标文件中标识“★”条款、注明“投标将被否决”等的条款</w:t>
            </w:r>
            <w:r>
              <w:rPr>
                <w:rFonts w:hint="eastAsia" w:ascii="仿宋" w:hAnsi="仿宋" w:eastAsia="仿宋" w:cs="仿宋"/>
                <w:szCs w:val="24"/>
              </w:rPr>
              <w:t>，均为实质性条款，</w:t>
            </w:r>
            <w:r>
              <w:rPr>
                <w:rFonts w:hint="eastAsia" w:ascii="仿宋" w:hAnsi="仿宋" w:eastAsia="仿宋" w:cs="仿宋"/>
                <w:b/>
                <w:szCs w:val="24"/>
              </w:rPr>
              <w:t>不满足任意一项实质性条款的投标将被否决。</w:t>
            </w:r>
          </w:p>
        </w:tc>
      </w:tr>
      <w:tr w14:paraId="109DA03B">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4C0D77E1">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2.2</w:t>
            </w:r>
          </w:p>
        </w:tc>
        <w:tc>
          <w:tcPr>
            <w:tcW w:w="873" w:type="pct"/>
            <w:tcBorders>
              <w:top w:val="single" w:color="auto" w:sz="4" w:space="0"/>
              <w:left w:val="single" w:color="auto" w:sz="4" w:space="0"/>
              <w:bottom w:val="single" w:color="auto" w:sz="4" w:space="0"/>
              <w:right w:val="single" w:color="auto" w:sz="4" w:space="0"/>
            </w:tcBorders>
            <w:vAlign w:val="center"/>
          </w:tcPr>
          <w:p w14:paraId="62F768AD">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踏勘现场</w:t>
            </w:r>
          </w:p>
        </w:tc>
        <w:tc>
          <w:tcPr>
            <w:tcW w:w="3706" w:type="pct"/>
            <w:tcBorders>
              <w:top w:val="single" w:color="auto" w:sz="4" w:space="0"/>
              <w:left w:val="single" w:color="auto" w:sz="4" w:space="0"/>
              <w:bottom w:val="single" w:color="auto" w:sz="4" w:space="0"/>
              <w:right w:val="single" w:color="auto" w:sz="4" w:space="0"/>
            </w:tcBorders>
            <w:vAlign w:val="center"/>
          </w:tcPr>
          <w:p w14:paraId="545ABA47">
            <w:pPr>
              <w:pStyle w:val="121"/>
              <w:topLinePunct/>
              <w:snapToGrid w:val="0"/>
              <w:spacing w:line="360" w:lineRule="auto"/>
              <w:rPr>
                <w:rFonts w:ascii="仿宋" w:hAnsi="仿宋" w:eastAsia="仿宋" w:cs="仿宋"/>
                <w:szCs w:val="24"/>
              </w:rPr>
            </w:pPr>
            <w:r>
              <w:rPr>
                <w:rFonts w:hint="eastAsia" w:ascii="仿宋" w:hAnsi="仿宋" w:eastAsia="仿宋" w:cs="仿宋"/>
                <w:szCs w:val="24"/>
              </w:rPr>
              <w:t>■不组织</w:t>
            </w:r>
          </w:p>
          <w:p w14:paraId="4EA94206">
            <w:pPr>
              <w:pStyle w:val="121"/>
              <w:topLinePunct/>
              <w:snapToGrid w:val="0"/>
              <w:spacing w:line="360" w:lineRule="auto"/>
              <w:rPr>
                <w:rFonts w:ascii="仿宋" w:hAnsi="仿宋" w:eastAsia="仿宋" w:cs="仿宋"/>
                <w:szCs w:val="24"/>
              </w:rPr>
            </w:pPr>
            <w:r>
              <w:rPr>
                <w:rFonts w:hint="eastAsia" w:ascii="仿宋" w:hAnsi="仿宋" w:eastAsia="仿宋" w:cs="仿宋"/>
                <w:szCs w:val="24"/>
              </w:rPr>
              <w:t>□组织，踏勘现场时间、地点：</w:t>
            </w:r>
            <w:r>
              <w:rPr>
                <w:rFonts w:hint="eastAsia" w:ascii="仿宋" w:hAnsi="仿宋" w:eastAsia="仿宋" w:cs="仿宋"/>
                <w:szCs w:val="24"/>
                <w:u w:val="single"/>
              </w:rPr>
              <w:t xml:space="preserve">       </w:t>
            </w:r>
          </w:p>
        </w:tc>
      </w:tr>
      <w:tr w14:paraId="275F6730">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3E3A0EBC">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2.3</w:t>
            </w:r>
          </w:p>
        </w:tc>
        <w:tc>
          <w:tcPr>
            <w:tcW w:w="873" w:type="pct"/>
            <w:tcBorders>
              <w:top w:val="single" w:color="auto" w:sz="4" w:space="0"/>
              <w:left w:val="single" w:color="auto" w:sz="4" w:space="0"/>
              <w:bottom w:val="single" w:color="auto" w:sz="4" w:space="0"/>
              <w:right w:val="single" w:color="auto" w:sz="4" w:space="0"/>
            </w:tcBorders>
            <w:vAlign w:val="center"/>
          </w:tcPr>
          <w:p w14:paraId="0CCDBAED">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投标预备会</w:t>
            </w:r>
          </w:p>
        </w:tc>
        <w:tc>
          <w:tcPr>
            <w:tcW w:w="3706" w:type="pct"/>
            <w:tcBorders>
              <w:top w:val="single" w:color="auto" w:sz="4" w:space="0"/>
              <w:left w:val="single" w:color="auto" w:sz="4" w:space="0"/>
              <w:bottom w:val="single" w:color="auto" w:sz="4" w:space="0"/>
              <w:right w:val="single" w:color="auto" w:sz="4" w:space="0"/>
            </w:tcBorders>
            <w:vAlign w:val="center"/>
          </w:tcPr>
          <w:p w14:paraId="01DE3FF4">
            <w:pPr>
              <w:pStyle w:val="121"/>
              <w:topLinePunct/>
              <w:snapToGrid w:val="0"/>
              <w:spacing w:line="360" w:lineRule="auto"/>
              <w:rPr>
                <w:rFonts w:ascii="仿宋" w:hAnsi="仿宋" w:eastAsia="仿宋" w:cs="仿宋"/>
                <w:szCs w:val="24"/>
              </w:rPr>
            </w:pPr>
            <w:r>
              <w:rPr>
                <w:rFonts w:hint="eastAsia" w:ascii="仿宋" w:hAnsi="仿宋" w:eastAsia="仿宋" w:cs="仿宋"/>
                <w:szCs w:val="24"/>
              </w:rPr>
              <w:t>■不召开</w:t>
            </w:r>
          </w:p>
          <w:p w14:paraId="2CB9646C">
            <w:pPr>
              <w:pStyle w:val="121"/>
              <w:topLinePunct/>
              <w:snapToGrid w:val="0"/>
              <w:spacing w:line="360" w:lineRule="auto"/>
              <w:rPr>
                <w:rFonts w:ascii="仿宋" w:hAnsi="仿宋" w:eastAsia="仿宋" w:cs="仿宋"/>
                <w:szCs w:val="24"/>
              </w:rPr>
            </w:pPr>
            <w:r>
              <w:rPr>
                <w:rFonts w:hint="eastAsia" w:ascii="仿宋" w:hAnsi="仿宋" w:eastAsia="仿宋" w:cs="仿宋"/>
                <w:szCs w:val="24"/>
              </w:rPr>
              <w:t xml:space="preserve">□召开，召开投标预备会的时间、地点： </w:t>
            </w:r>
            <w:r>
              <w:rPr>
                <w:rFonts w:hint="eastAsia" w:ascii="仿宋" w:hAnsi="仿宋" w:eastAsia="仿宋" w:cs="仿宋"/>
                <w:szCs w:val="24"/>
                <w:u w:val="single"/>
              </w:rPr>
              <w:t xml:space="preserve">       </w:t>
            </w:r>
            <w:r>
              <w:rPr>
                <w:rFonts w:hint="eastAsia" w:ascii="仿宋" w:hAnsi="仿宋" w:eastAsia="仿宋" w:cs="仿宋"/>
                <w:szCs w:val="24"/>
              </w:rPr>
              <w:t xml:space="preserve">                      </w:t>
            </w:r>
          </w:p>
        </w:tc>
      </w:tr>
      <w:tr w14:paraId="7BEAEED2">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40D30E9A">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2.4.1</w:t>
            </w:r>
          </w:p>
        </w:tc>
        <w:tc>
          <w:tcPr>
            <w:tcW w:w="873" w:type="pct"/>
            <w:tcBorders>
              <w:top w:val="single" w:color="auto" w:sz="4" w:space="0"/>
              <w:left w:val="single" w:color="auto" w:sz="4" w:space="0"/>
              <w:bottom w:val="single" w:color="auto" w:sz="4" w:space="0"/>
              <w:right w:val="single" w:color="auto" w:sz="4" w:space="0"/>
            </w:tcBorders>
            <w:vAlign w:val="center"/>
          </w:tcPr>
          <w:p w14:paraId="0E94332F">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投标人提出澄清的</w:t>
            </w:r>
            <w:r>
              <w:rPr>
                <w:rFonts w:hint="eastAsia" w:ascii="仿宋" w:hAnsi="仿宋" w:eastAsia="仿宋" w:cs="仿宋"/>
                <w:sz w:val="24"/>
                <w:szCs w:val="24"/>
              </w:rPr>
              <w:br w:type="textWrapping"/>
            </w:r>
            <w:r>
              <w:rPr>
                <w:rFonts w:hint="eastAsia" w:ascii="仿宋" w:hAnsi="仿宋" w:eastAsia="仿宋" w:cs="仿宋"/>
                <w:sz w:val="24"/>
                <w:szCs w:val="24"/>
              </w:rPr>
              <w:t>截止时间和方式</w:t>
            </w:r>
          </w:p>
        </w:tc>
        <w:tc>
          <w:tcPr>
            <w:tcW w:w="3706" w:type="pct"/>
            <w:tcBorders>
              <w:top w:val="single" w:color="auto" w:sz="4" w:space="0"/>
              <w:left w:val="single" w:color="auto" w:sz="4" w:space="0"/>
              <w:bottom w:val="single" w:color="auto" w:sz="4" w:space="0"/>
              <w:right w:val="single" w:color="auto" w:sz="4" w:space="0"/>
            </w:tcBorders>
            <w:vAlign w:val="center"/>
          </w:tcPr>
          <w:p w14:paraId="719C5D64">
            <w:pPr>
              <w:pStyle w:val="121"/>
              <w:topLinePunct/>
              <w:snapToGrid w:val="0"/>
              <w:spacing w:line="360" w:lineRule="auto"/>
              <w:rPr>
                <w:rFonts w:ascii="仿宋" w:hAnsi="仿宋" w:eastAsia="仿宋" w:cs="仿宋"/>
                <w:szCs w:val="24"/>
              </w:rPr>
            </w:pPr>
            <w:r>
              <w:rPr>
                <w:rFonts w:hint="eastAsia" w:ascii="仿宋" w:hAnsi="仿宋" w:eastAsia="仿宋" w:cs="仿宋"/>
                <w:b/>
                <w:szCs w:val="24"/>
              </w:rPr>
              <w:t>截止时间：</w:t>
            </w:r>
            <w:r>
              <w:rPr>
                <w:rFonts w:hint="eastAsia" w:ascii="仿宋" w:hAnsi="仿宋" w:eastAsia="仿宋" w:cs="仿宋"/>
                <w:b/>
                <w:szCs w:val="24"/>
                <w:u w:val="single"/>
              </w:rPr>
              <w:t>2025年0</w:t>
            </w:r>
            <w:r>
              <w:rPr>
                <w:rFonts w:hint="eastAsia" w:ascii="仿宋" w:hAnsi="仿宋" w:eastAsia="仿宋" w:cs="仿宋"/>
                <w:b/>
                <w:szCs w:val="24"/>
                <w:u w:val="single"/>
                <w:lang w:val="en-US" w:eastAsia="zh-CN"/>
              </w:rPr>
              <w:t>7</w:t>
            </w:r>
            <w:r>
              <w:rPr>
                <w:rFonts w:hint="eastAsia" w:ascii="仿宋" w:hAnsi="仿宋" w:eastAsia="仿宋" w:cs="仿宋"/>
                <w:b/>
                <w:szCs w:val="24"/>
                <w:u w:val="single"/>
              </w:rPr>
              <w:t>月</w:t>
            </w:r>
            <w:r>
              <w:rPr>
                <w:rFonts w:hint="eastAsia" w:ascii="仿宋" w:hAnsi="仿宋" w:eastAsia="仿宋" w:cs="仿宋"/>
                <w:b/>
                <w:szCs w:val="24"/>
                <w:u w:val="single"/>
                <w:lang w:val="en-US" w:eastAsia="zh-CN"/>
              </w:rPr>
              <w:t>28</w:t>
            </w:r>
            <w:r>
              <w:rPr>
                <w:rFonts w:hint="eastAsia" w:ascii="仿宋" w:hAnsi="仿宋" w:eastAsia="仿宋" w:cs="仿宋"/>
                <w:b/>
                <w:szCs w:val="24"/>
                <w:u w:val="single"/>
              </w:rPr>
              <w:t>日24时00分</w:t>
            </w:r>
          </w:p>
          <w:p w14:paraId="69489622">
            <w:pPr>
              <w:pStyle w:val="121"/>
              <w:topLinePunct/>
              <w:snapToGrid w:val="0"/>
              <w:spacing w:line="360" w:lineRule="auto"/>
              <w:rPr>
                <w:rFonts w:ascii="仿宋" w:hAnsi="仿宋" w:eastAsia="仿宋" w:cs="仿宋"/>
                <w:szCs w:val="24"/>
                <w:u w:val="single"/>
              </w:rPr>
            </w:pPr>
            <w:r>
              <w:rPr>
                <w:rFonts w:hint="eastAsia" w:ascii="仿宋" w:hAnsi="仿宋" w:eastAsia="仿宋" w:cs="仿宋"/>
                <w:szCs w:val="24"/>
              </w:rPr>
              <w:t>提出澄清的方式：</w:t>
            </w:r>
            <w:r>
              <w:rPr>
                <w:rFonts w:hint="eastAsia" w:ascii="仿宋" w:hAnsi="仿宋" w:eastAsia="仿宋" w:cs="仿宋"/>
                <w:szCs w:val="24"/>
                <w:u w:val="single"/>
              </w:rPr>
              <w:t>书面方式</w:t>
            </w:r>
          </w:p>
          <w:p w14:paraId="013FB7D0">
            <w:pPr>
              <w:pStyle w:val="121"/>
              <w:topLinePunct/>
              <w:snapToGrid w:val="0"/>
              <w:spacing w:line="360" w:lineRule="auto"/>
              <w:rPr>
                <w:rFonts w:ascii="仿宋" w:hAnsi="仿宋" w:eastAsia="仿宋" w:cs="仿宋"/>
                <w:szCs w:val="24"/>
                <w:u w:val="single"/>
              </w:rPr>
            </w:pPr>
            <w:r>
              <w:rPr>
                <w:rFonts w:hint="eastAsia" w:ascii="仿宋" w:hAnsi="仿宋" w:eastAsia="仿宋" w:cs="仿宋"/>
                <w:szCs w:val="24"/>
                <w:u w:val="single"/>
              </w:rPr>
              <w:t>1、所有需要澄清的疑问应通过电子邮箱发送至采购代理机构邮箱（需提供可编辑版word格式与电子扫描件两种形式，扫描件需加盖公司公章），在规定的时间未收到投标人的疑问函视为无疑问，投标人不得以未提出疑问作为招标文件存在错漏的理由。</w:t>
            </w:r>
          </w:p>
          <w:p w14:paraId="057AEE75">
            <w:pPr>
              <w:pStyle w:val="121"/>
              <w:topLinePunct/>
              <w:snapToGrid w:val="0"/>
              <w:spacing w:line="360" w:lineRule="auto"/>
              <w:rPr>
                <w:rFonts w:ascii="仿宋" w:hAnsi="仿宋" w:eastAsia="仿宋" w:cs="仿宋"/>
                <w:szCs w:val="24"/>
                <w:u w:val="single"/>
              </w:rPr>
            </w:pPr>
            <w:r>
              <w:rPr>
                <w:rFonts w:hint="eastAsia" w:ascii="仿宋" w:hAnsi="仿宋" w:eastAsia="仿宋" w:cs="仿宋"/>
                <w:szCs w:val="24"/>
                <w:u w:val="single"/>
              </w:rPr>
              <w:t>2、招标人将以书面形式予以解答并向所有投标人进行传达，招标人的书面答疑文件为《招标文件》的组成部分，与招标文件具备同等法律效力。</w:t>
            </w:r>
          </w:p>
        </w:tc>
      </w:tr>
      <w:tr w14:paraId="1B80A50C">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4A4EED2C">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2.4.3</w:t>
            </w:r>
          </w:p>
        </w:tc>
        <w:tc>
          <w:tcPr>
            <w:tcW w:w="873" w:type="pct"/>
            <w:tcBorders>
              <w:top w:val="single" w:color="auto" w:sz="4" w:space="0"/>
              <w:left w:val="single" w:color="auto" w:sz="4" w:space="0"/>
              <w:bottom w:val="single" w:color="auto" w:sz="4" w:space="0"/>
              <w:right w:val="single" w:color="auto" w:sz="4" w:space="0"/>
            </w:tcBorders>
            <w:vAlign w:val="center"/>
          </w:tcPr>
          <w:p w14:paraId="78A56A00">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投标人确认收到澄清或修改的截止时间和方式</w:t>
            </w:r>
          </w:p>
        </w:tc>
        <w:tc>
          <w:tcPr>
            <w:tcW w:w="3706" w:type="pct"/>
            <w:tcBorders>
              <w:top w:val="single" w:color="auto" w:sz="4" w:space="0"/>
              <w:left w:val="single" w:color="auto" w:sz="4" w:space="0"/>
              <w:bottom w:val="single" w:color="auto" w:sz="4" w:space="0"/>
              <w:right w:val="single" w:color="auto" w:sz="4" w:space="0"/>
            </w:tcBorders>
            <w:vAlign w:val="center"/>
          </w:tcPr>
          <w:p w14:paraId="656D8937">
            <w:pPr>
              <w:pStyle w:val="121"/>
              <w:topLinePunct/>
              <w:snapToGrid w:val="0"/>
              <w:spacing w:line="360" w:lineRule="auto"/>
              <w:rPr>
                <w:rFonts w:ascii="仿宋" w:hAnsi="仿宋" w:eastAsia="仿宋" w:cs="仿宋"/>
                <w:bCs/>
                <w:szCs w:val="24"/>
                <w:u w:val="single"/>
              </w:rPr>
            </w:pPr>
            <w:r>
              <w:rPr>
                <w:rFonts w:hint="eastAsia" w:ascii="仿宋" w:hAnsi="仿宋" w:eastAsia="仿宋" w:cs="仿宋"/>
                <w:b/>
                <w:szCs w:val="24"/>
              </w:rPr>
              <w:t>确认收到澄清或修改的时间：</w:t>
            </w:r>
            <w:r>
              <w:rPr>
                <w:rFonts w:hint="eastAsia" w:ascii="仿宋" w:hAnsi="仿宋" w:eastAsia="仿宋" w:cs="仿宋"/>
                <w:bCs/>
                <w:szCs w:val="24"/>
                <w:u w:val="single"/>
              </w:rPr>
              <w:t>收到招标文件澄清或修改通知后1个工作日内。</w:t>
            </w:r>
          </w:p>
          <w:p w14:paraId="6D64CC3D">
            <w:pPr>
              <w:pStyle w:val="121"/>
              <w:topLinePunct/>
              <w:snapToGrid w:val="0"/>
              <w:spacing w:line="360" w:lineRule="auto"/>
              <w:rPr>
                <w:rFonts w:ascii="仿宋" w:hAnsi="仿宋" w:eastAsia="仿宋" w:cs="仿宋"/>
                <w:szCs w:val="24"/>
                <w:u w:val="single"/>
                <w:lang w:eastAsia="zh-Hans"/>
              </w:rPr>
            </w:pPr>
            <w:r>
              <w:rPr>
                <w:rFonts w:hint="eastAsia" w:ascii="仿宋" w:hAnsi="仿宋" w:eastAsia="仿宋" w:cs="仿宋"/>
                <w:bCs/>
                <w:szCs w:val="24"/>
              </w:rPr>
              <w:t>确认收到澄清或修改文件的方式：</w:t>
            </w:r>
            <w:r>
              <w:rPr>
                <w:rFonts w:hint="eastAsia" w:ascii="仿宋" w:hAnsi="仿宋" w:eastAsia="仿宋" w:cs="仿宋"/>
                <w:szCs w:val="24"/>
                <w:u w:val="single"/>
              </w:rPr>
              <w:t>通过电子邮件查看确认，将该函件加盖公章扫描后发至招标代理机构邮箱。若投标人未在规定时间内确认的，将视为已收到和确认该答疑文件，该答疑文件对投标人具有约束力。</w:t>
            </w:r>
          </w:p>
        </w:tc>
      </w:tr>
      <w:tr w14:paraId="782FBFE6">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7AC0ED26">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3.1</w:t>
            </w:r>
          </w:p>
        </w:tc>
        <w:tc>
          <w:tcPr>
            <w:tcW w:w="873" w:type="pct"/>
            <w:tcBorders>
              <w:top w:val="single" w:color="auto" w:sz="4" w:space="0"/>
              <w:left w:val="single" w:color="auto" w:sz="4" w:space="0"/>
              <w:bottom w:val="single" w:color="auto" w:sz="4" w:space="0"/>
              <w:right w:val="single" w:color="auto" w:sz="4" w:space="0"/>
            </w:tcBorders>
            <w:vAlign w:val="center"/>
          </w:tcPr>
          <w:p w14:paraId="62F87F8E">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投标文件的组成</w:t>
            </w:r>
          </w:p>
        </w:tc>
        <w:tc>
          <w:tcPr>
            <w:tcW w:w="3706" w:type="pct"/>
            <w:tcBorders>
              <w:top w:val="single" w:color="auto" w:sz="4" w:space="0"/>
              <w:left w:val="single" w:color="auto" w:sz="4" w:space="0"/>
              <w:bottom w:val="single" w:color="auto" w:sz="4" w:space="0"/>
              <w:right w:val="single" w:color="auto" w:sz="4" w:space="0"/>
            </w:tcBorders>
            <w:vAlign w:val="center"/>
          </w:tcPr>
          <w:p w14:paraId="40749CE6">
            <w:pPr>
              <w:pStyle w:val="122"/>
              <w:snapToGrid w:val="0"/>
              <w:spacing w:line="360" w:lineRule="auto"/>
              <w:rPr>
                <w:rFonts w:ascii="仿宋" w:hAnsi="仿宋" w:eastAsia="仿宋" w:cs="仿宋"/>
                <w:b/>
                <w:bCs/>
                <w:kern w:val="2"/>
                <w:szCs w:val="24"/>
              </w:rPr>
            </w:pPr>
            <w:r>
              <w:rPr>
                <w:rFonts w:hint="eastAsia" w:ascii="仿宋" w:hAnsi="仿宋" w:eastAsia="仿宋" w:cs="仿宋"/>
                <w:b/>
                <w:bCs/>
                <w:kern w:val="2"/>
                <w:szCs w:val="24"/>
              </w:rPr>
              <w:t>（1）投标文件按照招标文件第六章分成三册（商务文件一册、技术文件一册、报价文件一册）编制，如同时参与多个标包的投标，需独立编制各个标包的投标文件。</w:t>
            </w:r>
          </w:p>
          <w:p w14:paraId="5B0FCCBC">
            <w:pPr>
              <w:pStyle w:val="122"/>
              <w:snapToGrid w:val="0"/>
              <w:spacing w:line="360" w:lineRule="auto"/>
              <w:rPr>
                <w:rFonts w:ascii="仿宋" w:hAnsi="仿宋" w:eastAsia="仿宋" w:cs="仿宋"/>
                <w:szCs w:val="24"/>
              </w:rPr>
            </w:pPr>
            <w:r>
              <w:rPr>
                <w:rFonts w:hint="eastAsia" w:ascii="仿宋" w:hAnsi="仿宋" w:eastAsia="仿宋" w:cs="仿宋"/>
                <w:b/>
                <w:bCs/>
                <w:kern w:val="2"/>
                <w:szCs w:val="24"/>
              </w:rPr>
              <w:t>★（2）所有报价文件务必单独成册，不得与商务册、技术册文件合并装订，并且商务册、技术册文件不得有任何明示、暗示投标报价的内容，否则投标将被否决。</w:t>
            </w:r>
          </w:p>
        </w:tc>
      </w:tr>
      <w:tr w14:paraId="07F13E17">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21C961FC">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3.2</w:t>
            </w:r>
          </w:p>
        </w:tc>
        <w:tc>
          <w:tcPr>
            <w:tcW w:w="873" w:type="pct"/>
            <w:tcBorders>
              <w:top w:val="single" w:color="auto" w:sz="4" w:space="0"/>
              <w:left w:val="single" w:color="auto" w:sz="4" w:space="0"/>
              <w:bottom w:val="single" w:color="auto" w:sz="4" w:space="0"/>
              <w:right w:val="single" w:color="auto" w:sz="4" w:space="0"/>
            </w:tcBorders>
            <w:vAlign w:val="center"/>
          </w:tcPr>
          <w:p w14:paraId="29D51410">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投标文件应答和编写</w:t>
            </w:r>
          </w:p>
        </w:tc>
        <w:tc>
          <w:tcPr>
            <w:tcW w:w="3706" w:type="pct"/>
            <w:tcBorders>
              <w:top w:val="single" w:color="auto" w:sz="4" w:space="0"/>
              <w:left w:val="single" w:color="auto" w:sz="4" w:space="0"/>
              <w:bottom w:val="single" w:color="auto" w:sz="4" w:space="0"/>
              <w:right w:val="single" w:color="auto" w:sz="4" w:space="0"/>
            </w:tcBorders>
            <w:vAlign w:val="center"/>
          </w:tcPr>
          <w:p w14:paraId="2EA756CA">
            <w:pPr>
              <w:tabs>
                <w:tab w:val="left" w:pos="318"/>
              </w:tabs>
              <w:snapToGrid w:val="0"/>
              <w:spacing w:line="360" w:lineRule="auto"/>
              <w:rPr>
                <w:rFonts w:ascii="仿宋" w:hAnsi="仿宋" w:eastAsia="仿宋" w:cs="仿宋"/>
                <w:sz w:val="24"/>
                <w:szCs w:val="24"/>
              </w:rPr>
            </w:pPr>
            <w:r>
              <w:rPr>
                <w:rFonts w:hint="eastAsia" w:ascii="仿宋" w:hAnsi="仿宋" w:eastAsia="仿宋" w:cs="仿宋"/>
                <w:sz w:val="24"/>
                <w:szCs w:val="24"/>
              </w:rPr>
              <w:t>（1）投标人应当逐条对照第二章投标人须知、第四章合同条款进行偏离表应答，只能使用“满足”和“不满足”进行应答。如有“不满足”项，在偏离表中标明条款序号，应答“不满足”并加以详细的解释说明；</w:t>
            </w:r>
            <w:r>
              <w:rPr>
                <w:rFonts w:hint="eastAsia" w:ascii="仿宋" w:hAnsi="仿宋" w:eastAsia="仿宋" w:cs="仿宋"/>
                <w:b/>
                <w:bCs/>
                <w:sz w:val="24"/>
                <w:szCs w:val="24"/>
              </w:rPr>
              <w:t>如全部满足，在偏离表中应答“全部满足”即可</w:t>
            </w:r>
            <w:r>
              <w:rPr>
                <w:rFonts w:hint="eastAsia" w:ascii="仿宋" w:hAnsi="仿宋" w:eastAsia="仿宋" w:cs="仿宋"/>
                <w:sz w:val="24"/>
                <w:szCs w:val="24"/>
              </w:rPr>
              <w:t>，不应再附加任何说明（招标文件中要求进行解释或提出建议的除外）。</w:t>
            </w:r>
          </w:p>
          <w:p w14:paraId="21542873">
            <w:pPr>
              <w:tabs>
                <w:tab w:val="left" w:pos="318"/>
              </w:tabs>
              <w:snapToGrid w:val="0"/>
              <w:spacing w:line="360" w:lineRule="auto"/>
              <w:rPr>
                <w:rFonts w:ascii="仿宋" w:hAnsi="仿宋" w:eastAsia="仿宋" w:cs="仿宋"/>
                <w:sz w:val="24"/>
                <w:szCs w:val="24"/>
              </w:rPr>
            </w:pPr>
            <w:r>
              <w:rPr>
                <w:rFonts w:hint="eastAsia" w:ascii="仿宋" w:hAnsi="仿宋" w:eastAsia="仿宋" w:cs="仿宋"/>
                <w:sz w:val="24"/>
                <w:szCs w:val="24"/>
              </w:rPr>
              <w:t>（2）投标人应当逐条对照第五章技术规范书进行偏离表应答。只能使用“满足”和“不满足”进行应答，不得使用“明白”、“理解”等词语。投标人认为满足并优于技术规范书要求的条款，应答“满足”并解释说明优于的具体程度；如有“不满足”项，在偏离表中标明条款序号，应答“不满足”并加以详细的解释说明；</w:t>
            </w:r>
            <w:r>
              <w:rPr>
                <w:rFonts w:hint="eastAsia" w:ascii="仿宋" w:hAnsi="仿宋" w:eastAsia="仿宋" w:cs="仿宋"/>
                <w:b/>
                <w:bCs/>
                <w:sz w:val="24"/>
                <w:szCs w:val="24"/>
              </w:rPr>
              <w:t>如全部满足，在偏离表中应答“全部满足”即可</w:t>
            </w:r>
            <w:r>
              <w:rPr>
                <w:rFonts w:hint="eastAsia" w:ascii="仿宋" w:hAnsi="仿宋" w:eastAsia="仿宋" w:cs="仿宋"/>
                <w:sz w:val="24"/>
                <w:szCs w:val="24"/>
              </w:rPr>
              <w:t>，不应再附加任何说明（招标文件中要求进行解释或提出建议的除外）。</w:t>
            </w:r>
          </w:p>
          <w:p w14:paraId="3E182FC6">
            <w:pPr>
              <w:autoSpaceDE w:val="0"/>
              <w:autoSpaceDN w:val="0"/>
              <w:snapToGrid w:val="0"/>
              <w:spacing w:line="360" w:lineRule="auto"/>
              <w:rPr>
                <w:rFonts w:ascii="仿宋" w:hAnsi="仿宋" w:eastAsia="仿宋" w:cs="仿宋"/>
                <w:sz w:val="24"/>
                <w:szCs w:val="24"/>
              </w:rPr>
            </w:pPr>
            <w:r>
              <w:rPr>
                <w:rFonts w:hint="eastAsia" w:ascii="仿宋" w:hAnsi="仿宋" w:eastAsia="仿宋" w:cs="仿宋"/>
                <w:bCs/>
                <w:sz w:val="24"/>
                <w:szCs w:val="24"/>
              </w:rPr>
              <w:t>（3）</w:t>
            </w:r>
            <w:bookmarkStart w:id="77" w:name="_Hlk173251213"/>
            <w:r>
              <w:rPr>
                <w:rFonts w:hint="eastAsia" w:ascii="仿宋" w:hAnsi="仿宋" w:eastAsia="仿宋" w:cs="仿宋"/>
                <w:bCs/>
                <w:sz w:val="24"/>
                <w:szCs w:val="24"/>
              </w:rPr>
              <w:t>对于招标文件中提及的原件或复印件要求，照片件、扫描件、影印件、截图件等与其具有同等效力（招标文件有特殊要求的除外）。</w:t>
            </w:r>
            <w:bookmarkEnd w:id="77"/>
          </w:p>
        </w:tc>
      </w:tr>
      <w:tr w14:paraId="7BCE1FE9">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3D6574E6">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3.2.4</w:t>
            </w:r>
          </w:p>
        </w:tc>
        <w:tc>
          <w:tcPr>
            <w:tcW w:w="873" w:type="pct"/>
            <w:tcBorders>
              <w:top w:val="single" w:color="auto" w:sz="4" w:space="0"/>
              <w:left w:val="single" w:color="auto" w:sz="4" w:space="0"/>
              <w:bottom w:val="single" w:color="auto" w:sz="4" w:space="0"/>
              <w:right w:val="single" w:color="auto" w:sz="4" w:space="0"/>
            </w:tcBorders>
            <w:vAlign w:val="center"/>
          </w:tcPr>
          <w:p w14:paraId="5F7E9F3D">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★投标文件的盖章或签字要求</w:t>
            </w:r>
          </w:p>
        </w:tc>
        <w:tc>
          <w:tcPr>
            <w:tcW w:w="3706" w:type="pct"/>
            <w:tcBorders>
              <w:top w:val="single" w:color="auto" w:sz="4" w:space="0"/>
              <w:left w:val="single" w:color="auto" w:sz="4" w:space="0"/>
              <w:bottom w:val="single" w:color="auto" w:sz="4" w:space="0"/>
              <w:right w:val="single" w:color="auto" w:sz="4" w:space="0"/>
            </w:tcBorders>
            <w:vAlign w:val="center"/>
          </w:tcPr>
          <w:p w14:paraId="6F84433C">
            <w:pPr>
              <w:pStyle w:val="121"/>
              <w:topLinePunct/>
              <w:snapToGrid w:val="0"/>
              <w:spacing w:line="360" w:lineRule="auto"/>
              <w:rPr>
                <w:rFonts w:ascii="仿宋" w:hAnsi="仿宋" w:eastAsia="仿宋" w:cs="仿宋"/>
                <w:szCs w:val="24"/>
              </w:rPr>
            </w:pPr>
            <w:r>
              <w:rPr>
                <w:rFonts w:hint="eastAsia" w:ascii="仿宋" w:hAnsi="仿宋" w:eastAsia="仿宋" w:cs="仿宋"/>
                <w:szCs w:val="24"/>
              </w:rPr>
              <w:t>（1）《法定代表人（负责人）身份证明》的落款处应加盖公章。</w:t>
            </w:r>
          </w:p>
          <w:p w14:paraId="4769EA31">
            <w:pPr>
              <w:pStyle w:val="121"/>
              <w:topLinePunct/>
              <w:snapToGrid w:val="0"/>
              <w:spacing w:line="360" w:lineRule="auto"/>
              <w:rPr>
                <w:rFonts w:ascii="仿宋" w:hAnsi="仿宋" w:eastAsia="仿宋" w:cs="仿宋"/>
                <w:szCs w:val="24"/>
              </w:rPr>
            </w:pPr>
            <w:r>
              <w:rPr>
                <w:rFonts w:hint="eastAsia" w:ascii="仿宋" w:hAnsi="仿宋" w:eastAsia="仿宋" w:cs="仿宋"/>
                <w:szCs w:val="24"/>
              </w:rPr>
              <w:t>（2）《法定代表人（负责人）授权委托书》的落款处应加盖公章</w:t>
            </w:r>
            <w:r>
              <w:rPr>
                <w:rFonts w:hint="eastAsia" w:ascii="仿宋" w:hAnsi="仿宋" w:eastAsia="仿宋" w:cs="仿宋"/>
                <w:b/>
                <w:szCs w:val="24"/>
              </w:rPr>
              <w:t>并由</w:t>
            </w:r>
            <w:r>
              <w:rPr>
                <w:rFonts w:hint="eastAsia" w:ascii="仿宋" w:hAnsi="仿宋" w:eastAsia="仿宋" w:cs="仿宋"/>
                <w:szCs w:val="24"/>
              </w:rPr>
              <w:t>法定代表人（负责人）</w:t>
            </w:r>
            <w:r>
              <w:rPr>
                <w:rFonts w:hint="eastAsia" w:ascii="仿宋" w:hAnsi="仿宋" w:eastAsia="仿宋" w:cs="仿宋"/>
                <w:b/>
                <w:szCs w:val="24"/>
              </w:rPr>
              <w:t>和</w:t>
            </w:r>
            <w:r>
              <w:rPr>
                <w:rFonts w:hint="eastAsia" w:ascii="仿宋" w:hAnsi="仿宋" w:eastAsia="仿宋" w:cs="仿宋"/>
                <w:szCs w:val="24"/>
              </w:rPr>
              <w:t>其委托代理人</w:t>
            </w:r>
            <w:r>
              <w:rPr>
                <w:rFonts w:hint="eastAsia" w:ascii="仿宋" w:hAnsi="仿宋" w:eastAsia="仿宋" w:cs="仿宋"/>
                <w:b/>
                <w:szCs w:val="24"/>
              </w:rPr>
              <w:t>双方</w:t>
            </w:r>
            <w:r>
              <w:rPr>
                <w:rFonts w:hint="eastAsia" w:ascii="仿宋" w:hAnsi="仿宋" w:eastAsia="仿宋" w:cs="仿宋"/>
                <w:szCs w:val="24"/>
              </w:rPr>
              <w:t>签字。</w:t>
            </w:r>
          </w:p>
          <w:p w14:paraId="3982CD82">
            <w:pPr>
              <w:pStyle w:val="121"/>
              <w:topLinePunct/>
              <w:snapToGrid w:val="0"/>
              <w:spacing w:line="360" w:lineRule="auto"/>
              <w:rPr>
                <w:rFonts w:ascii="仿宋" w:hAnsi="仿宋" w:eastAsia="仿宋" w:cs="仿宋"/>
                <w:szCs w:val="24"/>
              </w:rPr>
            </w:pPr>
            <w:r>
              <w:rPr>
                <w:rFonts w:hint="eastAsia" w:ascii="仿宋" w:hAnsi="仿宋" w:eastAsia="仿宋" w:cs="仿宋"/>
                <w:szCs w:val="24"/>
              </w:rPr>
              <w:t>（3）投标文件格式中其他有落款的文件，</w:t>
            </w:r>
            <w:r>
              <w:rPr>
                <w:rFonts w:hint="eastAsia" w:ascii="仿宋" w:hAnsi="仿宋" w:eastAsia="仿宋" w:cs="仿宋"/>
                <w:b/>
                <w:szCs w:val="24"/>
              </w:rPr>
              <w:t>均需</w:t>
            </w:r>
            <w:r>
              <w:rPr>
                <w:rFonts w:hint="eastAsia" w:ascii="仿宋" w:hAnsi="仿宋" w:eastAsia="仿宋" w:cs="仿宋"/>
                <w:szCs w:val="24"/>
              </w:rPr>
              <w:t>加盖公章。</w:t>
            </w:r>
          </w:p>
          <w:p w14:paraId="7F68F350">
            <w:pPr>
              <w:pStyle w:val="121"/>
              <w:topLinePunct/>
              <w:snapToGrid w:val="0"/>
              <w:spacing w:line="360" w:lineRule="auto"/>
              <w:rPr>
                <w:rFonts w:ascii="仿宋" w:hAnsi="仿宋" w:eastAsia="仿宋" w:cs="仿宋"/>
                <w:szCs w:val="24"/>
              </w:rPr>
            </w:pPr>
            <w:r>
              <w:rPr>
                <w:rFonts w:hint="eastAsia" w:ascii="仿宋" w:hAnsi="仿宋" w:eastAsia="仿宋" w:cs="仿宋"/>
                <w:szCs w:val="24"/>
              </w:rPr>
              <w:t>（4）投标文件的所有签字处均指手写签字</w:t>
            </w:r>
            <w:r>
              <w:rPr>
                <w:rFonts w:hint="eastAsia" w:ascii="仿宋" w:hAnsi="仿宋" w:eastAsia="仿宋" w:cs="仿宋"/>
                <w:b/>
                <w:szCs w:val="24"/>
              </w:rPr>
              <w:t>或</w:t>
            </w:r>
            <w:r>
              <w:rPr>
                <w:rFonts w:hint="eastAsia" w:ascii="仿宋" w:hAnsi="仿宋" w:eastAsia="仿宋" w:cs="仿宋"/>
                <w:szCs w:val="24"/>
              </w:rPr>
              <w:t>签名章/印章</w:t>
            </w:r>
            <w:r>
              <w:rPr>
                <w:rFonts w:hint="eastAsia" w:ascii="仿宋" w:hAnsi="仿宋" w:eastAsia="仿宋" w:cs="仿宋"/>
                <w:b/>
                <w:bCs/>
                <w:szCs w:val="24"/>
              </w:rPr>
              <w:t>或</w:t>
            </w:r>
            <w:r>
              <w:rPr>
                <w:rFonts w:hint="eastAsia" w:ascii="仿宋" w:hAnsi="仿宋" w:eastAsia="仿宋" w:cs="仿宋"/>
                <w:szCs w:val="24"/>
              </w:rPr>
              <w:t>CA签名章，</w:t>
            </w:r>
            <w:r>
              <w:rPr>
                <w:rFonts w:hint="eastAsia" w:ascii="仿宋" w:hAnsi="仿宋" w:eastAsia="仿宋" w:cs="仿宋"/>
                <w:b/>
                <w:szCs w:val="24"/>
              </w:rPr>
              <w:t>不得</w:t>
            </w:r>
            <w:r>
              <w:rPr>
                <w:rFonts w:hint="eastAsia" w:ascii="仿宋" w:hAnsi="仿宋" w:eastAsia="仿宋" w:cs="仿宋"/>
                <w:szCs w:val="24"/>
              </w:rPr>
              <w:t>以打印体代替。</w:t>
            </w:r>
          </w:p>
          <w:p w14:paraId="4432802E">
            <w:pPr>
              <w:pStyle w:val="121"/>
              <w:topLinePunct/>
              <w:snapToGrid w:val="0"/>
              <w:spacing w:line="360" w:lineRule="auto"/>
              <w:rPr>
                <w:rFonts w:ascii="仿宋" w:hAnsi="仿宋" w:eastAsia="仿宋" w:cs="仿宋"/>
                <w:szCs w:val="24"/>
              </w:rPr>
            </w:pPr>
            <w:r>
              <w:rPr>
                <w:rFonts w:hint="eastAsia" w:ascii="仿宋" w:hAnsi="仿宋" w:eastAsia="仿宋" w:cs="仿宋"/>
                <w:szCs w:val="24"/>
              </w:rPr>
              <w:t>（5）除上述文件以外的其他投标文件组成部分必须逐页盖章或加盖骑缝章（骑缝章必须覆盖所有投标文件），或由法定代表人逐页签字或签章或其委托代理人逐页手签。</w:t>
            </w:r>
          </w:p>
        </w:tc>
      </w:tr>
      <w:tr w14:paraId="21C76AA1">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622DBACE">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3.3.4</w:t>
            </w:r>
          </w:p>
        </w:tc>
        <w:tc>
          <w:tcPr>
            <w:tcW w:w="873" w:type="pct"/>
            <w:tcBorders>
              <w:top w:val="single" w:color="auto" w:sz="4" w:space="0"/>
              <w:left w:val="single" w:color="auto" w:sz="4" w:space="0"/>
              <w:bottom w:val="single" w:color="auto" w:sz="4" w:space="0"/>
              <w:right w:val="single" w:color="auto" w:sz="4" w:space="0"/>
            </w:tcBorders>
            <w:vAlign w:val="center"/>
          </w:tcPr>
          <w:p w14:paraId="3379CCC8">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★最高投标限价</w:t>
            </w:r>
          </w:p>
        </w:tc>
        <w:tc>
          <w:tcPr>
            <w:tcW w:w="3706" w:type="pct"/>
            <w:tcBorders>
              <w:top w:val="single" w:color="auto" w:sz="4" w:space="0"/>
              <w:left w:val="single" w:color="auto" w:sz="4" w:space="0"/>
              <w:bottom w:val="single" w:color="auto" w:sz="4" w:space="0"/>
              <w:right w:val="single" w:color="auto" w:sz="4" w:space="0"/>
            </w:tcBorders>
            <w:vAlign w:val="center"/>
          </w:tcPr>
          <w:p w14:paraId="17BAA08C">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□不设置最高投标限价</w:t>
            </w:r>
          </w:p>
          <w:p w14:paraId="5CE1CA92">
            <w:pPr>
              <w:pStyle w:val="117"/>
              <w:snapToGrid w:val="0"/>
              <w:spacing w:line="360" w:lineRule="auto"/>
              <w:rPr>
                <w:rFonts w:ascii="仿宋" w:hAnsi="仿宋" w:eastAsia="仿宋" w:cs="仿宋"/>
                <w:spacing w:val="-4"/>
                <w:sz w:val="24"/>
                <w:szCs w:val="24"/>
              </w:rPr>
            </w:pPr>
            <w:r>
              <w:rPr>
                <w:rFonts w:hint="eastAsia" w:ascii="仿宋" w:hAnsi="仿宋" w:eastAsia="仿宋" w:cs="仿宋"/>
                <w:sz w:val="24"/>
                <w:szCs w:val="24"/>
              </w:rPr>
              <w:t>■</w:t>
            </w:r>
            <w:r>
              <w:rPr>
                <w:rFonts w:hint="eastAsia" w:ascii="仿宋" w:hAnsi="仿宋" w:eastAsia="仿宋" w:cs="仿宋"/>
                <w:spacing w:val="-4"/>
                <w:sz w:val="24"/>
                <w:szCs w:val="24"/>
              </w:rPr>
              <w:t xml:space="preserve">设置最高投标限价    </w:t>
            </w:r>
          </w:p>
          <w:p w14:paraId="322E9405">
            <w:pPr>
              <w:pStyle w:val="117"/>
              <w:snapToGrid w:val="0"/>
              <w:spacing w:line="360" w:lineRule="auto"/>
              <w:rPr>
                <w:rFonts w:ascii="仿宋" w:hAnsi="仿宋" w:eastAsia="仿宋" w:cs="仿宋"/>
                <w:sz w:val="24"/>
                <w:szCs w:val="24"/>
                <w:u w:val="single"/>
              </w:rPr>
            </w:pPr>
            <w:r>
              <w:rPr>
                <w:rFonts w:hint="eastAsia" w:ascii="仿宋" w:hAnsi="仿宋" w:eastAsia="仿宋" w:cs="仿宋"/>
                <w:spacing w:val="-4"/>
                <w:sz w:val="24"/>
                <w:szCs w:val="24"/>
              </w:rPr>
              <w:t>本项目最高投标限价为：</w:t>
            </w:r>
            <w:r>
              <w:rPr>
                <w:rFonts w:hint="eastAsia" w:ascii="仿宋" w:hAnsi="仿宋" w:eastAsia="仿宋" w:cs="仿宋"/>
                <w:b/>
                <w:bCs/>
                <w:spacing w:val="-4"/>
                <w:sz w:val="24"/>
                <w:szCs w:val="24"/>
              </w:rPr>
              <w:t>最高投标限价折扣率</w:t>
            </w:r>
            <w:r>
              <w:rPr>
                <w:rFonts w:hint="eastAsia" w:ascii="仿宋" w:hAnsi="仿宋" w:eastAsia="仿宋" w:cs="仿宋"/>
                <w:b/>
                <w:bCs/>
                <w:spacing w:val="-4"/>
                <w:sz w:val="24"/>
                <w:szCs w:val="24"/>
                <w:u w:val="single"/>
              </w:rPr>
              <w:t>为100%；</w:t>
            </w:r>
            <w:r>
              <w:rPr>
                <w:rFonts w:hint="eastAsia" w:ascii="仿宋" w:hAnsi="仿宋" w:eastAsia="仿宋" w:cs="仿宋"/>
                <w:b/>
                <w:bCs/>
                <w:spacing w:val="-4"/>
                <w:sz w:val="24"/>
                <w:szCs w:val="24"/>
              </w:rPr>
              <w:t>投标报价不得超过</w:t>
            </w:r>
            <w:r>
              <w:rPr>
                <w:rFonts w:hint="eastAsia" w:ascii="仿宋" w:hAnsi="仿宋" w:eastAsia="仿宋" w:cs="仿宋"/>
                <w:b/>
                <w:bCs/>
                <w:spacing w:val="-4"/>
                <w:sz w:val="24"/>
                <w:szCs w:val="24"/>
                <w:u w:val="single"/>
              </w:rPr>
              <w:t>最高投标限价，</w:t>
            </w:r>
            <w:r>
              <w:rPr>
                <w:rFonts w:hint="eastAsia" w:ascii="仿宋" w:hAnsi="仿宋" w:eastAsia="仿宋" w:cs="仿宋"/>
                <w:spacing w:val="-4"/>
                <w:sz w:val="24"/>
                <w:szCs w:val="24"/>
              </w:rPr>
              <w:t>投标报价也不得为</w:t>
            </w:r>
            <w:r>
              <w:rPr>
                <w:rFonts w:hint="eastAsia" w:ascii="仿宋" w:hAnsi="仿宋" w:eastAsia="仿宋" w:cs="仿宋"/>
                <w:spacing w:val="-4"/>
                <w:sz w:val="24"/>
                <w:szCs w:val="24"/>
                <w:u w:val="single"/>
              </w:rPr>
              <w:t>区间值（如90%-95%）</w:t>
            </w:r>
            <w:r>
              <w:rPr>
                <w:rFonts w:hint="eastAsia" w:ascii="仿宋" w:hAnsi="仿宋" w:eastAsia="仿宋" w:cs="仿宋"/>
                <w:spacing w:val="-4"/>
                <w:sz w:val="24"/>
                <w:szCs w:val="24"/>
              </w:rPr>
              <w:t>，</w:t>
            </w:r>
            <w:r>
              <w:rPr>
                <w:rFonts w:hint="eastAsia" w:ascii="仿宋" w:hAnsi="仿宋" w:eastAsia="仿宋" w:cs="仿宋"/>
                <w:b/>
                <w:bCs/>
                <w:spacing w:val="-4"/>
                <w:sz w:val="24"/>
                <w:szCs w:val="24"/>
              </w:rPr>
              <w:t>否则</w:t>
            </w:r>
            <w:r>
              <w:rPr>
                <w:rFonts w:hint="eastAsia" w:ascii="仿宋" w:hAnsi="仿宋" w:eastAsia="仿宋" w:cs="仿宋"/>
                <w:b/>
                <w:spacing w:val="-4"/>
                <w:sz w:val="24"/>
                <w:szCs w:val="24"/>
              </w:rPr>
              <w:t>投标将被否决。</w:t>
            </w:r>
          </w:p>
        </w:tc>
      </w:tr>
      <w:tr w14:paraId="416DB3C8">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36119B9C">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3.3.5</w:t>
            </w:r>
          </w:p>
        </w:tc>
        <w:tc>
          <w:tcPr>
            <w:tcW w:w="873" w:type="pct"/>
            <w:tcBorders>
              <w:top w:val="single" w:color="auto" w:sz="4" w:space="0"/>
              <w:left w:val="single" w:color="auto" w:sz="4" w:space="0"/>
              <w:bottom w:val="single" w:color="auto" w:sz="4" w:space="0"/>
              <w:right w:val="single" w:color="auto" w:sz="4" w:space="0"/>
            </w:tcBorders>
            <w:vAlign w:val="center"/>
          </w:tcPr>
          <w:p w14:paraId="5926F1F5">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投标报价的具体要求</w:t>
            </w:r>
          </w:p>
        </w:tc>
        <w:tc>
          <w:tcPr>
            <w:tcW w:w="3706" w:type="pct"/>
            <w:tcBorders>
              <w:top w:val="single" w:color="auto" w:sz="4" w:space="0"/>
              <w:left w:val="single" w:color="auto" w:sz="4" w:space="0"/>
              <w:bottom w:val="single" w:color="auto" w:sz="4" w:space="0"/>
              <w:right w:val="single" w:color="auto" w:sz="4" w:space="0"/>
            </w:tcBorders>
            <w:vAlign w:val="center"/>
          </w:tcPr>
          <w:p w14:paraId="2BAAC3CC">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本条款增加以下内容：</w:t>
            </w:r>
          </w:p>
          <w:p w14:paraId="025A8FEC">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（1）投标总价为完成本项目规定工作所需的全部税费，包括但不限于产品费用、提供技术服务人员、必要工具设备的所有费用及税金等，除此之外，招标人不再支付任何费用。</w:t>
            </w:r>
          </w:p>
          <w:p w14:paraId="5B932BD9">
            <w:pPr>
              <w:pStyle w:val="117"/>
              <w:snapToGrid w:val="0"/>
              <w:spacing w:line="360" w:lineRule="auto"/>
              <w:rPr>
                <w:rFonts w:ascii="仿宋" w:hAnsi="仿宋" w:eastAsia="仿宋" w:cs="仿宋"/>
                <w:b/>
                <w:sz w:val="24"/>
                <w:szCs w:val="24"/>
              </w:rPr>
            </w:pPr>
            <w:r>
              <w:rPr>
                <w:rFonts w:hint="eastAsia" w:ascii="仿宋" w:hAnsi="仿宋" w:eastAsia="仿宋" w:cs="仿宋"/>
                <w:sz w:val="24"/>
                <w:szCs w:val="24"/>
              </w:rPr>
              <w:t>（2）投标人应根据技术规范书的要求并遵照“第六章 投标文件格式”给出的投标一览表、分项报价表进行报价，</w:t>
            </w:r>
            <w:r>
              <w:rPr>
                <w:rFonts w:hint="eastAsia" w:ascii="仿宋" w:hAnsi="仿宋" w:eastAsia="仿宋" w:cs="仿宋"/>
                <w:b/>
                <w:sz w:val="24"/>
                <w:szCs w:val="24"/>
              </w:rPr>
              <w:t>不得缺省或回避填写，否则视为非实质性响应，投标将被否决。</w:t>
            </w:r>
          </w:p>
          <w:p w14:paraId="3F97A521">
            <w:pPr>
              <w:pStyle w:val="117"/>
              <w:snapToGrid w:val="0"/>
              <w:spacing w:line="360" w:lineRule="auto"/>
              <w:rPr>
                <w:rFonts w:ascii="仿宋" w:hAnsi="仿宋" w:eastAsia="仿宋" w:cs="仿宋"/>
                <w:b/>
                <w:sz w:val="24"/>
                <w:szCs w:val="24"/>
              </w:rPr>
            </w:pPr>
            <w:r>
              <w:rPr>
                <w:rFonts w:hint="eastAsia" w:ascii="仿宋" w:hAnsi="仿宋" w:eastAsia="仿宋" w:cs="仿宋"/>
                <w:sz w:val="24"/>
                <w:szCs w:val="24"/>
              </w:rPr>
              <w:t>（3）如国家后续对增值税税率进行调整，在不含税（单）价报价不变的基础上，按照新税率重新计算含税（总）价。</w:t>
            </w:r>
          </w:p>
        </w:tc>
      </w:tr>
      <w:tr w14:paraId="4082F66F">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27888DFE">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3.4.1</w:t>
            </w:r>
          </w:p>
        </w:tc>
        <w:tc>
          <w:tcPr>
            <w:tcW w:w="873" w:type="pct"/>
            <w:tcBorders>
              <w:top w:val="single" w:color="auto" w:sz="4" w:space="0"/>
              <w:left w:val="single" w:color="auto" w:sz="4" w:space="0"/>
              <w:bottom w:val="single" w:color="auto" w:sz="4" w:space="0"/>
              <w:right w:val="single" w:color="auto" w:sz="4" w:space="0"/>
            </w:tcBorders>
            <w:vAlign w:val="center"/>
          </w:tcPr>
          <w:p w14:paraId="39B002CF">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★投标有效期</w:t>
            </w:r>
          </w:p>
        </w:tc>
        <w:tc>
          <w:tcPr>
            <w:tcW w:w="3706" w:type="pct"/>
            <w:tcBorders>
              <w:top w:val="single" w:color="auto" w:sz="4" w:space="0"/>
              <w:left w:val="single" w:color="auto" w:sz="4" w:space="0"/>
              <w:bottom w:val="single" w:color="auto" w:sz="4" w:space="0"/>
              <w:right w:val="single" w:color="auto" w:sz="4" w:space="0"/>
            </w:tcBorders>
            <w:vAlign w:val="center"/>
          </w:tcPr>
          <w:p w14:paraId="04025592">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投标有效期：</w:t>
            </w:r>
            <w:r>
              <w:rPr>
                <w:rFonts w:hint="eastAsia" w:ascii="仿宋" w:hAnsi="仿宋" w:eastAsia="仿宋" w:cs="仿宋"/>
                <w:sz w:val="24"/>
                <w:szCs w:val="24"/>
                <w:u w:val="single"/>
              </w:rPr>
              <w:t>90天。</w:t>
            </w:r>
          </w:p>
        </w:tc>
      </w:tr>
      <w:tr w14:paraId="48636166">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6142DC65">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3.5.1</w:t>
            </w:r>
          </w:p>
        </w:tc>
        <w:tc>
          <w:tcPr>
            <w:tcW w:w="873" w:type="pct"/>
            <w:tcBorders>
              <w:top w:val="single" w:color="auto" w:sz="4" w:space="0"/>
              <w:left w:val="single" w:color="auto" w:sz="4" w:space="0"/>
              <w:bottom w:val="single" w:color="auto" w:sz="4" w:space="0"/>
              <w:right w:val="single" w:color="auto" w:sz="4" w:space="0"/>
            </w:tcBorders>
            <w:vAlign w:val="center"/>
          </w:tcPr>
          <w:p w14:paraId="02D15634">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★投标保证金的金额</w:t>
            </w:r>
          </w:p>
        </w:tc>
        <w:tc>
          <w:tcPr>
            <w:tcW w:w="3706" w:type="pct"/>
            <w:tcBorders>
              <w:top w:val="single" w:color="auto" w:sz="4" w:space="0"/>
              <w:left w:val="single" w:color="auto" w:sz="4" w:space="0"/>
              <w:bottom w:val="single" w:color="auto" w:sz="4" w:space="0"/>
              <w:right w:val="single" w:color="auto" w:sz="4" w:space="0"/>
            </w:tcBorders>
            <w:vAlign w:val="center"/>
          </w:tcPr>
          <w:p w14:paraId="35CA908E">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投标保证金金额：</w:t>
            </w:r>
            <w:r>
              <w:rPr>
                <w:rFonts w:hint="eastAsia" w:ascii="仿宋" w:hAnsi="仿宋" w:eastAsia="仿宋" w:cs="仿宋"/>
                <w:b/>
                <w:bCs/>
                <w:sz w:val="24"/>
                <w:szCs w:val="24"/>
                <w:u w:val="single"/>
              </w:rPr>
              <w:t>人民币10000元；</w:t>
            </w:r>
          </w:p>
        </w:tc>
      </w:tr>
      <w:tr w14:paraId="4B3B9FED">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7872243E">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3.5.1</w:t>
            </w:r>
          </w:p>
        </w:tc>
        <w:tc>
          <w:tcPr>
            <w:tcW w:w="873" w:type="pct"/>
            <w:tcBorders>
              <w:top w:val="single" w:color="auto" w:sz="4" w:space="0"/>
              <w:left w:val="single" w:color="auto" w:sz="4" w:space="0"/>
              <w:bottom w:val="single" w:color="auto" w:sz="4" w:space="0"/>
              <w:right w:val="single" w:color="auto" w:sz="4" w:space="0"/>
            </w:tcBorders>
            <w:vAlign w:val="center"/>
          </w:tcPr>
          <w:p w14:paraId="62A9472E">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★投标保证金的形式</w:t>
            </w:r>
          </w:p>
        </w:tc>
        <w:tc>
          <w:tcPr>
            <w:tcW w:w="3706" w:type="pct"/>
            <w:tcBorders>
              <w:top w:val="single" w:color="auto" w:sz="4" w:space="0"/>
              <w:left w:val="single" w:color="auto" w:sz="4" w:space="0"/>
              <w:bottom w:val="single" w:color="auto" w:sz="4" w:space="0"/>
              <w:right w:val="single" w:color="auto" w:sz="4" w:space="0"/>
            </w:tcBorders>
            <w:vAlign w:val="center"/>
          </w:tcPr>
          <w:p w14:paraId="5CEDE3EB">
            <w:pPr>
              <w:widowControl/>
              <w:snapToGrid w:val="0"/>
              <w:spacing w:line="360" w:lineRule="auto"/>
              <w:jc w:val="left"/>
              <w:rPr>
                <w:rFonts w:ascii="仿宋" w:hAnsi="仿宋" w:eastAsia="仿宋" w:cs="仿宋"/>
                <w:sz w:val="24"/>
                <w:szCs w:val="24"/>
              </w:rPr>
            </w:pPr>
            <w:r>
              <w:rPr>
                <w:rFonts w:hint="eastAsia" w:ascii="仿宋" w:hAnsi="仿宋" w:eastAsia="仿宋" w:cs="仿宋"/>
                <w:kern w:val="0"/>
                <w:sz w:val="24"/>
                <w:szCs w:val="24"/>
                <w:lang w:bidi="ar"/>
              </w:rPr>
              <w:t>（1）投标保证金的形式：银行电汇/银行转账/在中国注册的银行出具的银行保函/电子保函/投标保证保险。</w:t>
            </w:r>
          </w:p>
          <w:p w14:paraId="51042679">
            <w:pPr>
              <w:widowControl/>
              <w:snapToGrid w:val="0"/>
              <w:spacing w:line="360" w:lineRule="auto"/>
              <w:jc w:val="left"/>
              <w:rPr>
                <w:rFonts w:ascii="仿宋" w:hAnsi="仿宋" w:eastAsia="仿宋" w:cs="仿宋"/>
                <w:kern w:val="0"/>
                <w:sz w:val="24"/>
                <w:szCs w:val="24"/>
                <w:lang w:bidi="ar"/>
              </w:rPr>
            </w:pPr>
            <w:r>
              <w:rPr>
                <w:rFonts w:hint="eastAsia" w:ascii="仿宋" w:hAnsi="仿宋" w:eastAsia="仿宋" w:cs="仿宋"/>
                <w:kern w:val="0"/>
                <w:sz w:val="24"/>
                <w:szCs w:val="24"/>
                <w:lang w:bidi="ar"/>
              </w:rPr>
              <w:t>（2）缴纳方式：</w:t>
            </w:r>
          </w:p>
          <w:p w14:paraId="6BFD0674">
            <w:pPr>
              <w:widowControl/>
              <w:snapToGrid w:val="0"/>
              <w:spacing w:line="360" w:lineRule="auto"/>
              <w:jc w:val="left"/>
              <w:rPr>
                <w:rFonts w:ascii="仿宋" w:hAnsi="仿宋" w:eastAsia="仿宋" w:cs="仿宋"/>
                <w:kern w:val="0"/>
                <w:sz w:val="24"/>
                <w:szCs w:val="24"/>
                <w:lang w:bidi="ar"/>
              </w:rPr>
            </w:pPr>
            <w:r>
              <w:rPr>
                <w:rFonts w:hint="eastAsia" w:ascii="仿宋" w:hAnsi="仿宋" w:eastAsia="仿宋" w:cs="仿宋"/>
                <w:kern w:val="0"/>
                <w:sz w:val="24"/>
                <w:szCs w:val="24"/>
                <w:lang w:bidi="ar"/>
              </w:rPr>
              <w:t>银行账号：3110910043850050889</w:t>
            </w:r>
          </w:p>
          <w:p w14:paraId="726E7A92">
            <w:pPr>
              <w:widowControl/>
              <w:snapToGrid w:val="0"/>
              <w:spacing w:line="360" w:lineRule="auto"/>
              <w:jc w:val="left"/>
              <w:rPr>
                <w:rFonts w:ascii="仿宋" w:hAnsi="仿宋" w:eastAsia="仿宋" w:cs="仿宋"/>
                <w:kern w:val="0"/>
                <w:sz w:val="24"/>
                <w:szCs w:val="24"/>
                <w:lang w:bidi="ar"/>
              </w:rPr>
            </w:pPr>
            <w:r>
              <w:rPr>
                <w:rFonts w:hint="eastAsia" w:ascii="仿宋" w:hAnsi="仿宋" w:eastAsia="仿宋" w:cs="仿宋"/>
                <w:kern w:val="0"/>
                <w:sz w:val="24"/>
                <w:szCs w:val="24"/>
                <w:lang w:bidi="ar"/>
              </w:rPr>
              <w:t>开户银行：中信银行广州花园支行</w:t>
            </w:r>
          </w:p>
          <w:p w14:paraId="0918F24A">
            <w:pPr>
              <w:widowControl/>
              <w:snapToGrid w:val="0"/>
              <w:spacing w:line="360" w:lineRule="auto"/>
              <w:jc w:val="left"/>
              <w:rPr>
                <w:rFonts w:ascii="仿宋" w:hAnsi="仿宋" w:eastAsia="仿宋" w:cs="仿宋"/>
                <w:kern w:val="0"/>
                <w:sz w:val="24"/>
                <w:szCs w:val="24"/>
                <w:lang w:bidi="ar"/>
              </w:rPr>
            </w:pPr>
            <w:r>
              <w:rPr>
                <w:rFonts w:hint="eastAsia" w:ascii="仿宋" w:hAnsi="仿宋" w:eastAsia="仿宋" w:cs="仿宋"/>
                <w:kern w:val="0"/>
                <w:sz w:val="24"/>
                <w:szCs w:val="24"/>
                <w:lang w:bidi="ar"/>
              </w:rPr>
              <w:t>户    名：中捷通信有限公司</w:t>
            </w:r>
          </w:p>
          <w:p w14:paraId="7152B11D">
            <w:pPr>
              <w:widowControl/>
              <w:snapToGrid w:val="0"/>
              <w:spacing w:line="360" w:lineRule="auto"/>
              <w:jc w:val="left"/>
              <w:rPr>
                <w:rFonts w:ascii="仿宋" w:hAnsi="仿宋" w:eastAsia="仿宋" w:cs="仿宋"/>
                <w:kern w:val="0"/>
                <w:sz w:val="24"/>
                <w:szCs w:val="24"/>
                <w:lang w:bidi="ar"/>
              </w:rPr>
            </w:pPr>
            <w:r>
              <w:rPr>
                <w:rFonts w:hint="eastAsia" w:ascii="仿宋" w:hAnsi="仿宋" w:eastAsia="仿宋" w:cs="仿宋"/>
                <w:kern w:val="0"/>
                <w:sz w:val="24"/>
                <w:szCs w:val="24"/>
                <w:lang w:bidi="ar"/>
              </w:rPr>
              <w:t>注：如采用银行电汇/银行转账形式缴纳的，投标保证金须从投标人基本账户转出；如采用在中国注册的银行出具的银行保函/电子保函/投标保证保险形式缴纳的，保函或保险有效期应大于或等于投标有效期，若投标有效期延长的，保函或保险有效期应相应延长，且延长后的有效期应满足前述要求。投标人提供的保函或保险应为无条件、见索即付、不可撤销的。</w:t>
            </w:r>
          </w:p>
          <w:p w14:paraId="5C35EF6C">
            <w:pPr>
              <w:snapToGrid w:val="0"/>
              <w:spacing w:line="360" w:lineRule="auto"/>
              <w:jc w:val="left"/>
              <w:rPr>
                <w:rFonts w:ascii="仿宋" w:hAnsi="仿宋" w:eastAsia="仿宋" w:cs="仿宋"/>
                <w:b/>
                <w:bCs/>
                <w:sz w:val="24"/>
                <w:szCs w:val="24"/>
                <w:lang w:eastAsia="zh-Hans"/>
              </w:rPr>
            </w:pPr>
            <w:r>
              <w:rPr>
                <w:rFonts w:hint="eastAsia" w:ascii="仿宋" w:hAnsi="仿宋" w:eastAsia="仿宋" w:cs="仿宋"/>
                <w:kern w:val="0"/>
                <w:sz w:val="24"/>
                <w:szCs w:val="24"/>
                <w:lang w:bidi="ar"/>
              </w:rPr>
              <w:t>（3）未在投标文件递交截止时间前提交投标保证金的或者提交的投标保证金有瑕疵的，</w:t>
            </w:r>
            <w:r>
              <w:rPr>
                <w:rFonts w:hint="eastAsia" w:ascii="仿宋" w:hAnsi="仿宋" w:eastAsia="仿宋" w:cs="仿宋"/>
                <w:b/>
                <w:bCs/>
                <w:kern w:val="0"/>
                <w:sz w:val="24"/>
                <w:szCs w:val="24"/>
                <w:lang w:bidi="ar"/>
              </w:rPr>
              <w:t>投标将被否决。</w:t>
            </w:r>
          </w:p>
        </w:tc>
      </w:tr>
      <w:tr w14:paraId="30C7DC75">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51950469">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3.5.2</w:t>
            </w:r>
          </w:p>
        </w:tc>
        <w:tc>
          <w:tcPr>
            <w:tcW w:w="873" w:type="pct"/>
            <w:tcBorders>
              <w:top w:val="single" w:color="auto" w:sz="4" w:space="0"/>
              <w:left w:val="single" w:color="auto" w:sz="4" w:space="0"/>
              <w:bottom w:val="single" w:color="auto" w:sz="4" w:space="0"/>
              <w:right w:val="single" w:color="auto" w:sz="4" w:space="0"/>
            </w:tcBorders>
            <w:vAlign w:val="center"/>
          </w:tcPr>
          <w:p w14:paraId="40C969D0">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★投标保证金不予退还情形</w:t>
            </w:r>
          </w:p>
        </w:tc>
        <w:tc>
          <w:tcPr>
            <w:tcW w:w="3706" w:type="pct"/>
            <w:tcBorders>
              <w:top w:val="single" w:color="auto" w:sz="4" w:space="0"/>
              <w:left w:val="single" w:color="auto" w:sz="4" w:space="0"/>
              <w:bottom w:val="single" w:color="auto" w:sz="4" w:space="0"/>
              <w:right w:val="single" w:color="auto" w:sz="4" w:space="0"/>
            </w:tcBorders>
            <w:vAlign w:val="center"/>
          </w:tcPr>
          <w:p w14:paraId="366AAFE9">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投标人或中标人出现下列行为之一，投标保证金不予退还：</w:t>
            </w:r>
          </w:p>
          <w:p w14:paraId="09A62FFB">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（1）投标人在投标截止后至投标有效期期满前，要求撤回已递交的投标文件；</w:t>
            </w:r>
          </w:p>
          <w:p w14:paraId="75B64176">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（2）中标后放弃中标的；</w:t>
            </w:r>
          </w:p>
          <w:p w14:paraId="18402941">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（3）中标或成交后无正当理由不与招标人订立合同的；</w:t>
            </w:r>
          </w:p>
          <w:p w14:paraId="3D8044CD">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（4）中标人在签订合同时向招标人提出附加条件或要求变更实质性合同条款的；</w:t>
            </w:r>
          </w:p>
          <w:p w14:paraId="77A0A1D1">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（5）中标人不按照招标文件要求提交履约保证金的；</w:t>
            </w:r>
          </w:p>
          <w:p w14:paraId="60313CD1">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（6）投标人有恶意欺诈、弄虚作假、围标串标、哄抬标价、徇私行贿等法律法规中所列违规行为的。</w:t>
            </w:r>
          </w:p>
        </w:tc>
      </w:tr>
      <w:tr w14:paraId="51C73A37">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28B29B7C">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3.6</w:t>
            </w:r>
          </w:p>
        </w:tc>
        <w:tc>
          <w:tcPr>
            <w:tcW w:w="873" w:type="pct"/>
            <w:tcBorders>
              <w:top w:val="single" w:color="auto" w:sz="4" w:space="0"/>
              <w:left w:val="single" w:color="auto" w:sz="4" w:space="0"/>
              <w:bottom w:val="single" w:color="auto" w:sz="4" w:space="0"/>
              <w:right w:val="single" w:color="auto" w:sz="4" w:space="0"/>
            </w:tcBorders>
            <w:vAlign w:val="center"/>
          </w:tcPr>
          <w:p w14:paraId="6C2F46E5">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备选投标方案</w:t>
            </w:r>
          </w:p>
        </w:tc>
        <w:tc>
          <w:tcPr>
            <w:tcW w:w="3706" w:type="pct"/>
            <w:tcBorders>
              <w:top w:val="single" w:color="auto" w:sz="4" w:space="0"/>
              <w:left w:val="single" w:color="auto" w:sz="4" w:space="0"/>
              <w:bottom w:val="single" w:color="auto" w:sz="4" w:space="0"/>
              <w:right w:val="single" w:color="auto" w:sz="4" w:space="0"/>
            </w:tcBorders>
            <w:vAlign w:val="center"/>
          </w:tcPr>
          <w:p w14:paraId="45E76D47">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■不允许</w:t>
            </w:r>
          </w:p>
          <w:p w14:paraId="7FD62B79">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□允许</w:t>
            </w:r>
          </w:p>
        </w:tc>
      </w:tr>
      <w:tr w14:paraId="1B89DCD6">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6E3A21B6">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3.7.1</w:t>
            </w:r>
          </w:p>
        </w:tc>
        <w:tc>
          <w:tcPr>
            <w:tcW w:w="873" w:type="pct"/>
            <w:tcBorders>
              <w:top w:val="single" w:color="auto" w:sz="4" w:space="0"/>
              <w:left w:val="single" w:color="auto" w:sz="4" w:space="0"/>
              <w:bottom w:val="single" w:color="auto" w:sz="4" w:space="0"/>
              <w:right w:val="single" w:color="auto" w:sz="4" w:space="0"/>
            </w:tcBorders>
            <w:vAlign w:val="center"/>
          </w:tcPr>
          <w:p w14:paraId="179BA234">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投标文件的份数</w:t>
            </w:r>
          </w:p>
        </w:tc>
        <w:tc>
          <w:tcPr>
            <w:tcW w:w="3706" w:type="pct"/>
            <w:tcBorders>
              <w:top w:val="single" w:color="auto" w:sz="4" w:space="0"/>
              <w:left w:val="single" w:color="auto" w:sz="4" w:space="0"/>
              <w:bottom w:val="single" w:color="auto" w:sz="4" w:space="0"/>
              <w:right w:val="single" w:color="auto" w:sz="4" w:space="0"/>
            </w:tcBorders>
            <w:vAlign w:val="center"/>
          </w:tcPr>
          <w:p w14:paraId="0C7F04C6">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电子文件</w:t>
            </w:r>
            <w:r>
              <w:rPr>
                <w:rFonts w:hint="eastAsia" w:ascii="仿宋" w:hAnsi="仿宋" w:eastAsia="仿宋" w:cs="仿宋"/>
                <w:sz w:val="24"/>
                <w:szCs w:val="24"/>
                <w:u w:val="single"/>
              </w:rPr>
              <w:t>1</w:t>
            </w:r>
            <w:r>
              <w:rPr>
                <w:rFonts w:hint="eastAsia" w:ascii="仿宋" w:hAnsi="仿宋" w:eastAsia="仿宋" w:cs="仿宋"/>
                <w:sz w:val="24"/>
                <w:szCs w:val="24"/>
              </w:rPr>
              <w:t>份【电子投标文件以可移动的USB存储介质提交，应包含商务文件、技术文件、报价文件、述标PPT（如有）中所有文件的电子档，要求如下：所有电子文档应包含可编辑WPS兼容格式1份及正本PDF格式扫描件1份（按招标文件要求签字/签章或盖章后的文件扫描件），文件应不做压缩处理、不留密码】；</w:t>
            </w:r>
            <w:r>
              <w:rPr>
                <w:rFonts w:hint="eastAsia" w:ascii="仿宋" w:hAnsi="仿宋" w:eastAsia="仿宋" w:cs="仿宋"/>
                <w:b/>
                <w:bCs/>
                <w:sz w:val="24"/>
                <w:szCs w:val="24"/>
              </w:rPr>
              <w:t>纸质文件正本</w:t>
            </w:r>
            <w:r>
              <w:rPr>
                <w:rFonts w:hint="eastAsia" w:ascii="仿宋" w:hAnsi="仿宋" w:eastAsia="仿宋" w:cs="仿宋"/>
                <w:b/>
                <w:bCs/>
                <w:sz w:val="24"/>
                <w:szCs w:val="24"/>
                <w:u w:val="single"/>
              </w:rPr>
              <w:t xml:space="preserve"> 1 </w:t>
            </w:r>
            <w:r>
              <w:rPr>
                <w:rFonts w:hint="eastAsia" w:ascii="仿宋" w:hAnsi="仿宋" w:eastAsia="仿宋" w:cs="仿宋"/>
                <w:b/>
                <w:bCs/>
                <w:sz w:val="24"/>
                <w:szCs w:val="24"/>
              </w:rPr>
              <w:t>份，副本</w:t>
            </w:r>
            <w:r>
              <w:rPr>
                <w:rFonts w:hint="eastAsia" w:ascii="仿宋" w:hAnsi="仿宋" w:eastAsia="仿宋" w:cs="仿宋"/>
                <w:b/>
                <w:bCs/>
                <w:sz w:val="24"/>
                <w:szCs w:val="24"/>
                <w:u w:val="single"/>
              </w:rPr>
              <w:t xml:space="preserve"> 4 </w:t>
            </w:r>
            <w:r>
              <w:rPr>
                <w:rFonts w:hint="eastAsia" w:ascii="仿宋" w:hAnsi="仿宋" w:eastAsia="仿宋" w:cs="仿宋"/>
                <w:b/>
                <w:bCs/>
                <w:sz w:val="24"/>
                <w:szCs w:val="24"/>
              </w:rPr>
              <w:t>份</w:t>
            </w:r>
            <w:r>
              <w:rPr>
                <w:rFonts w:hint="eastAsia" w:ascii="仿宋" w:hAnsi="仿宋" w:eastAsia="仿宋" w:cs="仿宋"/>
                <w:sz w:val="24"/>
                <w:szCs w:val="24"/>
              </w:rPr>
              <w:t>。</w:t>
            </w:r>
          </w:p>
        </w:tc>
      </w:tr>
      <w:tr w14:paraId="0A897B73">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47E9D0B1">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3.7.3</w:t>
            </w:r>
          </w:p>
        </w:tc>
        <w:tc>
          <w:tcPr>
            <w:tcW w:w="873" w:type="pct"/>
            <w:tcBorders>
              <w:top w:val="single" w:color="auto" w:sz="4" w:space="0"/>
              <w:left w:val="single" w:color="auto" w:sz="4" w:space="0"/>
              <w:bottom w:val="single" w:color="auto" w:sz="4" w:space="0"/>
              <w:right w:val="single" w:color="auto" w:sz="4" w:space="0"/>
            </w:tcBorders>
            <w:vAlign w:val="center"/>
          </w:tcPr>
          <w:p w14:paraId="3A60DBED">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纸质投标文件的密封、</w:t>
            </w:r>
          </w:p>
          <w:p w14:paraId="656654A4">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标记要求</w:t>
            </w:r>
          </w:p>
        </w:tc>
        <w:tc>
          <w:tcPr>
            <w:tcW w:w="3706" w:type="pct"/>
            <w:tcBorders>
              <w:top w:val="single" w:color="auto" w:sz="4" w:space="0"/>
              <w:left w:val="single" w:color="auto" w:sz="4" w:space="0"/>
              <w:bottom w:val="single" w:color="auto" w:sz="4" w:space="0"/>
              <w:right w:val="single" w:color="auto" w:sz="4" w:space="0"/>
            </w:tcBorders>
            <w:vAlign w:val="center"/>
          </w:tcPr>
          <w:p w14:paraId="021FC211">
            <w:pPr>
              <w:pStyle w:val="117"/>
              <w:snapToGrid w:val="0"/>
              <w:spacing w:line="360" w:lineRule="auto"/>
              <w:rPr>
                <w:rFonts w:ascii="仿宋" w:hAnsi="仿宋" w:eastAsia="仿宋" w:cs="仿宋"/>
                <w:bCs/>
                <w:sz w:val="24"/>
                <w:szCs w:val="24"/>
              </w:rPr>
            </w:pPr>
            <w:r>
              <w:rPr>
                <w:rFonts w:hint="eastAsia" w:ascii="仿宋" w:hAnsi="仿宋" w:eastAsia="仿宋" w:cs="仿宋"/>
                <w:sz w:val="24"/>
                <w:szCs w:val="24"/>
              </w:rPr>
              <w:t>（1）采用A4纸胶装，双面打印，商务技术、报价文件分别装订成册。建议投标人将全部投标文件包装成两包，一包为电子文件，一包为商务、技术、报价纸质文件（含正本、副本）。密封粘接缝隙加盖投标人公章</w:t>
            </w:r>
            <w:r>
              <w:rPr>
                <w:rFonts w:hint="eastAsia" w:ascii="仿宋" w:hAnsi="仿宋" w:eastAsia="仿宋" w:cs="仿宋"/>
                <w:b/>
                <w:bCs/>
                <w:sz w:val="24"/>
                <w:szCs w:val="24"/>
              </w:rPr>
              <w:t>或</w:t>
            </w:r>
            <w:r>
              <w:rPr>
                <w:rFonts w:hint="eastAsia" w:ascii="仿宋" w:hAnsi="仿宋" w:eastAsia="仿宋" w:cs="仿宋"/>
                <w:sz w:val="24"/>
                <w:szCs w:val="24"/>
              </w:rPr>
              <w:t>由法定代表人（负责人）</w:t>
            </w:r>
            <w:r>
              <w:rPr>
                <w:rFonts w:hint="eastAsia" w:ascii="仿宋" w:hAnsi="仿宋" w:eastAsia="仿宋" w:cs="仿宋"/>
                <w:b/>
                <w:bCs/>
                <w:sz w:val="24"/>
                <w:szCs w:val="24"/>
              </w:rPr>
              <w:t>或</w:t>
            </w:r>
            <w:r>
              <w:rPr>
                <w:rFonts w:hint="eastAsia" w:ascii="仿宋" w:hAnsi="仿宋" w:eastAsia="仿宋" w:cs="仿宋"/>
                <w:sz w:val="24"/>
                <w:szCs w:val="24"/>
              </w:rPr>
              <w:t>其委托代理人签字。</w:t>
            </w:r>
            <w:r>
              <w:rPr>
                <w:rFonts w:hint="eastAsia" w:ascii="仿宋" w:hAnsi="仿宋" w:eastAsia="仿宋" w:cs="仿宋"/>
                <w:b/>
                <w:sz w:val="24"/>
                <w:szCs w:val="24"/>
              </w:rPr>
              <w:t>未按要求密封的</w:t>
            </w:r>
            <w:r>
              <w:rPr>
                <w:rFonts w:hint="eastAsia" w:ascii="仿宋" w:hAnsi="仿宋" w:eastAsia="仿宋" w:cs="仿宋"/>
                <w:b/>
                <w:sz w:val="24"/>
                <w:szCs w:val="24"/>
                <w:lang w:eastAsia="zh-Hans"/>
              </w:rPr>
              <w:t>纸质</w:t>
            </w:r>
            <w:r>
              <w:rPr>
                <w:rFonts w:hint="eastAsia" w:ascii="仿宋" w:hAnsi="仿宋" w:eastAsia="仿宋" w:cs="仿宋"/>
                <w:b/>
                <w:sz w:val="24"/>
                <w:szCs w:val="24"/>
              </w:rPr>
              <w:t>投标文件不予接收。</w:t>
            </w:r>
          </w:p>
          <w:p w14:paraId="4A297F71">
            <w:pPr>
              <w:pStyle w:val="117"/>
              <w:snapToGrid w:val="0"/>
              <w:spacing w:line="360" w:lineRule="auto"/>
              <w:rPr>
                <w:rFonts w:ascii="仿宋" w:hAnsi="仿宋" w:eastAsia="仿宋" w:cs="仿宋"/>
                <w:sz w:val="24"/>
                <w:szCs w:val="24"/>
              </w:rPr>
            </w:pPr>
            <w:r>
              <w:rPr>
                <w:rFonts w:hint="eastAsia" w:ascii="仿宋" w:hAnsi="仿宋" w:eastAsia="仿宋" w:cs="仿宋"/>
                <w:bCs/>
                <w:sz w:val="24"/>
                <w:szCs w:val="24"/>
              </w:rPr>
              <w:t>（2）</w:t>
            </w:r>
            <w:r>
              <w:rPr>
                <w:rFonts w:hint="eastAsia" w:ascii="仿宋" w:hAnsi="仿宋" w:eastAsia="仿宋" w:cs="仿宋"/>
                <w:sz w:val="24"/>
                <w:szCs w:val="24"/>
              </w:rPr>
              <w:t>外层包封具体样式如下：</w:t>
            </w:r>
          </w:p>
          <w:p w14:paraId="04C7F561">
            <w:pPr>
              <w:pStyle w:val="117"/>
              <w:snapToGrid w:val="0"/>
              <w:spacing w:line="360" w:lineRule="auto"/>
              <w:rPr>
                <w:rFonts w:ascii="仿宋" w:hAnsi="仿宋" w:eastAsia="仿宋" w:cs="仿宋"/>
                <w:b/>
                <w:sz w:val="24"/>
                <w:szCs w:val="24"/>
                <w:lang w:eastAsia="zh-Hans"/>
              </w:rPr>
            </w:pPr>
            <w:r>
              <w:rPr>
                <w:rFonts w:hint="eastAsia" w:ascii="仿宋" w:hAnsi="仿宋" w:eastAsia="仿宋" w:cs="仿宋"/>
                <w:sz w:val="24"/>
                <w:szCs w:val="24"/>
              </w:rPr>
              <mc:AlternateContent>
                <mc:Choice Requires="wps">
                  <w:drawing>
                    <wp:inline distT="0" distB="0" distL="114300" distR="114300">
                      <wp:extent cx="4418965" cy="2676525"/>
                      <wp:effectExtent l="5080" t="4445" r="10795" b="16510"/>
                      <wp:docPr id="1" name="文本框 25"/>
                      <wp:cNvGraphicFramePr/>
                      <a:graphic xmlns:a="http://schemas.openxmlformats.org/drawingml/2006/main">
                        <a:graphicData uri="http://schemas.microsoft.com/office/word/2010/wordprocessingShape">
                          <wps:wsp>
                            <wps:cNvSpPr txBox="1">
                              <a:spLocks noRot="1"/>
                            </wps:cNvSpPr>
                            <wps:spPr>
                              <a:xfrm>
                                <a:off x="0" y="0"/>
                                <a:ext cx="4418965" cy="2676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BD5690">
                                  <w:pPr>
                                    <w:rPr>
                                      <w:rFonts w:ascii="仿宋" w:hAnsi="仿宋" w:eastAsia="仿宋" w:cs="仿宋"/>
                                      <w:kern w:val="0"/>
                                      <w:szCs w:val="21"/>
                                      <w:u w:val="single"/>
                                    </w:rPr>
                                  </w:pPr>
                                  <w:r>
                                    <w:rPr>
                                      <w:rFonts w:hint="eastAsia" w:ascii="仿宋" w:hAnsi="仿宋" w:eastAsia="仿宋" w:cs="仿宋"/>
                                      <w:kern w:val="0"/>
                                      <w:szCs w:val="21"/>
                                    </w:rPr>
                                    <w:t>项目名称：</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p>
                                <w:p w14:paraId="26CA48F9">
                                  <w:pPr>
                                    <w:rPr>
                                      <w:rFonts w:ascii="仿宋" w:hAnsi="仿宋" w:eastAsia="仿宋" w:cs="仿宋"/>
                                      <w:kern w:val="0"/>
                                      <w:szCs w:val="21"/>
                                      <w:u w:val="single"/>
                                    </w:rPr>
                                  </w:pPr>
                                  <w:r>
                                    <w:rPr>
                                      <w:rFonts w:hint="eastAsia" w:ascii="仿宋" w:hAnsi="仿宋" w:eastAsia="仿宋" w:cs="仿宋"/>
                                      <w:kern w:val="0"/>
                                      <w:szCs w:val="21"/>
                                    </w:rPr>
                                    <w:t>招标人名称：</w:t>
                                  </w:r>
                                  <w:r>
                                    <w:rPr>
                                      <w:rFonts w:hint="eastAsia" w:ascii="仿宋" w:hAnsi="仿宋" w:eastAsia="仿宋" w:cs="仿宋"/>
                                      <w:kern w:val="0"/>
                                      <w:szCs w:val="21"/>
                                      <w:u w:val="single"/>
                                    </w:rPr>
                                    <w:t xml:space="preserve">                 </w:t>
                                  </w:r>
                                </w:p>
                                <w:p w14:paraId="55925ED7">
                                  <w:pPr>
                                    <w:rPr>
                                      <w:rFonts w:ascii="仿宋" w:hAnsi="仿宋" w:eastAsia="仿宋" w:cs="仿宋"/>
                                      <w:kern w:val="0"/>
                                      <w:szCs w:val="21"/>
                                      <w:u w:val="single"/>
                                    </w:rPr>
                                  </w:pPr>
                                  <w:r>
                                    <w:rPr>
                                      <w:rFonts w:hint="eastAsia" w:ascii="仿宋" w:hAnsi="仿宋" w:eastAsia="仿宋" w:cs="仿宋"/>
                                      <w:kern w:val="0"/>
                                      <w:szCs w:val="21"/>
                                    </w:rPr>
                                    <w:t>招标人地址：</w:t>
                                  </w:r>
                                  <w:r>
                                    <w:rPr>
                                      <w:rFonts w:hint="eastAsia" w:ascii="仿宋" w:hAnsi="仿宋" w:eastAsia="仿宋" w:cs="仿宋"/>
                                      <w:kern w:val="0"/>
                                      <w:szCs w:val="21"/>
                                      <w:u w:val="single"/>
                                    </w:rPr>
                                    <w:t xml:space="preserve">                 </w:t>
                                  </w:r>
                                </w:p>
                                <w:p w14:paraId="47C97BE3">
                                  <w:pPr>
                                    <w:jc w:val="center"/>
                                    <w:rPr>
                                      <w:rFonts w:ascii="仿宋" w:hAnsi="仿宋" w:eastAsia="仿宋" w:cs="仿宋"/>
                                      <w:kern w:val="0"/>
                                      <w:szCs w:val="21"/>
                                    </w:rPr>
                                  </w:pPr>
                                  <w:r>
                                    <w:rPr>
                                      <w:rFonts w:hint="eastAsia" w:ascii="仿宋" w:hAnsi="仿宋" w:eastAsia="仿宋" w:cs="仿宋"/>
                                      <w:kern w:val="0"/>
                                      <w:szCs w:val="21"/>
                                    </w:rPr>
                                    <w:t>本文件于</w:t>
                                  </w:r>
                                  <w:r>
                                    <w:rPr>
                                      <w:rFonts w:hint="eastAsia" w:ascii="仿宋" w:hAnsi="仿宋" w:eastAsia="仿宋" w:cs="仿宋"/>
                                      <w:szCs w:val="21"/>
                                    </w:rPr>
                                    <w:t>【</w:t>
                                  </w:r>
                                  <w:r>
                                    <w:rPr>
                                      <w:rFonts w:hint="eastAsia" w:ascii="仿宋" w:hAnsi="仿宋" w:eastAsia="仿宋" w:cs="仿宋"/>
                                      <w:szCs w:val="21"/>
                                      <w:u w:val="single"/>
                                    </w:rPr>
                                    <w:t>XX</w:t>
                                  </w:r>
                                  <w:r>
                                    <w:rPr>
                                      <w:rFonts w:hint="eastAsia" w:ascii="仿宋" w:hAnsi="仿宋" w:eastAsia="仿宋" w:cs="仿宋"/>
                                      <w:szCs w:val="21"/>
                                    </w:rPr>
                                    <w:t>】年【</w:t>
                                  </w:r>
                                  <w:r>
                                    <w:rPr>
                                      <w:rFonts w:hint="eastAsia" w:ascii="仿宋" w:hAnsi="仿宋" w:eastAsia="仿宋" w:cs="仿宋"/>
                                      <w:szCs w:val="21"/>
                                      <w:u w:val="single"/>
                                    </w:rPr>
                                    <w:t>XX</w:t>
                                  </w:r>
                                  <w:r>
                                    <w:rPr>
                                      <w:rFonts w:hint="eastAsia" w:ascii="仿宋" w:hAnsi="仿宋" w:eastAsia="仿宋" w:cs="仿宋"/>
                                      <w:szCs w:val="21"/>
                                    </w:rPr>
                                    <w:t>】月【</w:t>
                                  </w:r>
                                  <w:r>
                                    <w:rPr>
                                      <w:rFonts w:hint="eastAsia" w:ascii="仿宋" w:hAnsi="仿宋" w:eastAsia="仿宋" w:cs="仿宋"/>
                                      <w:szCs w:val="21"/>
                                      <w:u w:val="single"/>
                                    </w:rPr>
                                    <w:t>XX</w:t>
                                  </w:r>
                                  <w:r>
                                    <w:rPr>
                                      <w:rFonts w:hint="eastAsia" w:ascii="仿宋" w:hAnsi="仿宋" w:eastAsia="仿宋" w:cs="仿宋"/>
                                      <w:szCs w:val="21"/>
                                    </w:rPr>
                                    <w:t>】日【</w:t>
                                  </w:r>
                                  <w:r>
                                    <w:rPr>
                                      <w:rFonts w:hint="eastAsia" w:ascii="仿宋" w:hAnsi="仿宋" w:eastAsia="仿宋" w:cs="仿宋"/>
                                      <w:szCs w:val="21"/>
                                      <w:u w:val="single"/>
                                    </w:rPr>
                                    <w:t>XX</w:t>
                                  </w:r>
                                  <w:r>
                                    <w:rPr>
                                      <w:rFonts w:hint="eastAsia" w:ascii="仿宋" w:hAnsi="仿宋" w:eastAsia="仿宋" w:cs="仿宋"/>
                                      <w:szCs w:val="21"/>
                                    </w:rPr>
                                    <w:t>】时【</w:t>
                                  </w:r>
                                  <w:r>
                                    <w:rPr>
                                      <w:rFonts w:hint="eastAsia" w:ascii="仿宋" w:hAnsi="仿宋" w:eastAsia="仿宋" w:cs="仿宋"/>
                                      <w:szCs w:val="21"/>
                                      <w:u w:val="single"/>
                                    </w:rPr>
                                    <w:t>XX</w:t>
                                  </w:r>
                                  <w:r>
                                    <w:rPr>
                                      <w:rFonts w:hint="eastAsia" w:ascii="仿宋" w:hAnsi="仿宋" w:eastAsia="仿宋" w:cs="仿宋"/>
                                      <w:szCs w:val="21"/>
                                    </w:rPr>
                                    <w:t>】分</w:t>
                                  </w:r>
                                  <w:r>
                                    <w:rPr>
                                      <w:rFonts w:hint="eastAsia" w:ascii="仿宋" w:hAnsi="仿宋" w:eastAsia="仿宋" w:cs="仿宋"/>
                                      <w:kern w:val="0"/>
                                      <w:szCs w:val="21"/>
                                    </w:rPr>
                                    <w:t>（北京时间）（开标时间）前不得开封</w:t>
                                  </w:r>
                                </w:p>
                                <w:p w14:paraId="7F43B968">
                                  <w:pPr>
                                    <w:rPr>
                                      <w:rFonts w:ascii="仿宋" w:hAnsi="仿宋" w:eastAsia="仿宋" w:cs="仿宋"/>
                                      <w:kern w:val="0"/>
                                      <w:szCs w:val="21"/>
                                    </w:rPr>
                                  </w:pPr>
                                  <w:r>
                                    <w:rPr>
                                      <w:rFonts w:hint="eastAsia" w:ascii="仿宋" w:hAnsi="仿宋" w:eastAsia="仿宋" w:cs="仿宋"/>
                                      <w:kern w:val="0"/>
                                      <w:szCs w:val="21"/>
                                    </w:rPr>
                                    <w:t>投标人名称：</w:t>
                                  </w:r>
                                  <w:r>
                                    <w:rPr>
                                      <w:rFonts w:hint="eastAsia" w:ascii="仿宋" w:hAnsi="仿宋" w:eastAsia="仿宋" w:cs="仿宋"/>
                                      <w:kern w:val="0"/>
                                      <w:szCs w:val="21"/>
                                      <w:u w:val="single"/>
                                    </w:rPr>
                                    <w:t xml:space="preserve">               </w:t>
                                  </w:r>
                                  <w:r>
                                    <w:rPr>
                                      <w:rFonts w:hint="eastAsia" w:ascii="仿宋" w:hAnsi="仿宋" w:eastAsia="仿宋" w:cs="仿宋"/>
                                      <w:kern w:val="0"/>
                                      <w:szCs w:val="21"/>
                                    </w:rPr>
                                    <w:t>（公章）</w:t>
                                  </w:r>
                                </w:p>
                                <w:p w14:paraId="79A30946">
                                  <w:pPr>
                                    <w:rPr>
                                      <w:rFonts w:ascii="仿宋" w:hAnsi="仿宋" w:eastAsia="仿宋" w:cs="仿宋"/>
                                      <w:kern w:val="0"/>
                                      <w:szCs w:val="21"/>
                                      <w:u w:val="single"/>
                                    </w:rPr>
                                  </w:pPr>
                                  <w:r>
                                    <w:rPr>
                                      <w:rFonts w:hint="eastAsia" w:ascii="仿宋" w:hAnsi="仿宋" w:eastAsia="仿宋" w:cs="仿宋"/>
                                      <w:kern w:val="0"/>
                                      <w:szCs w:val="21"/>
                                    </w:rPr>
                                    <w:t>投标人地址：</w:t>
                                  </w:r>
                                  <w:r>
                                    <w:rPr>
                                      <w:rFonts w:hint="eastAsia" w:ascii="仿宋" w:hAnsi="仿宋" w:eastAsia="仿宋" w:cs="仿宋"/>
                                      <w:kern w:val="0"/>
                                      <w:szCs w:val="21"/>
                                      <w:u w:val="single"/>
                                    </w:rPr>
                                    <w:t xml:space="preserve">                 </w:t>
                                  </w:r>
                                </w:p>
                                <w:p w14:paraId="7DC87A37">
                                  <w:pPr>
                                    <w:rPr>
                                      <w:rFonts w:ascii="仿宋" w:hAnsi="仿宋" w:eastAsia="仿宋" w:cs="仿宋"/>
                                      <w:kern w:val="0"/>
                                      <w:szCs w:val="21"/>
                                      <w:u w:val="single"/>
                                    </w:rPr>
                                  </w:pPr>
                                  <w:r>
                                    <w:rPr>
                                      <w:rFonts w:hint="eastAsia" w:ascii="仿宋" w:hAnsi="仿宋" w:eastAsia="仿宋" w:cs="仿宋"/>
                                      <w:kern w:val="0"/>
                                      <w:szCs w:val="21"/>
                                    </w:rPr>
                                    <w:t>封装文件内容：</w:t>
                                  </w:r>
                                  <w:r>
                                    <w:rPr>
                                      <w:rFonts w:hint="eastAsia" w:ascii="仿宋" w:hAnsi="仿宋" w:eastAsia="仿宋" w:cs="仿宋"/>
                                      <w:kern w:val="0"/>
                                      <w:szCs w:val="21"/>
                                      <w:u w:val="single"/>
                                    </w:rPr>
                                    <w:t xml:space="preserve">                 </w:t>
                                  </w:r>
                                </w:p>
                                <w:p w14:paraId="15853A28">
                                  <w:pPr>
                                    <w:rPr>
                                      <w:rFonts w:ascii="仿宋" w:hAnsi="仿宋" w:eastAsia="仿宋" w:cs="仿宋"/>
                                    </w:rPr>
                                  </w:pPr>
                                  <w:r>
                                    <w:rPr>
                                      <w:rFonts w:hint="eastAsia" w:ascii="仿宋" w:hAnsi="仿宋" w:eastAsia="仿宋" w:cs="仿宋"/>
                                      <w:kern w:val="0"/>
                                      <w:szCs w:val="21"/>
                                    </w:rPr>
                                    <w:t>投标人联系人及联系电话：</w:t>
                                  </w:r>
                                  <w:r>
                                    <w:rPr>
                                      <w:rFonts w:hint="eastAsia" w:ascii="仿宋" w:hAnsi="仿宋" w:eastAsia="仿宋" w:cs="仿宋"/>
                                      <w:kern w:val="0"/>
                                      <w:szCs w:val="21"/>
                                      <w:u w:val="single"/>
                                    </w:rPr>
                                    <w:t xml:space="preserve">                 </w:t>
                                  </w:r>
                                </w:p>
                              </w:txbxContent>
                            </wps:txbx>
                            <wps:bodyPr wrap="square" upright="1">
                              <a:spAutoFit/>
                            </wps:bodyPr>
                          </wps:wsp>
                        </a:graphicData>
                      </a:graphic>
                    </wp:inline>
                  </w:drawing>
                </mc:Choice>
                <mc:Fallback>
                  <w:pict>
                    <v:shape id="文本框 25" o:spid="_x0000_s1026" o:spt="202" type="#_x0000_t202" style="height:210.75pt;width:347.95pt;" fillcolor="#FFFFFF" filled="t" stroked="t" coordsize="21600,21600" o:gfxdata="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umwZvVAAAABQEAAA8AAAAAAAAAAQAgAAAAIgAAAGRycy9kb3ducmV2LnhtbFBL&#10;AQIUABQAAAAIAIdO4kD5s8OUMgIAAIMEAAAOAAAAAAAAAAEAIAAAACQBAABkcnMvZTJvRG9jLnht&#10;bFBLBQYAAAAABgAGAFkBAADIBQAAAAA=&#10;">
                      <v:fill on="t" focussize="0,0"/>
                      <v:stroke color="#000000" joinstyle="miter"/>
                      <v:imagedata o:title=""/>
                      <o:lock v:ext="edit" rotation="t" aspectratio="f"/>
                      <v:textbox style="mso-fit-shape-to-text:t;">
                        <w:txbxContent>
                          <w:p w14:paraId="06BD5690">
                            <w:pPr>
                              <w:rPr>
                                <w:rFonts w:ascii="仿宋" w:hAnsi="仿宋" w:eastAsia="仿宋" w:cs="仿宋"/>
                                <w:kern w:val="0"/>
                                <w:szCs w:val="21"/>
                                <w:u w:val="single"/>
                              </w:rPr>
                            </w:pPr>
                            <w:r>
                              <w:rPr>
                                <w:rFonts w:hint="eastAsia" w:ascii="仿宋" w:hAnsi="仿宋" w:eastAsia="仿宋" w:cs="仿宋"/>
                                <w:kern w:val="0"/>
                                <w:szCs w:val="21"/>
                              </w:rPr>
                              <w:t>项目名称：</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p>
                          <w:p w14:paraId="26CA48F9">
                            <w:pPr>
                              <w:rPr>
                                <w:rFonts w:ascii="仿宋" w:hAnsi="仿宋" w:eastAsia="仿宋" w:cs="仿宋"/>
                                <w:kern w:val="0"/>
                                <w:szCs w:val="21"/>
                                <w:u w:val="single"/>
                              </w:rPr>
                            </w:pPr>
                            <w:r>
                              <w:rPr>
                                <w:rFonts w:hint="eastAsia" w:ascii="仿宋" w:hAnsi="仿宋" w:eastAsia="仿宋" w:cs="仿宋"/>
                                <w:kern w:val="0"/>
                                <w:szCs w:val="21"/>
                              </w:rPr>
                              <w:t>招标人名称：</w:t>
                            </w:r>
                            <w:r>
                              <w:rPr>
                                <w:rFonts w:hint="eastAsia" w:ascii="仿宋" w:hAnsi="仿宋" w:eastAsia="仿宋" w:cs="仿宋"/>
                                <w:kern w:val="0"/>
                                <w:szCs w:val="21"/>
                                <w:u w:val="single"/>
                              </w:rPr>
                              <w:t xml:space="preserve">                 </w:t>
                            </w:r>
                          </w:p>
                          <w:p w14:paraId="55925ED7">
                            <w:pPr>
                              <w:rPr>
                                <w:rFonts w:ascii="仿宋" w:hAnsi="仿宋" w:eastAsia="仿宋" w:cs="仿宋"/>
                                <w:kern w:val="0"/>
                                <w:szCs w:val="21"/>
                                <w:u w:val="single"/>
                              </w:rPr>
                            </w:pPr>
                            <w:r>
                              <w:rPr>
                                <w:rFonts w:hint="eastAsia" w:ascii="仿宋" w:hAnsi="仿宋" w:eastAsia="仿宋" w:cs="仿宋"/>
                                <w:kern w:val="0"/>
                                <w:szCs w:val="21"/>
                              </w:rPr>
                              <w:t>招标人地址：</w:t>
                            </w:r>
                            <w:r>
                              <w:rPr>
                                <w:rFonts w:hint="eastAsia" w:ascii="仿宋" w:hAnsi="仿宋" w:eastAsia="仿宋" w:cs="仿宋"/>
                                <w:kern w:val="0"/>
                                <w:szCs w:val="21"/>
                                <w:u w:val="single"/>
                              </w:rPr>
                              <w:t xml:space="preserve">                 </w:t>
                            </w:r>
                          </w:p>
                          <w:p w14:paraId="47C97BE3">
                            <w:pPr>
                              <w:jc w:val="center"/>
                              <w:rPr>
                                <w:rFonts w:ascii="仿宋" w:hAnsi="仿宋" w:eastAsia="仿宋" w:cs="仿宋"/>
                                <w:kern w:val="0"/>
                                <w:szCs w:val="21"/>
                              </w:rPr>
                            </w:pPr>
                            <w:r>
                              <w:rPr>
                                <w:rFonts w:hint="eastAsia" w:ascii="仿宋" w:hAnsi="仿宋" w:eastAsia="仿宋" w:cs="仿宋"/>
                                <w:kern w:val="0"/>
                                <w:szCs w:val="21"/>
                              </w:rPr>
                              <w:t>本文件于</w:t>
                            </w:r>
                            <w:r>
                              <w:rPr>
                                <w:rFonts w:hint="eastAsia" w:ascii="仿宋" w:hAnsi="仿宋" w:eastAsia="仿宋" w:cs="仿宋"/>
                                <w:szCs w:val="21"/>
                              </w:rPr>
                              <w:t>【</w:t>
                            </w:r>
                            <w:r>
                              <w:rPr>
                                <w:rFonts w:hint="eastAsia" w:ascii="仿宋" w:hAnsi="仿宋" w:eastAsia="仿宋" w:cs="仿宋"/>
                                <w:szCs w:val="21"/>
                                <w:u w:val="single"/>
                              </w:rPr>
                              <w:t>XX</w:t>
                            </w:r>
                            <w:r>
                              <w:rPr>
                                <w:rFonts w:hint="eastAsia" w:ascii="仿宋" w:hAnsi="仿宋" w:eastAsia="仿宋" w:cs="仿宋"/>
                                <w:szCs w:val="21"/>
                              </w:rPr>
                              <w:t>】年【</w:t>
                            </w:r>
                            <w:r>
                              <w:rPr>
                                <w:rFonts w:hint="eastAsia" w:ascii="仿宋" w:hAnsi="仿宋" w:eastAsia="仿宋" w:cs="仿宋"/>
                                <w:szCs w:val="21"/>
                                <w:u w:val="single"/>
                              </w:rPr>
                              <w:t>XX</w:t>
                            </w:r>
                            <w:r>
                              <w:rPr>
                                <w:rFonts w:hint="eastAsia" w:ascii="仿宋" w:hAnsi="仿宋" w:eastAsia="仿宋" w:cs="仿宋"/>
                                <w:szCs w:val="21"/>
                              </w:rPr>
                              <w:t>】月【</w:t>
                            </w:r>
                            <w:r>
                              <w:rPr>
                                <w:rFonts w:hint="eastAsia" w:ascii="仿宋" w:hAnsi="仿宋" w:eastAsia="仿宋" w:cs="仿宋"/>
                                <w:szCs w:val="21"/>
                                <w:u w:val="single"/>
                              </w:rPr>
                              <w:t>XX</w:t>
                            </w:r>
                            <w:r>
                              <w:rPr>
                                <w:rFonts w:hint="eastAsia" w:ascii="仿宋" w:hAnsi="仿宋" w:eastAsia="仿宋" w:cs="仿宋"/>
                                <w:szCs w:val="21"/>
                              </w:rPr>
                              <w:t>】日【</w:t>
                            </w:r>
                            <w:r>
                              <w:rPr>
                                <w:rFonts w:hint="eastAsia" w:ascii="仿宋" w:hAnsi="仿宋" w:eastAsia="仿宋" w:cs="仿宋"/>
                                <w:szCs w:val="21"/>
                                <w:u w:val="single"/>
                              </w:rPr>
                              <w:t>XX</w:t>
                            </w:r>
                            <w:r>
                              <w:rPr>
                                <w:rFonts w:hint="eastAsia" w:ascii="仿宋" w:hAnsi="仿宋" w:eastAsia="仿宋" w:cs="仿宋"/>
                                <w:szCs w:val="21"/>
                              </w:rPr>
                              <w:t>】时【</w:t>
                            </w:r>
                            <w:r>
                              <w:rPr>
                                <w:rFonts w:hint="eastAsia" w:ascii="仿宋" w:hAnsi="仿宋" w:eastAsia="仿宋" w:cs="仿宋"/>
                                <w:szCs w:val="21"/>
                                <w:u w:val="single"/>
                              </w:rPr>
                              <w:t>XX</w:t>
                            </w:r>
                            <w:r>
                              <w:rPr>
                                <w:rFonts w:hint="eastAsia" w:ascii="仿宋" w:hAnsi="仿宋" w:eastAsia="仿宋" w:cs="仿宋"/>
                                <w:szCs w:val="21"/>
                              </w:rPr>
                              <w:t>】分</w:t>
                            </w:r>
                            <w:r>
                              <w:rPr>
                                <w:rFonts w:hint="eastAsia" w:ascii="仿宋" w:hAnsi="仿宋" w:eastAsia="仿宋" w:cs="仿宋"/>
                                <w:kern w:val="0"/>
                                <w:szCs w:val="21"/>
                              </w:rPr>
                              <w:t>（北京时间）（开标时间）前不得开封</w:t>
                            </w:r>
                          </w:p>
                          <w:p w14:paraId="7F43B968">
                            <w:pPr>
                              <w:rPr>
                                <w:rFonts w:ascii="仿宋" w:hAnsi="仿宋" w:eastAsia="仿宋" w:cs="仿宋"/>
                                <w:kern w:val="0"/>
                                <w:szCs w:val="21"/>
                              </w:rPr>
                            </w:pPr>
                            <w:r>
                              <w:rPr>
                                <w:rFonts w:hint="eastAsia" w:ascii="仿宋" w:hAnsi="仿宋" w:eastAsia="仿宋" w:cs="仿宋"/>
                                <w:kern w:val="0"/>
                                <w:szCs w:val="21"/>
                              </w:rPr>
                              <w:t>投标人名称：</w:t>
                            </w:r>
                            <w:r>
                              <w:rPr>
                                <w:rFonts w:hint="eastAsia" w:ascii="仿宋" w:hAnsi="仿宋" w:eastAsia="仿宋" w:cs="仿宋"/>
                                <w:kern w:val="0"/>
                                <w:szCs w:val="21"/>
                                <w:u w:val="single"/>
                              </w:rPr>
                              <w:t xml:space="preserve">               </w:t>
                            </w:r>
                            <w:r>
                              <w:rPr>
                                <w:rFonts w:hint="eastAsia" w:ascii="仿宋" w:hAnsi="仿宋" w:eastAsia="仿宋" w:cs="仿宋"/>
                                <w:kern w:val="0"/>
                                <w:szCs w:val="21"/>
                              </w:rPr>
                              <w:t>（公章）</w:t>
                            </w:r>
                          </w:p>
                          <w:p w14:paraId="79A30946">
                            <w:pPr>
                              <w:rPr>
                                <w:rFonts w:ascii="仿宋" w:hAnsi="仿宋" w:eastAsia="仿宋" w:cs="仿宋"/>
                                <w:kern w:val="0"/>
                                <w:szCs w:val="21"/>
                                <w:u w:val="single"/>
                              </w:rPr>
                            </w:pPr>
                            <w:r>
                              <w:rPr>
                                <w:rFonts w:hint="eastAsia" w:ascii="仿宋" w:hAnsi="仿宋" w:eastAsia="仿宋" w:cs="仿宋"/>
                                <w:kern w:val="0"/>
                                <w:szCs w:val="21"/>
                              </w:rPr>
                              <w:t>投标人地址：</w:t>
                            </w:r>
                            <w:r>
                              <w:rPr>
                                <w:rFonts w:hint="eastAsia" w:ascii="仿宋" w:hAnsi="仿宋" w:eastAsia="仿宋" w:cs="仿宋"/>
                                <w:kern w:val="0"/>
                                <w:szCs w:val="21"/>
                                <w:u w:val="single"/>
                              </w:rPr>
                              <w:t xml:space="preserve">                 </w:t>
                            </w:r>
                          </w:p>
                          <w:p w14:paraId="7DC87A37">
                            <w:pPr>
                              <w:rPr>
                                <w:rFonts w:ascii="仿宋" w:hAnsi="仿宋" w:eastAsia="仿宋" w:cs="仿宋"/>
                                <w:kern w:val="0"/>
                                <w:szCs w:val="21"/>
                                <w:u w:val="single"/>
                              </w:rPr>
                            </w:pPr>
                            <w:r>
                              <w:rPr>
                                <w:rFonts w:hint="eastAsia" w:ascii="仿宋" w:hAnsi="仿宋" w:eastAsia="仿宋" w:cs="仿宋"/>
                                <w:kern w:val="0"/>
                                <w:szCs w:val="21"/>
                              </w:rPr>
                              <w:t>封装文件内容：</w:t>
                            </w:r>
                            <w:r>
                              <w:rPr>
                                <w:rFonts w:hint="eastAsia" w:ascii="仿宋" w:hAnsi="仿宋" w:eastAsia="仿宋" w:cs="仿宋"/>
                                <w:kern w:val="0"/>
                                <w:szCs w:val="21"/>
                                <w:u w:val="single"/>
                              </w:rPr>
                              <w:t xml:space="preserve">                 </w:t>
                            </w:r>
                          </w:p>
                          <w:p w14:paraId="15853A28">
                            <w:pPr>
                              <w:rPr>
                                <w:rFonts w:ascii="仿宋" w:hAnsi="仿宋" w:eastAsia="仿宋" w:cs="仿宋"/>
                              </w:rPr>
                            </w:pPr>
                            <w:r>
                              <w:rPr>
                                <w:rFonts w:hint="eastAsia" w:ascii="仿宋" w:hAnsi="仿宋" w:eastAsia="仿宋" w:cs="仿宋"/>
                                <w:kern w:val="0"/>
                                <w:szCs w:val="21"/>
                              </w:rPr>
                              <w:t>投标人联系人及联系电话：</w:t>
                            </w:r>
                            <w:r>
                              <w:rPr>
                                <w:rFonts w:hint="eastAsia" w:ascii="仿宋" w:hAnsi="仿宋" w:eastAsia="仿宋" w:cs="仿宋"/>
                                <w:kern w:val="0"/>
                                <w:szCs w:val="21"/>
                                <w:u w:val="single"/>
                              </w:rPr>
                              <w:t xml:space="preserve">                 </w:t>
                            </w:r>
                          </w:p>
                        </w:txbxContent>
                      </v:textbox>
                      <w10:wrap type="none"/>
                      <w10:anchorlock/>
                    </v:shape>
                  </w:pict>
                </mc:Fallback>
              </mc:AlternateContent>
            </w:r>
          </w:p>
        </w:tc>
      </w:tr>
      <w:tr w14:paraId="2C09EAC0">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794D0E20">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3.8</w:t>
            </w:r>
          </w:p>
        </w:tc>
        <w:tc>
          <w:tcPr>
            <w:tcW w:w="873" w:type="pct"/>
            <w:tcBorders>
              <w:top w:val="single" w:color="auto" w:sz="4" w:space="0"/>
              <w:left w:val="single" w:color="auto" w:sz="4" w:space="0"/>
              <w:bottom w:val="single" w:color="auto" w:sz="4" w:space="0"/>
              <w:right w:val="single" w:color="auto" w:sz="4" w:space="0"/>
            </w:tcBorders>
            <w:vAlign w:val="center"/>
          </w:tcPr>
          <w:p w14:paraId="3F0DE1EC">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电子招投标的投标文件上传形式</w:t>
            </w:r>
          </w:p>
        </w:tc>
        <w:tc>
          <w:tcPr>
            <w:tcW w:w="3706" w:type="pct"/>
            <w:tcBorders>
              <w:top w:val="single" w:color="auto" w:sz="4" w:space="0"/>
              <w:left w:val="single" w:color="auto" w:sz="4" w:space="0"/>
              <w:bottom w:val="single" w:color="auto" w:sz="4" w:space="0"/>
              <w:right w:val="single" w:color="auto" w:sz="4" w:space="0"/>
            </w:tcBorders>
            <w:vAlign w:val="center"/>
          </w:tcPr>
          <w:p w14:paraId="1CF3757D">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本项目不适用。</w:t>
            </w:r>
          </w:p>
        </w:tc>
      </w:tr>
      <w:tr w14:paraId="0893375E">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22F06438">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4.1.1</w:t>
            </w:r>
          </w:p>
        </w:tc>
        <w:tc>
          <w:tcPr>
            <w:tcW w:w="873" w:type="pct"/>
            <w:tcBorders>
              <w:top w:val="single" w:color="auto" w:sz="4" w:space="0"/>
              <w:left w:val="single" w:color="auto" w:sz="4" w:space="0"/>
              <w:bottom w:val="single" w:color="auto" w:sz="4" w:space="0"/>
              <w:right w:val="single" w:color="auto" w:sz="4" w:space="0"/>
            </w:tcBorders>
            <w:vAlign w:val="center"/>
          </w:tcPr>
          <w:p w14:paraId="2735587D">
            <w:pPr>
              <w:pStyle w:val="117"/>
              <w:snapToGrid w:val="0"/>
              <w:spacing w:line="360" w:lineRule="auto"/>
              <w:jc w:val="center"/>
              <w:rPr>
                <w:rFonts w:ascii="仿宋" w:hAnsi="仿宋" w:eastAsia="仿宋" w:cs="仿宋"/>
                <w:spacing w:val="-6"/>
                <w:sz w:val="24"/>
                <w:szCs w:val="24"/>
              </w:rPr>
            </w:pPr>
            <w:r>
              <w:rPr>
                <w:rFonts w:hint="eastAsia" w:ascii="仿宋" w:hAnsi="仿宋" w:eastAsia="仿宋" w:cs="仿宋"/>
                <w:spacing w:val="-6"/>
                <w:sz w:val="24"/>
                <w:szCs w:val="24"/>
              </w:rPr>
              <w:t>投标文件递交截止时间</w:t>
            </w:r>
          </w:p>
        </w:tc>
        <w:tc>
          <w:tcPr>
            <w:tcW w:w="3706" w:type="pct"/>
            <w:tcBorders>
              <w:top w:val="single" w:color="auto" w:sz="4" w:space="0"/>
              <w:left w:val="single" w:color="auto" w:sz="4" w:space="0"/>
              <w:bottom w:val="single" w:color="auto" w:sz="4" w:space="0"/>
              <w:right w:val="single" w:color="auto" w:sz="4" w:space="0"/>
            </w:tcBorders>
            <w:vAlign w:val="center"/>
          </w:tcPr>
          <w:p w14:paraId="5BB414C4">
            <w:pPr>
              <w:snapToGrid w:val="0"/>
              <w:spacing w:line="360" w:lineRule="auto"/>
              <w:rPr>
                <w:rFonts w:ascii="仿宋" w:hAnsi="仿宋" w:eastAsia="仿宋" w:cs="仿宋"/>
                <w:b/>
                <w:sz w:val="24"/>
                <w:szCs w:val="24"/>
              </w:rPr>
            </w:pPr>
            <w:r>
              <w:rPr>
                <w:rFonts w:hint="eastAsia" w:ascii="仿宋" w:hAnsi="仿宋" w:eastAsia="仿宋" w:cs="仿宋"/>
                <w:sz w:val="24"/>
                <w:szCs w:val="24"/>
              </w:rPr>
              <w:t>详见第一章 招标公告“六、投标文件的递交”</w:t>
            </w:r>
          </w:p>
        </w:tc>
      </w:tr>
      <w:tr w14:paraId="4F8C98E3">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3D4917B2">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4.1.1</w:t>
            </w:r>
          </w:p>
        </w:tc>
        <w:tc>
          <w:tcPr>
            <w:tcW w:w="873" w:type="pct"/>
            <w:tcBorders>
              <w:top w:val="single" w:color="auto" w:sz="4" w:space="0"/>
              <w:left w:val="single" w:color="auto" w:sz="4" w:space="0"/>
              <w:bottom w:val="single" w:color="auto" w:sz="4" w:space="0"/>
              <w:right w:val="single" w:color="auto" w:sz="4" w:space="0"/>
            </w:tcBorders>
            <w:vAlign w:val="center"/>
          </w:tcPr>
          <w:p w14:paraId="2A08362B">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投标文件递交地点</w:t>
            </w:r>
          </w:p>
        </w:tc>
        <w:tc>
          <w:tcPr>
            <w:tcW w:w="3706" w:type="pct"/>
            <w:tcBorders>
              <w:top w:val="single" w:color="auto" w:sz="4" w:space="0"/>
              <w:left w:val="single" w:color="auto" w:sz="4" w:space="0"/>
              <w:bottom w:val="single" w:color="auto" w:sz="4" w:space="0"/>
              <w:right w:val="single" w:color="auto" w:sz="4" w:space="0"/>
            </w:tcBorders>
            <w:vAlign w:val="center"/>
          </w:tcPr>
          <w:p w14:paraId="05DBED03">
            <w:pPr>
              <w:snapToGrid w:val="0"/>
              <w:spacing w:line="360" w:lineRule="auto"/>
              <w:rPr>
                <w:rFonts w:ascii="仿宋" w:hAnsi="仿宋" w:eastAsia="仿宋" w:cs="仿宋"/>
                <w:b/>
                <w:sz w:val="24"/>
                <w:szCs w:val="24"/>
              </w:rPr>
            </w:pPr>
            <w:r>
              <w:rPr>
                <w:rFonts w:hint="eastAsia" w:ascii="仿宋" w:hAnsi="仿宋" w:eastAsia="仿宋" w:cs="仿宋"/>
                <w:sz w:val="24"/>
                <w:szCs w:val="24"/>
              </w:rPr>
              <w:t>详见第一章 招标公告“六、投标文件的递交”</w:t>
            </w:r>
          </w:p>
        </w:tc>
      </w:tr>
      <w:tr w14:paraId="6D9938C9">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653BA229">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4.1.2</w:t>
            </w:r>
          </w:p>
        </w:tc>
        <w:tc>
          <w:tcPr>
            <w:tcW w:w="873" w:type="pct"/>
            <w:tcBorders>
              <w:top w:val="single" w:color="auto" w:sz="4" w:space="0"/>
              <w:left w:val="single" w:color="auto" w:sz="4" w:space="0"/>
              <w:bottom w:val="single" w:color="auto" w:sz="4" w:space="0"/>
              <w:right w:val="single" w:color="auto" w:sz="4" w:space="0"/>
            </w:tcBorders>
            <w:vAlign w:val="center"/>
          </w:tcPr>
          <w:p w14:paraId="4F6BEE38">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投标文件退还</w:t>
            </w:r>
          </w:p>
        </w:tc>
        <w:tc>
          <w:tcPr>
            <w:tcW w:w="3706" w:type="pct"/>
            <w:tcBorders>
              <w:top w:val="single" w:color="auto" w:sz="4" w:space="0"/>
              <w:left w:val="single" w:color="auto" w:sz="4" w:space="0"/>
              <w:bottom w:val="single" w:color="auto" w:sz="4" w:space="0"/>
              <w:right w:val="single" w:color="auto" w:sz="4" w:space="0"/>
            </w:tcBorders>
            <w:vAlign w:val="center"/>
          </w:tcPr>
          <w:p w14:paraId="7686EA52">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■不退还</w:t>
            </w:r>
          </w:p>
          <w:p w14:paraId="3E23A3C9">
            <w:pPr>
              <w:pStyle w:val="122"/>
              <w:snapToGrid w:val="0"/>
              <w:spacing w:line="360" w:lineRule="auto"/>
              <w:rPr>
                <w:rFonts w:ascii="仿宋" w:hAnsi="仿宋" w:eastAsia="仿宋" w:cs="仿宋"/>
                <w:szCs w:val="24"/>
                <w:u w:val="single"/>
              </w:rPr>
            </w:pPr>
            <w:r>
              <w:rPr>
                <w:rFonts w:hint="eastAsia" w:ascii="仿宋" w:hAnsi="仿宋" w:eastAsia="仿宋" w:cs="仿宋"/>
                <w:szCs w:val="24"/>
              </w:rPr>
              <w:t>□退还</w:t>
            </w:r>
          </w:p>
        </w:tc>
      </w:tr>
      <w:tr w14:paraId="7414B725">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2ABFFDBF">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5.1</w:t>
            </w:r>
          </w:p>
        </w:tc>
        <w:tc>
          <w:tcPr>
            <w:tcW w:w="873" w:type="pct"/>
            <w:tcBorders>
              <w:top w:val="single" w:color="auto" w:sz="4" w:space="0"/>
              <w:left w:val="single" w:color="auto" w:sz="4" w:space="0"/>
              <w:bottom w:val="single" w:color="auto" w:sz="4" w:space="0"/>
              <w:right w:val="single" w:color="auto" w:sz="4" w:space="0"/>
            </w:tcBorders>
            <w:vAlign w:val="center"/>
          </w:tcPr>
          <w:p w14:paraId="20A3B5E0">
            <w:pPr>
              <w:autoSpaceDE w:val="0"/>
              <w:autoSpaceDN w:val="0"/>
              <w:snapToGrid w:val="0"/>
              <w:spacing w:line="360" w:lineRule="auto"/>
              <w:rPr>
                <w:rFonts w:ascii="仿宋" w:hAnsi="仿宋" w:eastAsia="仿宋" w:cs="仿宋"/>
                <w:sz w:val="24"/>
                <w:szCs w:val="24"/>
              </w:rPr>
            </w:pPr>
            <w:r>
              <w:rPr>
                <w:rFonts w:hint="eastAsia" w:ascii="仿宋" w:hAnsi="仿宋" w:eastAsia="仿宋" w:cs="仿宋"/>
                <w:sz w:val="24"/>
                <w:szCs w:val="24"/>
              </w:rPr>
              <w:t>开标时间和地点</w:t>
            </w:r>
          </w:p>
        </w:tc>
        <w:tc>
          <w:tcPr>
            <w:tcW w:w="3706" w:type="pct"/>
            <w:tcBorders>
              <w:top w:val="single" w:color="auto" w:sz="4" w:space="0"/>
              <w:left w:val="single" w:color="auto" w:sz="4" w:space="0"/>
              <w:bottom w:val="single" w:color="auto" w:sz="4" w:space="0"/>
              <w:right w:val="single" w:color="auto" w:sz="4" w:space="0"/>
            </w:tcBorders>
            <w:vAlign w:val="center"/>
          </w:tcPr>
          <w:p w14:paraId="60CC2CB6">
            <w:pPr>
              <w:pStyle w:val="2"/>
              <w:snapToGrid w:val="0"/>
              <w:spacing w:line="360" w:lineRule="auto"/>
              <w:rPr>
                <w:rFonts w:ascii="仿宋" w:hAnsi="仿宋" w:eastAsia="仿宋" w:cs="仿宋"/>
                <w:sz w:val="24"/>
                <w:szCs w:val="24"/>
              </w:rPr>
            </w:pPr>
            <w:r>
              <w:rPr>
                <w:rFonts w:hint="eastAsia" w:ascii="仿宋" w:hAnsi="仿宋" w:eastAsia="仿宋" w:cs="仿宋"/>
                <w:sz w:val="24"/>
                <w:szCs w:val="24"/>
              </w:rPr>
              <w:t>不得开标情况：</w:t>
            </w:r>
          </w:p>
          <w:p w14:paraId="42ACCAC5">
            <w:pPr>
              <w:pStyle w:val="2"/>
              <w:snapToGrid w:val="0"/>
              <w:spacing w:line="360" w:lineRule="auto"/>
              <w:rPr>
                <w:rFonts w:ascii="仿宋" w:hAnsi="仿宋" w:eastAsia="仿宋" w:cs="仿宋"/>
                <w:sz w:val="24"/>
                <w:szCs w:val="24"/>
              </w:rPr>
            </w:pPr>
            <w:r>
              <w:rPr>
                <w:rFonts w:hint="eastAsia" w:ascii="仿宋" w:hAnsi="仿宋" w:eastAsia="仿宋" w:cs="仿宋"/>
                <w:sz w:val="24"/>
                <w:szCs w:val="24"/>
              </w:rPr>
              <w:t>■到投标截止时间，中标人为1家的项目，如果有效投标人少于3家（不含本数），不进行开标，本项目（标包）招标失败，招标人将进行重新招标。</w:t>
            </w:r>
          </w:p>
          <w:p w14:paraId="2267D6E1">
            <w:pPr>
              <w:pStyle w:val="2"/>
              <w:snapToGrid w:val="0"/>
              <w:spacing w:line="360" w:lineRule="auto"/>
              <w:rPr>
                <w:rFonts w:ascii="仿宋" w:hAnsi="仿宋" w:eastAsia="仿宋" w:cs="仿宋"/>
                <w:sz w:val="24"/>
                <w:szCs w:val="24"/>
              </w:rPr>
            </w:pPr>
            <w:r>
              <w:rPr>
                <w:rFonts w:hint="eastAsia" w:ascii="仿宋" w:hAnsi="仿宋" w:eastAsia="仿宋" w:cs="仿宋"/>
                <w:sz w:val="24"/>
                <w:szCs w:val="24"/>
              </w:rPr>
              <w:t>□到投标截止时间，中标人为N家（1＜N≤3）的项目，如果有效投标人少于2N家（不含本数），不进行开标，本项目（标包）招标失败，招标人将进行重新招标。</w:t>
            </w:r>
          </w:p>
          <w:p w14:paraId="2F718FE7">
            <w:pPr>
              <w:pStyle w:val="2"/>
              <w:snapToGrid w:val="0"/>
              <w:spacing w:line="360" w:lineRule="auto"/>
              <w:rPr>
                <w:rFonts w:ascii="仿宋" w:hAnsi="仿宋" w:eastAsia="仿宋" w:cs="仿宋"/>
                <w:sz w:val="24"/>
                <w:szCs w:val="24"/>
              </w:rPr>
            </w:pPr>
            <w:r>
              <w:rPr>
                <w:rFonts w:hint="eastAsia" w:ascii="仿宋" w:hAnsi="仿宋" w:eastAsia="仿宋" w:cs="仿宋"/>
                <w:sz w:val="24"/>
                <w:szCs w:val="24"/>
              </w:rPr>
              <w:t>□到投标截止时间，中标人为N家（N＞3）的项目，如果有效投标人少于1.5N家（不含本数），不进行开标，本项目（标包）招标失败，招标人将进行重新招标。</w:t>
            </w:r>
          </w:p>
        </w:tc>
      </w:tr>
      <w:tr w14:paraId="7B47A112">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6D582112">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 xml:space="preserve">6.1.1 </w:t>
            </w:r>
          </w:p>
        </w:tc>
        <w:tc>
          <w:tcPr>
            <w:tcW w:w="873" w:type="pct"/>
            <w:tcBorders>
              <w:top w:val="single" w:color="auto" w:sz="4" w:space="0"/>
              <w:left w:val="single" w:color="auto" w:sz="4" w:space="0"/>
              <w:bottom w:val="single" w:color="auto" w:sz="4" w:space="0"/>
              <w:right w:val="single" w:color="auto" w:sz="4" w:space="0"/>
            </w:tcBorders>
            <w:vAlign w:val="center"/>
          </w:tcPr>
          <w:p w14:paraId="1AA28141">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评标委员会组成人数</w:t>
            </w:r>
          </w:p>
        </w:tc>
        <w:tc>
          <w:tcPr>
            <w:tcW w:w="3706" w:type="pct"/>
            <w:tcBorders>
              <w:top w:val="single" w:color="auto" w:sz="4" w:space="0"/>
              <w:left w:val="single" w:color="auto" w:sz="4" w:space="0"/>
              <w:bottom w:val="single" w:color="auto" w:sz="4" w:space="0"/>
              <w:right w:val="single" w:color="auto" w:sz="4" w:space="0"/>
            </w:tcBorders>
            <w:vAlign w:val="center"/>
          </w:tcPr>
          <w:p w14:paraId="45765250">
            <w:pPr>
              <w:snapToGrid w:val="0"/>
              <w:spacing w:line="360" w:lineRule="auto"/>
              <w:rPr>
                <w:rFonts w:ascii="仿宋" w:hAnsi="仿宋" w:eastAsia="仿宋" w:cs="仿宋"/>
                <w:sz w:val="24"/>
                <w:szCs w:val="24"/>
              </w:rPr>
            </w:pPr>
            <w:r>
              <w:rPr>
                <w:rFonts w:hint="eastAsia" w:ascii="仿宋" w:hAnsi="仿宋" w:eastAsia="仿宋" w:cs="仿宋"/>
                <w:sz w:val="24"/>
                <w:szCs w:val="24"/>
                <w:u w:val="single"/>
              </w:rPr>
              <w:t xml:space="preserve"> 5</w:t>
            </w:r>
            <w:r>
              <w:rPr>
                <w:rFonts w:hint="eastAsia" w:ascii="仿宋" w:hAnsi="仿宋" w:eastAsia="仿宋" w:cs="仿宋"/>
                <w:sz w:val="24"/>
                <w:szCs w:val="24"/>
              </w:rPr>
              <w:t>人及以上单数</w:t>
            </w:r>
          </w:p>
        </w:tc>
      </w:tr>
      <w:tr w14:paraId="414B39EB">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66F3682A">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6.3.1</w:t>
            </w:r>
          </w:p>
        </w:tc>
        <w:tc>
          <w:tcPr>
            <w:tcW w:w="873" w:type="pct"/>
            <w:tcBorders>
              <w:top w:val="single" w:color="auto" w:sz="4" w:space="0"/>
              <w:left w:val="single" w:color="auto" w:sz="4" w:space="0"/>
              <w:bottom w:val="single" w:color="auto" w:sz="4" w:space="0"/>
              <w:right w:val="single" w:color="auto" w:sz="4" w:space="0"/>
            </w:tcBorders>
            <w:vAlign w:val="center"/>
          </w:tcPr>
          <w:p w14:paraId="6FD8610F">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评标方法</w:t>
            </w:r>
          </w:p>
        </w:tc>
        <w:tc>
          <w:tcPr>
            <w:tcW w:w="3706" w:type="pct"/>
            <w:tcBorders>
              <w:top w:val="single" w:color="auto" w:sz="4" w:space="0"/>
              <w:left w:val="single" w:color="auto" w:sz="4" w:space="0"/>
              <w:bottom w:val="single" w:color="auto" w:sz="4" w:space="0"/>
              <w:right w:val="single" w:color="auto" w:sz="4" w:space="0"/>
            </w:tcBorders>
            <w:vAlign w:val="center"/>
          </w:tcPr>
          <w:p w14:paraId="05F998B4">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□经评审的最低投标价法</w:t>
            </w:r>
          </w:p>
          <w:p w14:paraId="4ACDBD69">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■综合评分法</w:t>
            </w:r>
          </w:p>
          <w:p w14:paraId="2E7724D0">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□其他：</w:t>
            </w:r>
            <w:r>
              <w:rPr>
                <w:rFonts w:hint="eastAsia" w:ascii="仿宋" w:hAnsi="仿宋" w:eastAsia="仿宋" w:cs="仿宋"/>
                <w:sz w:val="24"/>
                <w:szCs w:val="24"/>
                <w:u w:val="single"/>
              </w:rPr>
              <w:t xml:space="preserve">       </w:t>
            </w:r>
          </w:p>
        </w:tc>
      </w:tr>
      <w:tr w14:paraId="5CAE7C50">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42832ADA">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6.4</w:t>
            </w:r>
          </w:p>
        </w:tc>
        <w:tc>
          <w:tcPr>
            <w:tcW w:w="873" w:type="pct"/>
            <w:tcBorders>
              <w:top w:val="single" w:color="auto" w:sz="4" w:space="0"/>
              <w:left w:val="single" w:color="auto" w:sz="4" w:space="0"/>
              <w:bottom w:val="single" w:color="auto" w:sz="4" w:space="0"/>
              <w:right w:val="single" w:color="auto" w:sz="4" w:space="0"/>
            </w:tcBorders>
            <w:vAlign w:val="center"/>
          </w:tcPr>
          <w:p w14:paraId="39F80982">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中标人候选人推荐原则</w:t>
            </w:r>
          </w:p>
        </w:tc>
        <w:tc>
          <w:tcPr>
            <w:tcW w:w="3706" w:type="pct"/>
            <w:tcBorders>
              <w:top w:val="single" w:color="auto" w:sz="4" w:space="0"/>
              <w:left w:val="single" w:color="auto" w:sz="4" w:space="0"/>
              <w:bottom w:val="single" w:color="auto" w:sz="4" w:space="0"/>
              <w:right w:val="single" w:color="auto" w:sz="4" w:space="0"/>
            </w:tcBorders>
            <w:vAlign w:val="center"/>
          </w:tcPr>
          <w:p w14:paraId="5E99A3C5">
            <w:pPr>
              <w:snapToGrid w:val="0"/>
              <w:spacing w:line="360" w:lineRule="auto"/>
              <w:rPr>
                <w:rFonts w:ascii="仿宋" w:hAnsi="仿宋" w:eastAsia="仿宋" w:cs="仿宋"/>
                <w:sz w:val="24"/>
                <w:szCs w:val="24"/>
              </w:rPr>
            </w:pPr>
            <w:r>
              <w:rPr>
                <w:rFonts w:hint="eastAsia" w:ascii="仿宋" w:hAnsi="仿宋" w:eastAsia="仿宋" w:cs="仿宋"/>
                <w:sz w:val="24"/>
                <w:szCs w:val="24"/>
              </w:rPr>
              <w:t>评标委员会按照招标文件规定的评分标准进行打分，评分均四舍五入保留小数点后两位，按综合得分高低次序排出名次，并推荐不超过N+2个中标候选人。</w:t>
            </w:r>
          </w:p>
          <w:p w14:paraId="60B3CEDA">
            <w:pPr>
              <w:snapToGrid w:val="0"/>
              <w:spacing w:line="360" w:lineRule="auto"/>
              <w:rPr>
                <w:rFonts w:ascii="仿宋" w:hAnsi="仿宋" w:eastAsia="仿宋" w:cs="仿宋"/>
                <w:sz w:val="24"/>
                <w:szCs w:val="24"/>
              </w:rPr>
            </w:pPr>
            <w:r>
              <w:rPr>
                <w:rFonts w:hint="eastAsia" w:ascii="仿宋" w:hAnsi="仿宋" w:eastAsia="仿宋" w:cs="仿宋"/>
                <w:sz w:val="24"/>
                <w:szCs w:val="24"/>
              </w:rPr>
              <w:t>其中综合得分（综合得分由高到低的顺序排名）排名第一的投标人将被推荐为第一中标候选人，综合得分排名第二的投标人推荐为第二中标候选人，以此类推。综合得分相同时，价格得分高者排名优先；价格得分也相同时，以技术得分高者排名优先。如中标人放弃中标的，则按评标委员会推荐的中标候选人排名依次递补，或重新招标。</w:t>
            </w:r>
          </w:p>
        </w:tc>
      </w:tr>
      <w:tr w14:paraId="035AA361">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60CC066F">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7.2.1</w:t>
            </w:r>
          </w:p>
        </w:tc>
        <w:tc>
          <w:tcPr>
            <w:tcW w:w="873" w:type="pct"/>
            <w:tcBorders>
              <w:top w:val="single" w:color="auto" w:sz="4" w:space="0"/>
              <w:left w:val="single" w:color="auto" w:sz="4" w:space="0"/>
              <w:bottom w:val="single" w:color="auto" w:sz="4" w:space="0"/>
              <w:right w:val="single" w:color="auto" w:sz="4" w:space="0"/>
            </w:tcBorders>
            <w:vAlign w:val="center"/>
          </w:tcPr>
          <w:p w14:paraId="0D77CF72">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中标人确定</w:t>
            </w:r>
          </w:p>
        </w:tc>
        <w:tc>
          <w:tcPr>
            <w:tcW w:w="3706" w:type="pct"/>
            <w:tcBorders>
              <w:top w:val="single" w:color="auto" w:sz="4" w:space="0"/>
              <w:left w:val="single" w:color="auto" w:sz="4" w:space="0"/>
              <w:bottom w:val="single" w:color="auto" w:sz="4" w:space="0"/>
              <w:right w:val="single" w:color="auto" w:sz="4" w:space="0"/>
            </w:tcBorders>
            <w:vAlign w:val="center"/>
          </w:tcPr>
          <w:p w14:paraId="26DE1542">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□评标委员会直接确定中标人，中标人数量：</w:t>
            </w:r>
            <w:r>
              <w:rPr>
                <w:rFonts w:hint="eastAsia" w:ascii="仿宋" w:hAnsi="仿宋" w:eastAsia="仿宋" w:cs="仿宋"/>
                <w:sz w:val="24"/>
                <w:szCs w:val="24"/>
                <w:u w:val="single"/>
              </w:rPr>
              <w:t xml:space="preserve">   </w:t>
            </w:r>
            <w:r>
              <w:rPr>
                <w:rFonts w:hint="eastAsia" w:ascii="仿宋" w:hAnsi="仿宋" w:eastAsia="仿宋" w:cs="仿宋"/>
                <w:sz w:val="24"/>
                <w:szCs w:val="24"/>
              </w:rPr>
              <w:t>个</w:t>
            </w:r>
          </w:p>
          <w:p w14:paraId="3371F173">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■招标人根据评标委员会推荐的中标候选人名单确定中标人，中标人数量：</w:t>
            </w:r>
            <w:r>
              <w:rPr>
                <w:rFonts w:hint="eastAsia" w:ascii="仿宋" w:hAnsi="仿宋" w:eastAsia="仿宋" w:cs="仿宋"/>
                <w:sz w:val="24"/>
                <w:szCs w:val="24"/>
                <w:u w:val="single"/>
              </w:rPr>
              <w:t>中标人数量详见招标公告</w:t>
            </w:r>
          </w:p>
        </w:tc>
      </w:tr>
      <w:tr w14:paraId="54683BC0">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24E218A8">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7.2.2</w:t>
            </w:r>
          </w:p>
        </w:tc>
        <w:tc>
          <w:tcPr>
            <w:tcW w:w="873" w:type="pct"/>
            <w:tcBorders>
              <w:top w:val="single" w:color="auto" w:sz="4" w:space="0"/>
              <w:left w:val="single" w:color="auto" w:sz="4" w:space="0"/>
              <w:bottom w:val="single" w:color="auto" w:sz="4" w:space="0"/>
              <w:right w:val="single" w:color="auto" w:sz="4" w:space="0"/>
            </w:tcBorders>
            <w:vAlign w:val="center"/>
          </w:tcPr>
          <w:p w14:paraId="5FF58E82">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中标原则</w:t>
            </w:r>
          </w:p>
        </w:tc>
        <w:tc>
          <w:tcPr>
            <w:tcW w:w="3706" w:type="pct"/>
            <w:tcBorders>
              <w:top w:val="single" w:color="auto" w:sz="4" w:space="0"/>
              <w:left w:val="single" w:color="auto" w:sz="4" w:space="0"/>
              <w:bottom w:val="single" w:color="auto" w:sz="4" w:space="0"/>
              <w:right w:val="single" w:color="auto" w:sz="4" w:space="0"/>
            </w:tcBorders>
            <w:vAlign w:val="center"/>
          </w:tcPr>
          <w:p w14:paraId="4B8C81DB">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招标人根据评标委员会推荐的中标候选人名单确定</w:t>
            </w:r>
            <w:r>
              <w:rPr>
                <w:rFonts w:hint="eastAsia" w:ascii="仿宋" w:hAnsi="仿宋" w:eastAsia="仿宋" w:cs="仿宋"/>
                <w:sz w:val="24"/>
                <w:szCs w:val="24"/>
                <w:u w:val="single"/>
              </w:rPr>
              <w:t>综合排名第一的中标候选人</w:t>
            </w:r>
            <w:r>
              <w:rPr>
                <w:rFonts w:hint="eastAsia" w:ascii="仿宋" w:hAnsi="仿宋" w:eastAsia="仿宋" w:cs="仿宋"/>
                <w:sz w:val="24"/>
                <w:szCs w:val="24"/>
              </w:rPr>
              <w:t>为中标人。</w:t>
            </w:r>
            <w:r>
              <w:rPr>
                <w:rFonts w:hint="eastAsia" w:ascii="仿宋" w:hAnsi="仿宋" w:eastAsia="仿宋" w:cs="仿宋"/>
                <w:sz w:val="24"/>
                <w:szCs w:val="24"/>
                <w:u w:val="single"/>
              </w:rPr>
              <w:t>综合排名第一的</w:t>
            </w:r>
            <w:r>
              <w:rPr>
                <w:rFonts w:hint="eastAsia" w:ascii="仿宋" w:hAnsi="仿宋" w:eastAsia="仿宋" w:cs="仿宋"/>
                <w:sz w:val="24"/>
                <w:szCs w:val="24"/>
              </w:rPr>
              <w:t>中标候选人放弃中标、因不可抗力不能履行合同、不按照招标文件要求提交履约保证金、存在重大经营或法律风险，或者被查实存在影响中标结果的违法行为等情形，不符合中标条件的，招标人按照评标委员会提出的中标候选人名单排序依次确定其他中标候选人为中标人，或者重新招标。</w:t>
            </w:r>
          </w:p>
        </w:tc>
      </w:tr>
      <w:tr w14:paraId="494A3BCF">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6957CB1B">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8.1.1</w:t>
            </w:r>
          </w:p>
        </w:tc>
        <w:tc>
          <w:tcPr>
            <w:tcW w:w="873" w:type="pct"/>
            <w:tcBorders>
              <w:top w:val="single" w:color="auto" w:sz="4" w:space="0"/>
              <w:left w:val="single" w:color="auto" w:sz="4" w:space="0"/>
              <w:bottom w:val="single" w:color="auto" w:sz="4" w:space="0"/>
              <w:right w:val="single" w:color="auto" w:sz="4" w:space="0"/>
            </w:tcBorders>
            <w:vAlign w:val="center"/>
          </w:tcPr>
          <w:p w14:paraId="055E5858">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履约保证金金额和方式</w:t>
            </w:r>
          </w:p>
        </w:tc>
        <w:tc>
          <w:tcPr>
            <w:tcW w:w="3706" w:type="pct"/>
            <w:tcBorders>
              <w:top w:val="single" w:color="auto" w:sz="4" w:space="0"/>
              <w:left w:val="single" w:color="auto" w:sz="4" w:space="0"/>
              <w:bottom w:val="single" w:color="auto" w:sz="4" w:space="0"/>
              <w:right w:val="single" w:color="auto" w:sz="4" w:space="0"/>
            </w:tcBorders>
            <w:vAlign w:val="center"/>
          </w:tcPr>
          <w:p w14:paraId="2D9A36D2">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□收取，形式及比例：</w:t>
            </w:r>
          </w:p>
          <w:p w14:paraId="246DC175">
            <w:pPr>
              <w:pStyle w:val="117"/>
              <w:snapToGrid w:val="0"/>
              <w:spacing w:line="360" w:lineRule="auto"/>
              <w:rPr>
                <w:rFonts w:ascii="仿宋" w:hAnsi="仿宋" w:eastAsia="仿宋" w:cs="仿宋"/>
                <w:sz w:val="24"/>
                <w:szCs w:val="24"/>
              </w:rPr>
            </w:pPr>
            <w:r>
              <w:rPr>
                <w:rFonts w:hint="eastAsia" w:ascii="仿宋" w:hAnsi="仿宋" w:eastAsia="仿宋" w:cs="仿宋"/>
                <w:sz w:val="24"/>
                <w:szCs w:val="24"/>
              </w:rPr>
              <w:t>■不收取</w:t>
            </w:r>
          </w:p>
        </w:tc>
      </w:tr>
      <w:tr w14:paraId="632A4DFF">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71C37E7F">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9</w:t>
            </w:r>
          </w:p>
        </w:tc>
        <w:tc>
          <w:tcPr>
            <w:tcW w:w="873" w:type="pct"/>
            <w:tcBorders>
              <w:top w:val="single" w:color="auto" w:sz="4" w:space="0"/>
              <w:left w:val="single" w:color="auto" w:sz="4" w:space="0"/>
              <w:bottom w:val="single" w:color="auto" w:sz="4" w:space="0"/>
              <w:right w:val="single" w:color="auto" w:sz="4" w:space="0"/>
            </w:tcBorders>
            <w:vAlign w:val="center"/>
          </w:tcPr>
          <w:p w14:paraId="585B61A6">
            <w:pPr>
              <w:adjustRightInd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招标代理服务费</w:t>
            </w:r>
          </w:p>
        </w:tc>
        <w:tc>
          <w:tcPr>
            <w:tcW w:w="3706" w:type="pct"/>
            <w:tcBorders>
              <w:top w:val="single" w:color="auto" w:sz="4" w:space="0"/>
              <w:left w:val="single" w:color="auto" w:sz="4" w:space="0"/>
              <w:bottom w:val="single" w:color="auto" w:sz="4" w:space="0"/>
              <w:right w:val="single" w:color="auto" w:sz="4" w:space="0"/>
            </w:tcBorders>
            <w:vAlign w:val="center"/>
          </w:tcPr>
          <w:p w14:paraId="67B14FF8">
            <w:pPr>
              <w:autoSpaceDE w:val="0"/>
              <w:autoSpaceDN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1</w:t>
            </w:r>
            <w:r>
              <w:rPr>
                <w:rFonts w:hint="eastAsia" w:ascii="仿宋" w:hAnsi="仿宋" w:eastAsia="仿宋" w:cs="仿宋"/>
                <w:sz w:val="24"/>
                <w:szCs w:val="24"/>
              </w:rPr>
              <w:t>）收费依据：</w:t>
            </w:r>
          </w:p>
          <w:p w14:paraId="5CEFA67D">
            <w:pPr>
              <w:autoSpaceDE w:val="0"/>
              <w:autoSpaceDN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工程类、服务类、货物类总价项目：参照《招标代理服务收费管理暂行办法》(计价格(2002)1980号文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按对应类别以</w:t>
            </w:r>
            <w:r>
              <w:rPr>
                <w:rFonts w:hint="eastAsia" w:ascii="仿宋" w:hAnsi="仿宋" w:eastAsia="仿宋" w:cs="仿宋"/>
                <w:sz w:val="24"/>
                <w:szCs w:val="24"/>
              </w:rPr>
              <w:t>差额定率累进法计算后</w:t>
            </w:r>
            <w:r>
              <w:rPr>
                <w:rFonts w:hint="eastAsia" w:ascii="仿宋" w:hAnsi="仿宋" w:eastAsia="仿宋" w:cs="仿宋"/>
                <w:sz w:val="24"/>
                <w:szCs w:val="24"/>
                <w:lang w:val="en-US" w:eastAsia="zh-CN"/>
              </w:rPr>
              <w:t>并下浮35%</w:t>
            </w:r>
            <w:r>
              <w:rPr>
                <w:rFonts w:hint="eastAsia" w:ascii="仿宋" w:hAnsi="仿宋" w:eastAsia="仿宋" w:cs="仿宋"/>
                <w:sz w:val="24"/>
                <w:szCs w:val="24"/>
              </w:rPr>
              <w:t>计算，</w:t>
            </w:r>
            <w:r>
              <w:rPr>
                <w:rFonts w:hint="eastAsia" w:ascii="仿宋" w:hAnsi="仿宋" w:eastAsia="仿宋" w:cs="仿宋"/>
                <w:sz w:val="24"/>
                <w:szCs w:val="24"/>
                <w:lang w:val="en-US" w:eastAsia="zh-CN"/>
              </w:rPr>
              <w:t>服务费</w:t>
            </w:r>
            <w:r>
              <w:rPr>
                <w:rFonts w:hint="eastAsia" w:ascii="仿宋" w:hAnsi="仿宋" w:eastAsia="仿宋" w:cs="仿宋"/>
                <w:sz w:val="24"/>
                <w:szCs w:val="24"/>
              </w:rPr>
              <w:t>低于6000元</w:t>
            </w:r>
            <w:r>
              <w:rPr>
                <w:rFonts w:hint="eastAsia" w:ascii="仿宋" w:hAnsi="仿宋" w:eastAsia="仿宋" w:cs="仿宋"/>
                <w:sz w:val="24"/>
                <w:szCs w:val="24"/>
                <w:lang w:val="en-US" w:eastAsia="zh-CN"/>
              </w:rPr>
              <w:t>的</w:t>
            </w:r>
            <w:r>
              <w:rPr>
                <w:rFonts w:hint="eastAsia" w:ascii="仿宋" w:hAnsi="仿宋" w:eastAsia="仿宋" w:cs="仿宋"/>
                <w:sz w:val="24"/>
                <w:szCs w:val="24"/>
              </w:rPr>
              <w:t>按6000元收取。</w:t>
            </w:r>
          </w:p>
          <w:p w14:paraId="43D221BF">
            <w:pPr>
              <w:autoSpaceDE w:val="0"/>
              <w:autoSpaceDN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rPr>
              <w:t>（2）服务费金额：</w:t>
            </w:r>
            <w:r>
              <w:rPr>
                <w:rFonts w:hint="eastAsia" w:ascii="仿宋" w:hAnsi="仿宋" w:eastAsia="仿宋" w:cs="仿宋"/>
                <w:sz w:val="24"/>
                <w:szCs w:val="24"/>
                <w:lang w:val="en-US" w:eastAsia="zh-CN"/>
              </w:rPr>
              <w:t>9360元。</w:t>
            </w:r>
            <w:r>
              <w:rPr>
                <w:rFonts w:hint="eastAsia" w:ascii="仿宋" w:hAnsi="仿宋" w:eastAsia="仿宋" w:cs="仿宋"/>
                <w:sz w:val="24"/>
                <w:szCs w:val="24"/>
              </w:rPr>
              <w:t xml:space="preserve"> </w:t>
            </w:r>
          </w:p>
          <w:p w14:paraId="1D9665A0">
            <w:pPr>
              <w:autoSpaceDE w:val="0"/>
              <w:autoSpaceDN w:val="0"/>
              <w:snapToGrid w:val="0"/>
              <w:spacing w:line="360" w:lineRule="auto"/>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缴纳时限：中标人在收到招标代理服务费付款通知书后1</w:t>
            </w:r>
            <w:r>
              <w:rPr>
                <w:rFonts w:hint="eastAsia" w:ascii="仿宋" w:hAnsi="仿宋" w:eastAsia="仿宋" w:cs="仿宋"/>
                <w:sz w:val="24"/>
                <w:szCs w:val="24"/>
                <w:lang w:val="en-US" w:eastAsia="zh-CN"/>
              </w:rPr>
              <w:t>0</w:t>
            </w:r>
            <w:r>
              <w:rPr>
                <w:rFonts w:hint="eastAsia" w:ascii="仿宋" w:hAnsi="仿宋" w:eastAsia="仿宋" w:cs="仿宋"/>
                <w:sz w:val="24"/>
                <w:szCs w:val="24"/>
              </w:rPr>
              <w:t>日内，向招标代理机构一次性支付。</w:t>
            </w:r>
          </w:p>
        </w:tc>
      </w:tr>
      <w:tr w14:paraId="1FA2082E">
        <w:tblPrEx>
          <w:tblCellMar>
            <w:top w:w="0" w:type="dxa"/>
            <w:left w:w="108" w:type="dxa"/>
            <w:bottom w:w="0" w:type="dxa"/>
            <w:right w:w="108" w:type="dxa"/>
          </w:tblCellMar>
        </w:tblPrEx>
        <w:trPr>
          <w:trHeight w:val="2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6BE22BCD">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11</w:t>
            </w:r>
          </w:p>
        </w:tc>
        <w:tc>
          <w:tcPr>
            <w:tcW w:w="873" w:type="pct"/>
            <w:tcBorders>
              <w:top w:val="single" w:color="auto" w:sz="4" w:space="0"/>
              <w:left w:val="single" w:color="auto" w:sz="4" w:space="0"/>
              <w:bottom w:val="single" w:color="auto" w:sz="4" w:space="0"/>
              <w:right w:val="single" w:color="auto" w:sz="4" w:space="0"/>
            </w:tcBorders>
            <w:vAlign w:val="center"/>
          </w:tcPr>
          <w:p w14:paraId="2ED4A024">
            <w:pPr>
              <w:pStyle w:val="117"/>
              <w:snapToGrid w:val="0"/>
              <w:spacing w:line="360" w:lineRule="auto"/>
              <w:jc w:val="center"/>
              <w:rPr>
                <w:rFonts w:ascii="仿宋" w:hAnsi="仿宋" w:eastAsia="仿宋" w:cs="仿宋"/>
                <w:sz w:val="24"/>
                <w:szCs w:val="24"/>
              </w:rPr>
            </w:pPr>
            <w:r>
              <w:rPr>
                <w:rFonts w:hint="eastAsia" w:ascii="仿宋" w:hAnsi="仿宋" w:eastAsia="仿宋" w:cs="仿宋"/>
                <w:sz w:val="24"/>
                <w:szCs w:val="24"/>
              </w:rPr>
              <w:t>需要补充的其他内容</w:t>
            </w:r>
          </w:p>
        </w:tc>
        <w:tc>
          <w:tcPr>
            <w:tcW w:w="3706" w:type="pct"/>
            <w:tcBorders>
              <w:top w:val="single" w:color="auto" w:sz="4" w:space="0"/>
              <w:left w:val="single" w:color="auto" w:sz="4" w:space="0"/>
              <w:bottom w:val="single" w:color="auto" w:sz="4" w:space="0"/>
              <w:right w:val="single" w:color="auto" w:sz="4" w:space="0"/>
            </w:tcBorders>
            <w:vAlign w:val="center"/>
          </w:tcPr>
          <w:p w14:paraId="3C0646EC">
            <w:pPr>
              <w:autoSpaceDE w:val="0"/>
              <w:autoSpaceDN w:val="0"/>
              <w:snapToGrid w:val="0"/>
              <w:spacing w:line="360" w:lineRule="auto"/>
              <w:rPr>
                <w:rFonts w:ascii="仿宋" w:hAnsi="仿宋" w:eastAsia="仿宋" w:cs="仿宋"/>
                <w:sz w:val="24"/>
                <w:szCs w:val="24"/>
              </w:rPr>
            </w:pPr>
            <w:r>
              <w:rPr>
                <w:rFonts w:hint="eastAsia" w:ascii="仿宋" w:hAnsi="仿宋" w:eastAsia="仿宋" w:cs="仿宋"/>
                <w:sz w:val="24"/>
                <w:szCs w:val="24"/>
              </w:rPr>
              <w:t>（1）当投标人承诺内容与所提供的证明材料不一致时，评标委员会有权以不利于投标人的内容为准进行评审；</w:t>
            </w:r>
          </w:p>
          <w:p w14:paraId="29ED4B59">
            <w:pPr>
              <w:autoSpaceDE w:val="0"/>
              <w:autoSpaceDN w:val="0"/>
              <w:snapToGrid w:val="0"/>
              <w:spacing w:line="360" w:lineRule="auto"/>
              <w:rPr>
                <w:rFonts w:ascii="仿宋" w:hAnsi="仿宋" w:eastAsia="仿宋" w:cs="仿宋"/>
                <w:sz w:val="24"/>
                <w:szCs w:val="24"/>
              </w:rPr>
            </w:pPr>
            <w:r>
              <w:rPr>
                <w:rFonts w:hint="eastAsia" w:ascii="仿宋" w:hAnsi="仿宋" w:eastAsia="仿宋" w:cs="仿宋"/>
                <w:sz w:val="24"/>
                <w:szCs w:val="24"/>
              </w:rPr>
              <w:t>（2）投标人提供的数据材料及相关承诺必须真实有效，招标人将在项目完成评审后，对投标文件进行不定期抽检，若发现投标文件存在虚假内容的，将根据招标人采购供应商负面行为最新管理规定对相关合作商进行处理；</w:t>
            </w:r>
          </w:p>
          <w:p w14:paraId="6B948144">
            <w:pPr>
              <w:autoSpaceDE w:val="0"/>
              <w:autoSpaceDN w:val="0"/>
              <w:snapToGrid w:val="0"/>
              <w:spacing w:line="360" w:lineRule="auto"/>
              <w:rPr>
                <w:rFonts w:ascii="仿宋" w:hAnsi="仿宋" w:eastAsia="仿宋" w:cs="仿宋"/>
                <w:b/>
                <w:bCs/>
                <w:sz w:val="24"/>
                <w:szCs w:val="24"/>
              </w:rPr>
            </w:pPr>
            <w:r>
              <w:rPr>
                <w:rFonts w:hint="eastAsia" w:ascii="仿宋" w:hAnsi="仿宋" w:eastAsia="仿宋" w:cs="仿宋"/>
                <w:sz w:val="24"/>
                <w:szCs w:val="24"/>
              </w:rPr>
              <w:t>（3）</w:t>
            </w:r>
            <w:r>
              <w:rPr>
                <w:rFonts w:hint="eastAsia" w:ascii="仿宋" w:hAnsi="仿宋" w:eastAsia="仿宋" w:cs="仿宋"/>
                <w:b/>
                <w:bCs/>
                <w:sz w:val="24"/>
                <w:szCs w:val="24"/>
              </w:rPr>
              <w:t>若投标人为分支机构，且提供了具备独立法人资格的上级机构授权证明，则本招标文件所要求的投标文件格式中，所有要求对象为“法定代表人”的内容皆可变更为投标分支机构的法定“负责人”（即由投标分支机构的法定“负责人”出具即可）。</w:t>
            </w:r>
          </w:p>
          <w:p w14:paraId="6F0548D3">
            <w:pPr>
              <w:autoSpaceDE w:val="0"/>
              <w:autoSpaceDN w:val="0"/>
              <w:snapToGrid w:val="0"/>
              <w:spacing w:line="360" w:lineRule="auto"/>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b/>
                <w:bCs/>
                <w:sz w:val="24"/>
                <w:szCs w:val="24"/>
              </w:rPr>
              <w:t>本招标文件所要求的资质证书、业绩、财务实力等必须是投标人的，分公司投标的，认可总公司资质证书、财务实力，其他不予认可。有母公司、子公司关系的，其资料不得通用。评分标准另有规定的，从其规定。</w:t>
            </w:r>
          </w:p>
        </w:tc>
      </w:tr>
    </w:tbl>
    <w:p w14:paraId="5254080B">
      <w:pPr>
        <w:pStyle w:val="4"/>
        <w:rPr>
          <w:rFonts w:ascii="仿宋" w:hAnsi="仿宋" w:cs="仿宋"/>
          <w:szCs w:val="24"/>
        </w:rPr>
      </w:pPr>
      <w:bookmarkStart w:id="78" w:name="_Toc6508"/>
      <w:bookmarkStart w:id="79" w:name="_Toc15445"/>
      <w:bookmarkStart w:id="80" w:name="_Toc65682924"/>
      <w:bookmarkStart w:id="81" w:name="_Toc109124233"/>
      <w:bookmarkStart w:id="82" w:name="_Toc24060"/>
      <w:bookmarkStart w:id="83" w:name="_Toc31748"/>
      <w:r>
        <w:rPr>
          <w:rFonts w:hint="eastAsia" w:ascii="仿宋" w:hAnsi="仿宋" w:cs="仿宋"/>
          <w:szCs w:val="24"/>
        </w:rPr>
        <w:t>1.总则</w:t>
      </w:r>
      <w:bookmarkEnd w:id="78"/>
      <w:bookmarkEnd w:id="79"/>
      <w:bookmarkEnd w:id="80"/>
      <w:bookmarkEnd w:id="81"/>
      <w:bookmarkEnd w:id="82"/>
      <w:bookmarkEnd w:id="83"/>
    </w:p>
    <w:p w14:paraId="08ECD1DE">
      <w:pPr>
        <w:pStyle w:val="5"/>
        <w:spacing w:line="360" w:lineRule="auto"/>
        <w:rPr>
          <w:rFonts w:hint="default" w:ascii="仿宋" w:hAnsi="仿宋" w:cs="仿宋"/>
        </w:rPr>
      </w:pPr>
      <w:bookmarkStart w:id="84" w:name="_Toc31396"/>
      <w:bookmarkStart w:id="85" w:name="_Toc71191953"/>
      <w:bookmarkStart w:id="86" w:name="_Toc247085690"/>
      <w:bookmarkStart w:id="87" w:name="_Toc144974498"/>
      <w:bookmarkStart w:id="88" w:name="_Toc152045530"/>
      <w:bookmarkStart w:id="89" w:name="_Toc246996176"/>
      <w:bookmarkStart w:id="90" w:name="_Toc332188169"/>
      <w:bookmarkStart w:id="91" w:name="_Toc334766923"/>
      <w:bookmarkStart w:id="92" w:name="_Toc23236"/>
      <w:bookmarkStart w:id="93" w:name="_Toc326223536"/>
      <w:bookmarkStart w:id="94" w:name="_Toc60224320"/>
      <w:bookmarkStart w:id="95" w:name="_Toc5490"/>
      <w:bookmarkStart w:id="96" w:name="_Toc246996919"/>
      <w:bookmarkStart w:id="97" w:name="_Toc3152"/>
      <w:bookmarkStart w:id="98" w:name="_Toc66390001"/>
      <w:bookmarkStart w:id="99" w:name="_Toc179632547"/>
      <w:bookmarkStart w:id="100" w:name="_Toc109124234"/>
      <w:bookmarkStart w:id="101" w:name="_Toc32524"/>
      <w:bookmarkStart w:id="102" w:name="_Toc65682925"/>
      <w:bookmarkStart w:id="103" w:name="_Toc21887"/>
      <w:bookmarkStart w:id="104" w:name="_Toc152042306"/>
      <w:r>
        <w:rPr>
          <w:rFonts w:ascii="仿宋" w:hAnsi="仿宋" w:cs="仿宋"/>
        </w:rPr>
        <w:t>1.1 项目概况</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1E2B133C">
      <w:pPr>
        <w:widowControl/>
        <w:topLinePunct/>
        <w:spacing w:line="360" w:lineRule="auto"/>
        <w:ind w:firstLine="480" w:firstLineChars="200"/>
        <w:rPr>
          <w:rFonts w:ascii="仿宋" w:hAnsi="仿宋" w:eastAsia="仿宋" w:cs="仿宋"/>
          <w:kern w:val="0"/>
          <w:sz w:val="24"/>
          <w:szCs w:val="24"/>
        </w:rPr>
      </w:pPr>
      <w:bookmarkStart w:id="105" w:name="_Toc152042307"/>
      <w:bookmarkStart w:id="106" w:name="_Toc152045531"/>
      <w:bookmarkStart w:id="107" w:name="_Toc247085691"/>
      <w:bookmarkStart w:id="108" w:name="_Toc246996177"/>
      <w:bookmarkStart w:id="109" w:name="_Toc246996920"/>
      <w:bookmarkStart w:id="110" w:name="_Toc179632548"/>
      <w:bookmarkStart w:id="111" w:name="_Toc334766924"/>
      <w:bookmarkStart w:id="112" w:name="_Toc144974499"/>
      <w:bookmarkStart w:id="113" w:name="_Toc326223537"/>
      <w:bookmarkStart w:id="114" w:name="_Toc332188170"/>
      <w:bookmarkStart w:id="115" w:name="_Toc327739994"/>
      <w:bookmarkStart w:id="116" w:name="_Toc327827316"/>
      <w:r>
        <w:rPr>
          <w:rFonts w:hint="eastAsia" w:ascii="仿宋" w:hAnsi="仿宋" w:eastAsia="仿宋" w:cs="仿宋"/>
          <w:kern w:val="0"/>
          <w:sz w:val="24"/>
          <w:szCs w:val="24"/>
        </w:rPr>
        <w:t>根据《中华人民共和国招标投标法》、《中华人民共和国招标投标法实施条例》、《国有金融企业集中采购管理暂行规定》等有关法律、法规和规章以及招标人采购管理制度的规定，本招标项目已具备招标条件，现对本项目进行招标。</w:t>
      </w:r>
    </w:p>
    <w:p w14:paraId="5F6D8F9F">
      <w:pPr>
        <w:pStyle w:val="5"/>
        <w:spacing w:line="360" w:lineRule="auto"/>
        <w:rPr>
          <w:rFonts w:hint="default" w:ascii="仿宋" w:hAnsi="仿宋" w:cs="仿宋"/>
        </w:rPr>
      </w:pPr>
      <w:bookmarkStart w:id="117" w:name="_Toc4114"/>
      <w:bookmarkStart w:id="118" w:name="_Toc60224321"/>
      <w:bookmarkStart w:id="119" w:name="_Toc19949"/>
      <w:bookmarkStart w:id="120" w:name="_Toc25062"/>
      <w:bookmarkStart w:id="121" w:name="_Toc71191954"/>
      <w:bookmarkStart w:id="122" w:name="_Toc11679"/>
      <w:bookmarkStart w:id="123" w:name="_Toc32672"/>
      <w:bookmarkStart w:id="124" w:name="_Toc16813"/>
      <w:bookmarkStart w:id="125" w:name="_Toc109124235"/>
      <w:r>
        <w:rPr>
          <w:rFonts w:ascii="仿宋" w:hAnsi="仿宋" w:cs="仿宋"/>
        </w:rPr>
        <w:t>1.2 资金来源和落实情况</w:t>
      </w:r>
      <w:bookmarkEnd w:id="105"/>
      <w:bookmarkEnd w:id="106"/>
      <w:bookmarkEnd w:id="107"/>
      <w:bookmarkEnd w:id="108"/>
      <w:bookmarkEnd w:id="109"/>
      <w:bookmarkEnd w:id="110"/>
      <w:bookmarkEnd w:id="111"/>
      <w:bookmarkEnd w:id="112"/>
      <w:bookmarkEnd w:id="113"/>
      <w:bookmarkEnd w:id="114"/>
      <w:bookmarkEnd w:id="117"/>
      <w:bookmarkEnd w:id="118"/>
      <w:bookmarkEnd w:id="119"/>
      <w:bookmarkEnd w:id="120"/>
      <w:bookmarkEnd w:id="121"/>
      <w:bookmarkEnd w:id="122"/>
      <w:bookmarkEnd w:id="123"/>
      <w:bookmarkEnd w:id="124"/>
      <w:bookmarkEnd w:id="125"/>
    </w:p>
    <w:p w14:paraId="6CE50F6E">
      <w:pPr>
        <w:spacing w:line="360" w:lineRule="auto"/>
        <w:ind w:firstLine="480" w:firstLineChars="200"/>
        <w:rPr>
          <w:rFonts w:ascii="仿宋" w:hAnsi="仿宋" w:eastAsia="仿宋" w:cs="仿宋"/>
          <w:sz w:val="24"/>
          <w:szCs w:val="24"/>
        </w:rPr>
      </w:pPr>
      <w:bookmarkStart w:id="126" w:name="_Hlk136962920"/>
      <w:r>
        <w:rPr>
          <w:rFonts w:hint="eastAsia" w:ascii="仿宋" w:hAnsi="仿宋" w:eastAsia="仿宋" w:cs="仿宋"/>
          <w:sz w:val="24"/>
          <w:szCs w:val="24"/>
        </w:rPr>
        <w:t>本招标项目的资金已落实</w:t>
      </w:r>
      <w:bookmarkEnd w:id="126"/>
      <w:r>
        <w:rPr>
          <w:rFonts w:hint="eastAsia" w:ascii="仿宋" w:hAnsi="仿宋" w:eastAsia="仿宋" w:cs="仿宋"/>
          <w:sz w:val="24"/>
          <w:szCs w:val="24"/>
        </w:rPr>
        <w:t>。</w:t>
      </w:r>
    </w:p>
    <w:p w14:paraId="33E967A8">
      <w:pPr>
        <w:pStyle w:val="5"/>
        <w:spacing w:line="360" w:lineRule="auto"/>
        <w:rPr>
          <w:rFonts w:hint="default" w:ascii="仿宋" w:hAnsi="仿宋" w:cs="仿宋"/>
        </w:rPr>
      </w:pPr>
      <w:bookmarkStart w:id="127" w:name="_Toc14130"/>
      <w:bookmarkStart w:id="128" w:name="_Toc5369"/>
      <w:bookmarkStart w:id="129" w:name="_Toc144741546"/>
      <w:bookmarkStart w:id="130" w:name="_Toc25773"/>
      <w:bookmarkStart w:id="131" w:name="_Toc4270"/>
      <w:bookmarkStart w:id="132" w:name="_Toc112068331"/>
      <w:bookmarkStart w:id="133" w:name="_Toc9675"/>
      <w:bookmarkStart w:id="134" w:name="_Toc12184"/>
      <w:bookmarkStart w:id="135" w:name="_Toc334766925"/>
      <w:bookmarkStart w:id="136" w:name="_Toc60224322"/>
      <w:bookmarkStart w:id="137" w:name="_Toc152045532"/>
      <w:bookmarkStart w:id="138" w:name="_Toc247085692"/>
      <w:bookmarkStart w:id="139" w:name="_Toc109124236"/>
      <w:bookmarkStart w:id="140" w:name="_Toc179632549"/>
      <w:bookmarkStart w:id="141" w:name="_Toc246996921"/>
      <w:bookmarkStart w:id="142" w:name="_Toc326223538"/>
      <w:bookmarkStart w:id="143" w:name="_Toc152042308"/>
      <w:bookmarkStart w:id="144" w:name="_Toc246996178"/>
      <w:bookmarkStart w:id="145" w:name="_Toc144974500"/>
      <w:bookmarkStart w:id="146" w:name="_Toc71191955"/>
      <w:bookmarkStart w:id="147" w:name="_Toc332188171"/>
      <w:r>
        <w:rPr>
          <w:rFonts w:ascii="仿宋" w:hAnsi="仿宋" w:cs="仿宋"/>
        </w:rPr>
        <w:t>1.3招标方式</w:t>
      </w:r>
      <w:bookmarkEnd w:id="127"/>
      <w:bookmarkEnd w:id="128"/>
      <w:bookmarkEnd w:id="129"/>
      <w:bookmarkEnd w:id="130"/>
      <w:bookmarkEnd w:id="131"/>
      <w:bookmarkEnd w:id="132"/>
      <w:bookmarkEnd w:id="133"/>
    </w:p>
    <w:p w14:paraId="0137F011">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1.3.1 公开招标：是指招标人以招标公告的方式邀请不特定的法人或者其他组织投标。</w:t>
      </w:r>
    </w:p>
    <w:p w14:paraId="7DED957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1.3.2 邀请招标：是指招标人以投标邀请函的方式邀请特定的法人或者其他组织投标。</w:t>
      </w:r>
    </w:p>
    <w:p w14:paraId="0DBF871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1.3.3 本项目招标方式见投标人须知前附表。</w:t>
      </w:r>
    </w:p>
    <w:p w14:paraId="794D448B">
      <w:pPr>
        <w:pStyle w:val="5"/>
        <w:spacing w:line="360" w:lineRule="auto"/>
        <w:rPr>
          <w:rFonts w:hint="default" w:ascii="仿宋" w:hAnsi="仿宋" w:cs="仿宋"/>
        </w:rPr>
      </w:pPr>
      <w:bookmarkStart w:id="148" w:name="_Toc5074"/>
      <w:bookmarkStart w:id="149" w:name="_Toc19810"/>
      <w:bookmarkStart w:id="150" w:name="_Toc144741547"/>
      <w:bookmarkStart w:id="151" w:name="_Toc112068332"/>
      <w:bookmarkStart w:id="152" w:name="_Toc17716"/>
      <w:bookmarkStart w:id="153" w:name="_Toc31185"/>
      <w:bookmarkStart w:id="154" w:name="_Toc30859"/>
      <w:r>
        <w:rPr>
          <w:rFonts w:ascii="仿宋" w:hAnsi="仿宋" w:cs="仿宋"/>
        </w:rPr>
        <w:t>1.4招标组织形式</w:t>
      </w:r>
      <w:bookmarkEnd w:id="148"/>
      <w:bookmarkEnd w:id="149"/>
      <w:bookmarkEnd w:id="150"/>
      <w:bookmarkEnd w:id="151"/>
      <w:bookmarkEnd w:id="152"/>
      <w:bookmarkEnd w:id="153"/>
      <w:bookmarkEnd w:id="154"/>
    </w:p>
    <w:p w14:paraId="52E54522">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本次招标由招标人自行组织/委托招标代理机构采用代理招标的方式进行，招标组织形式、代理机构名称见投标人须知前附表。</w:t>
      </w:r>
    </w:p>
    <w:p w14:paraId="06D7D1A5">
      <w:pPr>
        <w:pStyle w:val="5"/>
        <w:spacing w:line="360" w:lineRule="auto"/>
        <w:rPr>
          <w:rFonts w:hint="default" w:ascii="仿宋" w:hAnsi="仿宋" w:cs="仿宋"/>
        </w:rPr>
      </w:pPr>
      <w:bookmarkStart w:id="155" w:name="_Toc112068333"/>
      <w:bookmarkStart w:id="156" w:name="_Toc21444"/>
      <w:bookmarkStart w:id="157" w:name="_Toc28650"/>
      <w:bookmarkStart w:id="158" w:name="_Toc16824"/>
      <w:bookmarkStart w:id="159" w:name="_Toc144741548"/>
      <w:bookmarkStart w:id="160" w:name="_Toc30702"/>
      <w:bookmarkStart w:id="161" w:name="_Toc17811"/>
      <w:r>
        <w:rPr>
          <w:rFonts w:ascii="仿宋" w:hAnsi="仿宋" w:cs="仿宋"/>
        </w:rPr>
        <w:t>1.5资格审查</w:t>
      </w:r>
      <w:bookmarkEnd w:id="155"/>
      <w:bookmarkEnd w:id="156"/>
      <w:bookmarkEnd w:id="157"/>
      <w:bookmarkEnd w:id="158"/>
      <w:bookmarkEnd w:id="159"/>
      <w:bookmarkEnd w:id="160"/>
      <w:bookmarkEnd w:id="161"/>
    </w:p>
    <w:p w14:paraId="47C4DC85">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1.5.1资格预审：是指在投标前对潜在投标人进行的资格审查。采用资格预审方式的，资格条件已经在招标文件发出前的“资格预审文件”中作出规定。</w:t>
      </w:r>
    </w:p>
    <w:p w14:paraId="233E404D">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1.5.2资格后审：是指在开标后由评标委员会根据招标文件的规定对投标人进行的资格审查。采用资格后审方式的，招标人必须在招标文件中详细规定资格审查标准和方法，</w:t>
      </w:r>
      <w:bookmarkStart w:id="162" w:name="_Hlk136963129"/>
      <w:r>
        <w:rPr>
          <w:rFonts w:hint="eastAsia" w:ascii="仿宋" w:hAnsi="仿宋" w:eastAsia="仿宋" w:cs="仿宋"/>
          <w:kern w:val="0"/>
          <w:sz w:val="24"/>
          <w:szCs w:val="24"/>
        </w:rPr>
        <w:t>投标人应具备的资格条件见第一章“招标公告”或“投标邀请书”。</w:t>
      </w:r>
      <w:bookmarkEnd w:id="162"/>
    </w:p>
    <w:p w14:paraId="0507CDCE">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1.5.3资格后审不合格的投标人，评标委员会应否决其投标。</w:t>
      </w:r>
    </w:p>
    <w:p w14:paraId="46224154">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1.5.4本项目资格审查方式见投标人须知前附表。</w:t>
      </w:r>
    </w:p>
    <w:p w14:paraId="60539DFC">
      <w:pPr>
        <w:pStyle w:val="5"/>
        <w:spacing w:line="360" w:lineRule="auto"/>
        <w:rPr>
          <w:rFonts w:hint="default" w:ascii="仿宋" w:hAnsi="仿宋" w:cs="仿宋"/>
        </w:rPr>
      </w:pPr>
      <w:bookmarkStart w:id="163" w:name="_Toc112068335"/>
      <w:bookmarkStart w:id="164" w:name="_Toc4138"/>
      <w:bookmarkStart w:id="165" w:name="_Toc14132"/>
      <w:bookmarkStart w:id="166" w:name="_Toc32704"/>
      <w:bookmarkStart w:id="167" w:name="_Toc24705"/>
      <w:bookmarkStart w:id="168" w:name="_Toc144741549"/>
      <w:bookmarkStart w:id="169" w:name="_Toc31576"/>
      <w:r>
        <w:rPr>
          <w:rFonts w:ascii="仿宋" w:hAnsi="仿宋" w:cs="仿宋"/>
        </w:rPr>
        <w:t>1.6投标费用</w:t>
      </w:r>
      <w:bookmarkEnd w:id="163"/>
      <w:bookmarkEnd w:id="164"/>
      <w:bookmarkEnd w:id="165"/>
      <w:bookmarkEnd w:id="166"/>
      <w:bookmarkEnd w:id="167"/>
      <w:bookmarkEnd w:id="168"/>
      <w:bookmarkEnd w:id="169"/>
    </w:p>
    <w:p w14:paraId="4392D6B3">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不论结果如何，投标人自行承担所有准备和参与投标有关的费用。</w:t>
      </w:r>
    </w:p>
    <w:p w14:paraId="07AA07C6">
      <w:pPr>
        <w:pStyle w:val="5"/>
        <w:spacing w:line="360" w:lineRule="auto"/>
        <w:rPr>
          <w:rFonts w:hint="default" w:ascii="仿宋" w:hAnsi="仿宋" w:cs="仿宋"/>
        </w:rPr>
      </w:pPr>
      <w:bookmarkStart w:id="170" w:name="_Toc144741550"/>
      <w:bookmarkStart w:id="171" w:name="_Toc112068336"/>
      <w:bookmarkStart w:id="172" w:name="_Toc7608"/>
      <w:bookmarkStart w:id="173" w:name="_Toc21527"/>
      <w:bookmarkStart w:id="174" w:name="_Toc8745"/>
      <w:bookmarkStart w:id="175" w:name="_Toc460"/>
      <w:bookmarkStart w:id="176" w:name="_Toc17364"/>
      <w:bookmarkStart w:id="177" w:name="_Hlk136963192"/>
      <w:r>
        <w:rPr>
          <w:rFonts w:ascii="仿宋" w:hAnsi="仿宋" w:cs="仿宋"/>
        </w:rPr>
        <w:t>1.7保密</w:t>
      </w:r>
      <w:bookmarkEnd w:id="170"/>
      <w:bookmarkEnd w:id="171"/>
      <w:bookmarkEnd w:id="172"/>
      <w:bookmarkEnd w:id="173"/>
      <w:bookmarkEnd w:id="174"/>
      <w:bookmarkEnd w:id="175"/>
      <w:bookmarkEnd w:id="176"/>
    </w:p>
    <w:p w14:paraId="103C5106">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参与招标投标活动的各方应对招标文件和投标文件中的商业和技术等秘密保密，违者应对由此造成的后果承担法律责任。</w:t>
      </w:r>
    </w:p>
    <w:p w14:paraId="13CC65F2">
      <w:pPr>
        <w:pStyle w:val="5"/>
        <w:spacing w:line="360" w:lineRule="auto"/>
        <w:rPr>
          <w:rFonts w:hint="default" w:ascii="仿宋" w:hAnsi="仿宋" w:cs="仿宋"/>
        </w:rPr>
      </w:pPr>
      <w:bookmarkStart w:id="178" w:name="_Toc144741551"/>
      <w:bookmarkStart w:id="179" w:name="_Toc3891"/>
      <w:bookmarkStart w:id="180" w:name="_Toc22601"/>
      <w:bookmarkStart w:id="181" w:name="_Toc11246"/>
      <w:bookmarkStart w:id="182" w:name="_Toc28009"/>
      <w:bookmarkStart w:id="183" w:name="_Toc6642"/>
      <w:bookmarkStart w:id="184" w:name="_Toc112068337"/>
      <w:r>
        <w:rPr>
          <w:rFonts w:ascii="仿宋" w:hAnsi="仿宋" w:cs="仿宋"/>
        </w:rPr>
        <w:t>1.8计量单位</w:t>
      </w:r>
      <w:bookmarkEnd w:id="178"/>
      <w:bookmarkEnd w:id="179"/>
      <w:bookmarkEnd w:id="180"/>
      <w:bookmarkEnd w:id="181"/>
      <w:bookmarkEnd w:id="182"/>
      <w:bookmarkEnd w:id="183"/>
      <w:bookmarkEnd w:id="184"/>
    </w:p>
    <w:p w14:paraId="6F397582">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所有计量均采用中华人民共和国法定计量单位。</w:t>
      </w:r>
    </w:p>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77"/>
    <w:p w14:paraId="09774A13">
      <w:pPr>
        <w:pStyle w:val="4"/>
        <w:rPr>
          <w:rFonts w:ascii="仿宋" w:hAnsi="仿宋" w:cs="仿宋"/>
        </w:rPr>
      </w:pPr>
      <w:bookmarkStart w:id="185" w:name="_Toc152042318"/>
      <w:bookmarkStart w:id="186" w:name="_Toc179632560"/>
      <w:bookmarkStart w:id="187" w:name="_Toc247085701"/>
      <w:bookmarkStart w:id="188" w:name="_Toc246996930"/>
      <w:bookmarkStart w:id="189" w:name="_Toc109124244"/>
      <w:bookmarkStart w:id="190" w:name="_Toc171"/>
      <w:bookmarkStart w:id="191" w:name="_Toc246996187"/>
      <w:bookmarkStart w:id="192" w:name="_Toc18409"/>
      <w:bookmarkStart w:id="193" w:name="_Toc15621"/>
      <w:bookmarkStart w:id="194" w:name="_Toc29643"/>
      <w:bookmarkStart w:id="195" w:name="_Toc152045542"/>
      <w:bookmarkStart w:id="196" w:name="_Toc144974510"/>
      <w:r>
        <w:rPr>
          <w:rFonts w:hint="eastAsia" w:ascii="仿宋" w:hAnsi="仿宋" w:cs="仿宋"/>
        </w:rPr>
        <w:t>2.招标文件</w:t>
      </w:r>
      <w:bookmarkEnd w:id="185"/>
      <w:bookmarkEnd w:id="186"/>
      <w:bookmarkEnd w:id="187"/>
      <w:bookmarkEnd w:id="188"/>
      <w:bookmarkEnd w:id="189"/>
      <w:bookmarkEnd w:id="190"/>
      <w:bookmarkEnd w:id="191"/>
      <w:bookmarkEnd w:id="192"/>
      <w:bookmarkEnd w:id="193"/>
      <w:bookmarkEnd w:id="194"/>
      <w:bookmarkEnd w:id="195"/>
      <w:bookmarkEnd w:id="196"/>
    </w:p>
    <w:p w14:paraId="57BB8A80">
      <w:pPr>
        <w:pStyle w:val="5"/>
        <w:spacing w:line="360" w:lineRule="auto"/>
        <w:rPr>
          <w:rFonts w:hint="default" w:ascii="仿宋" w:hAnsi="仿宋" w:cs="仿宋"/>
        </w:rPr>
      </w:pPr>
      <w:bookmarkStart w:id="197" w:name="_Toc2376"/>
      <w:bookmarkStart w:id="198" w:name="_Toc22317"/>
      <w:bookmarkStart w:id="199" w:name="_Toc8282"/>
      <w:bookmarkStart w:id="200" w:name="_Toc12043"/>
      <w:bookmarkStart w:id="201" w:name="_Toc69"/>
      <w:bookmarkStart w:id="202" w:name="_Toc247085702"/>
      <w:bookmarkStart w:id="203" w:name="_Toc109124245"/>
      <w:bookmarkStart w:id="204" w:name="_Toc152042319"/>
      <w:bookmarkStart w:id="205" w:name="_Toc144974511"/>
      <w:bookmarkStart w:id="206" w:name="_Toc60224332"/>
      <w:bookmarkStart w:id="207" w:name="_Toc326223548"/>
      <w:bookmarkStart w:id="208" w:name="_Toc332188181"/>
      <w:bookmarkStart w:id="209" w:name="_Toc179632561"/>
      <w:bookmarkStart w:id="210" w:name="_Toc152045543"/>
      <w:bookmarkStart w:id="211" w:name="_Toc16024"/>
      <w:bookmarkStart w:id="212" w:name="_Toc334766935"/>
      <w:bookmarkStart w:id="213" w:name="_Toc246996188"/>
      <w:bookmarkStart w:id="214" w:name="_Toc71191964"/>
      <w:bookmarkStart w:id="215" w:name="_Toc246996931"/>
      <w:r>
        <w:rPr>
          <w:rFonts w:ascii="仿宋" w:hAnsi="仿宋" w:cs="仿宋"/>
        </w:rPr>
        <w:t>2.1招标文件的组成</w:t>
      </w:r>
      <w:bookmarkEnd w:id="197"/>
      <w:bookmarkEnd w:id="198"/>
      <w:bookmarkEnd w:id="199"/>
      <w:bookmarkEnd w:id="200"/>
      <w:bookmarkEnd w:id="201"/>
    </w:p>
    <w:p w14:paraId="6C56DFC3">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2.1.1招标人应当根据招标项目的特点和需要编制招标文件。招标文件应当包括招标项目的技术要求、对投标人资格审查的标准、投标报价要求和评标标准等所有实质性要求和条件以及拟签订合同的主要条款。招标文件的组成见投标人须知前附表。</w:t>
      </w:r>
    </w:p>
    <w:p w14:paraId="666877C1">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2.1.2 招标文件对同一内容的表述应当一致。第一章 “招标公告”或者“投标邀请书”与招标文件在同一内容的表述上有矛盾或冲突时，以第一章 “招标公告”或者“投标邀请书”为准；投标人须知前附表与投标人须知正文在同一内容的表述上有矛盾或冲突时，以投标人须知前附表为准。</w:t>
      </w:r>
    </w:p>
    <w:p w14:paraId="594199C5">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2.1.3招标人在招标文件中以显著的方式标明实质性要求、条件以及不满足实质性要求和条件的投标将被否决的提示，实质性要求的标识见投标人须知前附表。</w:t>
      </w:r>
    </w:p>
    <w:p w14:paraId="247E0BC2">
      <w:pPr>
        <w:pStyle w:val="5"/>
        <w:spacing w:line="360" w:lineRule="auto"/>
        <w:rPr>
          <w:rFonts w:hint="default" w:ascii="仿宋" w:hAnsi="仿宋" w:cs="仿宋"/>
        </w:rPr>
      </w:pPr>
      <w:bookmarkStart w:id="216" w:name="_Toc27480"/>
      <w:bookmarkStart w:id="217" w:name="_Toc2177"/>
      <w:bookmarkStart w:id="218" w:name="_Toc22156"/>
      <w:bookmarkStart w:id="219" w:name="_Toc20955"/>
      <w:bookmarkStart w:id="220" w:name="_Toc501"/>
      <w:r>
        <w:rPr>
          <w:rFonts w:ascii="仿宋" w:hAnsi="仿宋" w:cs="仿宋"/>
        </w:rPr>
        <w:t>2.2踏勘现场</w:t>
      </w:r>
      <w:bookmarkEnd w:id="216"/>
      <w:bookmarkEnd w:id="217"/>
      <w:bookmarkEnd w:id="218"/>
      <w:bookmarkEnd w:id="219"/>
      <w:bookmarkEnd w:id="220"/>
    </w:p>
    <w:p w14:paraId="720ED9A1">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2.2.1招标人根据招标项目的具体情况，可以按照投标人须知前附表规定的时间和地点组织潜在投标人踏勘项目现场。招标人不得组织单个或者部分潜在投标人踏勘项目现场。</w:t>
      </w:r>
    </w:p>
    <w:p w14:paraId="3B480D9E">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2.2.2投标人应全面踏勘项目现场，应对可能影响投标报价及技术管理方案的现场条件进行全面踏勘。</w:t>
      </w:r>
    </w:p>
    <w:p w14:paraId="4318C809">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2.2.3投标人根据踏勘项目现场做出的投标分析、推论和判断，应当自行负责，招标人不对投标人据此作出的判断和决策负责。</w:t>
      </w:r>
    </w:p>
    <w:p w14:paraId="4F280B70">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2.2.4投标人踏勘现场发生的费用自理。除招标人的原因外，投标人自行负责在踏勘现场中所发生的人员伤亡和财产损失。</w:t>
      </w:r>
    </w:p>
    <w:p w14:paraId="52D363FE">
      <w:pPr>
        <w:pStyle w:val="5"/>
        <w:spacing w:line="360" w:lineRule="auto"/>
        <w:rPr>
          <w:rFonts w:hint="default" w:ascii="仿宋" w:hAnsi="仿宋" w:cs="仿宋"/>
        </w:rPr>
      </w:pPr>
      <w:bookmarkStart w:id="221" w:name="_Toc26824"/>
      <w:bookmarkStart w:id="222" w:name="_Toc9138"/>
      <w:bookmarkStart w:id="223" w:name="_Toc14161"/>
      <w:bookmarkStart w:id="224" w:name="_Toc16639"/>
      <w:bookmarkStart w:id="225" w:name="_Toc14868"/>
      <w:r>
        <w:rPr>
          <w:rFonts w:ascii="仿宋" w:hAnsi="仿宋" w:cs="仿宋"/>
        </w:rPr>
        <w:t>2.3投标预备会</w:t>
      </w:r>
      <w:bookmarkEnd w:id="221"/>
      <w:bookmarkEnd w:id="222"/>
      <w:bookmarkEnd w:id="223"/>
      <w:bookmarkEnd w:id="224"/>
      <w:bookmarkEnd w:id="225"/>
    </w:p>
    <w:p w14:paraId="034A66A4">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招标人认为必要时，将按照投标人须知前附表规定的时间和地点召开投标预备会（标前会），公开解答潜在投标人对招标文件提出的疑问。</w:t>
      </w:r>
    </w:p>
    <w:p w14:paraId="403F5F18">
      <w:pPr>
        <w:pStyle w:val="5"/>
        <w:spacing w:line="360" w:lineRule="auto"/>
        <w:rPr>
          <w:rFonts w:hint="default" w:ascii="仿宋" w:hAnsi="仿宋" w:cs="仿宋"/>
        </w:rPr>
      </w:pPr>
      <w:bookmarkStart w:id="226" w:name="_Toc13728"/>
      <w:bookmarkStart w:id="227" w:name="_Toc19941"/>
      <w:bookmarkStart w:id="228" w:name="_Toc22716"/>
      <w:bookmarkStart w:id="229" w:name="_Toc8595"/>
      <w:bookmarkStart w:id="230" w:name="_Toc18686"/>
      <w:r>
        <w:rPr>
          <w:rFonts w:ascii="仿宋" w:hAnsi="仿宋" w:cs="仿宋"/>
        </w:rPr>
        <w:t>2.4招标文件的修改</w:t>
      </w:r>
      <w:bookmarkEnd w:id="226"/>
      <w:bookmarkEnd w:id="227"/>
      <w:bookmarkEnd w:id="228"/>
      <w:bookmarkEnd w:id="229"/>
      <w:bookmarkEnd w:id="230"/>
    </w:p>
    <w:p w14:paraId="387D1CD4">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2.4.1投标人对招标文件有疑问的，应当按照投标人须知前附表规定的时间和方式，要求招标人对招标文件进行澄清。</w:t>
      </w:r>
    </w:p>
    <w:p w14:paraId="516746AA">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2.4.2招标人可以对已发出的招标文件进行必要的澄清或者修改。澄清或修改内容可能影响投标文件编制的，招标人应当在投标截止时间至少15日前，以书面形式通知所有获取招标文件的潜在投标人，不足15日的，招标人应相应顺延提交投标文件的截止时间。</w:t>
      </w:r>
    </w:p>
    <w:p w14:paraId="1A84354B">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2.4.3投标人收到澄清或修改后，应当按照投标人须知前附表规定的时间和方式通知招标人，确认已收到该澄清或修改。</w:t>
      </w:r>
    </w:p>
    <w:p w14:paraId="2D444FA7">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2.4.4所有关于招标文件的澄清和修改均作为招标文件的组成部分。当招标文件、招标文件的澄清或修改等在同一内容的表述上不一致时，以最后发出的书面文件为准。</w:t>
      </w:r>
    </w:p>
    <w:p w14:paraId="7993B793">
      <w:pPr>
        <w:pStyle w:val="5"/>
        <w:spacing w:line="360" w:lineRule="auto"/>
        <w:rPr>
          <w:rFonts w:hint="default" w:ascii="仿宋" w:hAnsi="仿宋" w:cs="仿宋"/>
        </w:rPr>
      </w:pPr>
      <w:bookmarkStart w:id="231" w:name="_Toc31249"/>
      <w:bookmarkStart w:id="232" w:name="_Toc2840"/>
      <w:bookmarkStart w:id="233" w:name="_Toc2797"/>
      <w:bookmarkStart w:id="234" w:name="_Toc5227"/>
      <w:bookmarkStart w:id="235" w:name="_Toc3221"/>
      <w:r>
        <w:rPr>
          <w:rFonts w:ascii="仿宋" w:hAnsi="仿宋" w:cs="仿宋"/>
        </w:rPr>
        <w:t>2.5招标文件的异议</w:t>
      </w:r>
      <w:bookmarkEnd w:id="231"/>
      <w:bookmarkEnd w:id="232"/>
      <w:bookmarkEnd w:id="233"/>
      <w:bookmarkEnd w:id="234"/>
      <w:bookmarkEnd w:id="235"/>
    </w:p>
    <w:p w14:paraId="47ED05D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潜在投标人或者其他利害关系人（是与招标项目或者招标活动有直接或者间接利益关系的法人、其他组织和自然人）对招标文件有异议的，应当在投标截止时间10日前提出。招标人应当自收到异议之日起3日内作出答复。作出答复前，应当暂停招标投标活动。</w:t>
      </w:r>
    </w:p>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14:paraId="69D7F4D7">
      <w:pPr>
        <w:pStyle w:val="4"/>
        <w:rPr>
          <w:rFonts w:ascii="仿宋" w:hAnsi="仿宋" w:cs="仿宋"/>
        </w:rPr>
      </w:pPr>
      <w:bookmarkStart w:id="236" w:name="_Toc15396"/>
      <w:bookmarkStart w:id="237" w:name="_Toc22231"/>
      <w:bookmarkStart w:id="238" w:name="_Toc152045546"/>
      <w:bookmarkStart w:id="239" w:name="_Toc7057"/>
      <w:bookmarkStart w:id="240" w:name="_Toc6007"/>
      <w:bookmarkStart w:id="241" w:name="_Toc144974514"/>
      <w:bookmarkStart w:id="242" w:name="_Toc247085705"/>
      <w:bookmarkStart w:id="243" w:name="_Toc109124250"/>
      <w:bookmarkStart w:id="244" w:name="_Toc179632564"/>
      <w:bookmarkStart w:id="245" w:name="_Toc246996191"/>
      <w:bookmarkStart w:id="246" w:name="_Toc152042322"/>
      <w:bookmarkStart w:id="247" w:name="_Toc246996934"/>
      <w:r>
        <w:rPr>
          <w:rFonts w:hint="eastAsia" w:ascii="仿宋" w:hAnsi="仿宋" w:cs="仿宋"/>
        </w:rPr>
        <w:t>3.投标文件</w:t>
      </w:r>
      <w:bookmarkEnd w:id="236"/>
      <w:bookmarkEnd w:id="237"/>
      <w:bookmarkEnd w:id="238"/>
      <w:bookmarkEnd w:id="239"/>
      <w:bookmarkEnd w:id="240"/>
      <w:bookmarkEnd w:id="241"/>
      <w:bookmarkEnd w:id="242"/>
      <w:bookmarkEnd w:id="243"/>
      <w:bookmarkEnd w:id="244"/>
      <w:bookmarkEnd w:id="245"/>
      <w:bookmarkEnd w:id="246"/>
      <w:bookmarkEnd w:id="247"/>
    </w:p>
    <w:p w14:paraId="38051A24">
      <w:pPr>
        <w:pStyle w:val="5"/>
        <w:spacing w:line="360" w:lineRule="auto"/>
        <w:rPr>
          <w:rFonts w:hint="default" w:ascii="仿宋" w:hAnsi="仿宋" w:cs="仿宋"/>
        </w:rPr>
      </w:pPr>
      <w:bookmarkStart w:id="248" w:name="_Toc247085706"/>
      <w:bookmarkStart w:id="249" w:name="_Toc71191970"/>
      <w:bookmarkStart w:id="250" w:name="_Toc144974515"/>
      <w:bookmarkStart w:id="251" w:name="_Toc31802"/>
      <w:bookmarkStart w:id="252" w:name="_Toc1364"/>
      <w:bookmarkStart w:id="253" w:name="_Toc326223552"/>
      <w:bookmarkStart w:id="254" w:name="_Toc25065"/>
      <w:bookmarkStart w:id="255" w:name="_Toc332188185"/>
      <w:bookmarkStart w:id="256" w:name="_Toc246996935"/>
      <w:bookmarkStart w:id="257" w:name="_Toc152042323"/>
      <w:bookmarkStart w:id="258" w:name="_Toc60224337"/>
      <w:bookmarkStart w:id="259" w:name="_Toc246996192"/>
      <w:bookmarkStart w:id="260" w:name="_Toc334766939"/>
      <w:bookmarkStart w:id="261" w:name="_Toc152045547"/>
      <w:bookmarkStart w:id="262" w:name="_Toc5129"/>
      <w:bookmarkStart w:id="263" w:name="_Toc179632565"/>
      <w:bookmarkStart w:id="264" w:name="_Toc109124251"/>
      <w:bookmarkStart w:id="265" w:name="_Toc19843"/>
      <w:bookmarkStart w:id="266" w:name="_Toc5555"/>
      <w:r>
        <w:rPr>
          <w:rFonts w:ascii="仿宋" w:hAnsi="仿宋" w:cs="仿宋"/>
        </w:rPr>
        <w:t>3.1 投标文件的组成</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28E0917">
      <w:pPr>
        <w:spacing w:line="360" w:lineRule="auto"/>
        <w:ind w:firstLine="480" w:firstLineChars="200"/>
        <w:textAlignment w:val="baseline"/>
        <w:rPr>
          <w:rFonts w:ascii="仿宋" w:hAnsi="仿宋" w:eastAsia="仿宋" w:cs="仿宋"/>
          <w:sz w:val="24"/>
          <w:szCs w:val="24"/>
        </w:rPr>
      </w:pPr>
      <w:bookmarkStart w:id="267" w:name="_Toc332188186"/>
      <w:bookmarkStart w:id="268" w:name="_Toc334766940"/>
      <w:bookmarkStart w:id="269" w:name="_Toc246996936"/>
      <w:bookmarkStart w:id="270" w:name="_Toc152045548"/>
      <w:bookmarkStart w:id="271" w:name="_Toc246996193"/>
      <w:bookmarkStart w:id="272" w:name="_Toc247085707"/>
      <w:bookmarkStart w:id="273" w:name="_Toc179632566"/>
      <w:bookmarkStart w:id="274" w:name="_Toc152042324"/>
      <w:bookmarkStart w:id="275" w:name="_Toc326223553"/>
      <w:bookmarkStart w:id="276" w:name="_Toc144974516"/>
      <w:r>
        <w:rPr>
          <w:rFonts w:hint="eastAsia" w:ascii="仿宋" w:hAnsi="仿宋" w:eastAsia="仿宋" w:cs="仿宋"/>
          <w:sz w:val="24"/>
          <w:szCs w:val="24"/>
        </w:rPr>
        <w:t>投标人应当按照投标人须知前附表的要求制作并提交投标文件。投标文件的组成见投标人须知前附表。</w:t>
      </w:r>
    </w:p>
    <w:p w14:paraId="7B3894CF">
      <w:pPr>
        <w:pStyle w:val="5"/>
        <w:spacing w:line="360" w:lineRule="auto"/>
        <w:rPr>
          <w:rFonts w:hint="default" w:ascii="仿宋" w:hAnsi="仿宋" w:cs="仿宋"/>
        </w:rPr>
      </w:pPr>
      <w:bookmarkStart w:id="277" w:name="_Toc71191971"/>
      <w:bookmarkStart w:id="278" w:name="_Toc60224338"/>
      <w:bookmarkStart w:id="279" w:name="_Toc5536"/>
      <w:bookmarkStart w:id="280" w:name="_Toc11311"/>
      <w:bookmarkStart w:id="281" w:name="_Toc25172"/>
      <w:bookmarkStart w:id="282" w:name="_Toc28066"/>
      <w:bookmarkStart w:id="283" w:name="_Toc109124252"/>
      <w:bookmarkStart w:id="284" w:name="_Toc8739"/>
      <w:bookmarkStart w:id="285" w:name="_Toc28416"/>
      <w:r>
        <w:rPr>
          <w:rFonts w:ascii="仿宋" w:hAnsi="仿宋" w:cs="仿宋"/>
        </w:rPr>
        <w:t xml:space="preserve">3.2 </w:t>
      </w:r>
      <w:bookmarkEnd w:id="267"/>
      <w:bookmarkEnd w:id="268"/>
      <w:bookmarkEnd w:id="269"/>
      <w:bookmarkEnd w:id="270"/>
      <w:bookmarkEnd w:id="271"/>
      <w:bookmarkEnd w:id="272"/>
      <w:bookmarkEnd w:id="273"/>
      <w:bookmarkEnd w:id="274"/>
      <w:bookmarkEnd w:id="275"/>
      <w:bookmarkEnd w:id="276"/>
      <w:r>
        <w:rPr>
          <w:rFonts w:ascii="仿宋" w:hAnsi="仿宋" w:cs="仿宋"/>
        </w:rPr>
        <w:t>投标文件的编制</w:t>
      </w:r>
      <w:bookmarkEnd w:id="277"/>
      <w:bookmarkEnd w:id="278"/>
      <w:bookmarkEnd w:id="279"/>
      <w:bookmarkEnd w:id="280"/>
      <w:bookmarkEnd w:id="281"/>
      <w:bookmarkEnd w:id="282"/>
      <w:bookmarkEnd w:id="283"/>
      <w:bookmarkEnd w:id="284"/>
      <w:bookmarkEnd w:id="285"/>
    </w:p>
    <w:p w14:paraId="53BFE6CD">
      <w:pPr>
        <w:spacing w:line="360" w:lineRule="auto"/>
        <w:ind w:firstLine="480" w:firstLineChars="200"/>
        <w:textAlignment w:val="baseline"/>
        <w:rPr>
          <w:rFonts w:ascii="仿宋" w:hAnsi="仿宋" w:eastAsia="仿宋" w:cs="仿宋"/>
          <w:sz w:val="24"/>
          <w:szCs w:val="24"/>
        </w:rPr>
      </w:pPr>
      <w:bookmarkStart w:id="286" w:name="_Toc152045549"/>
      <w:bookmarkStart w:id="287" w:name="_Toc179632567"/>
      <w:bookmarkStart w:id="288" w:name="_Toc326223554"/>
      <w:bookmarkStart w:id="289" w:name="_Toc246996194"/>
      <w:bookmarkStart w:id="290" w:name="_Toc334766941"/>
      <w:bookmarkStart w:id="291" w:name="_Toc247085708"/>
      <w:bookmarkStart w:id="292" w:name="_Toc152042325"/>
      <w:bookmarkStart w:id="293" w:name="_Toc332188187"/>
      <w:bookmarkStart w:id="294" w:name="_Toc246996937"/>
      <w:bookmarkStart w:id="295" w:name="_Toc144974517"/>
      <w:r>
        <w:rPr>
          <w:rFonts w:hint="eastAsia" w:ascii="仿宋" w:hAnsi="仿宋" w:eastAsia="仿宋" w:cs="仿宋"/>
          <w:sz w:val="24"/>
          <w:szCs w:val="24"/>
        </w:rPr>
        <w:t xml:space="preserve">3.2.1投标人应当按照招标文件的要求编制投标文件，并对其投标文件的真实性、合法性承担法律责任，投标文件应当对招标文件提出的实质性要求和条件作出响应。 </w:t>
      </w:r>
    </w:p>
    <w:p w14:paraId="5ED7288C">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3.2.2投标人应认真阅读招标文件中所有的事项、格式、条款和技术规范等。投标人没有按照招标文件要求递交全部资料，或者投标人没有对招标文件在各方面都作出实质性响应是投标人的风险，并可能导致其投标被否决。投标文件应答和编写的具体要求见投标人须知前附表。</w:t>
      </w:r>
    </w:p>
    <w:p w14:paraId="27E281E5">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3.2.3投标人提交的投标文件以及投标人与招标人就有关投标的所有往来函电均应使用中文。投标人提交的证明文件和印刷的文献可以使用另一种语言，但相应内容应当译成中文，在解释投标文件时以中文译本为准。</w:t>
      </w:r>
    </w:p>
    <w:p w14:paraId="0A1116DE">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3.2.4纸质投标文件应当使用不褪色的材料书写或打印，并加盖公章或者由投标人的法定代表人（负责人）或者其委托代理人签字。委托代理人签字的，投标文件应当附法定代表人（负责人）签署的授权委托书。投标文件应尽量避免涂改、行间插字或删除。如果出现上述情况，改动之处应当加盖公章或由投标人的法定代表人（负责人）或其委托代理人签字确认。电子投标文件的签章要求及纸质投标文件盖章或者签字另有要求的，见投标人须知前附表。</w:t>
      </w:r>
    </w:p>
    <w:p w14:paraId="212DD9F4">
      <w:pPr>
        <w:pStyle w:val="5"/>
        <w:spacing w:line="360" w:lineRule="auto"/>
        <w:rPr>
          <w:rFonts w:hint="default" w:ascii="仿宋" w:hAnsi="仿宋" w:cs="仿宋"/>
        </w:rPr>
      </w:pPr>
      <w:bookmarkStart w:id="296" w:name="_Toc27566"/>
      <w:bookmarkStart w:id="297" w:name="_Toc11186"/>
      <w:bookmarkStart w:id="298" w:name="_Toc31380"/>
      <w:bookmarkStart w:id="299" w:name="_Toc71191972"/>
      <w:bookmarkStart w:id="300" w:name="_Toc60224339"/>
      <w:bookmarkStart w:id="301" w:name="_Toc27658"/>
      <w:bookmarkStart w:id="302" w:name="_Toc109124253"/>
      <w:bookmarkStart w:id="303" w:name="_Toc18181"/>
      <w:bookmarkStart w:id="304" w:name="_Toc22442"/>
      <w:r>
        <w:rPr>
          <w:rFonts w:ascii="仿宋" w:hAnsi="仿宋" w:cs="仿宋"/>
        </w:rPr>
        <w:t>3.3 投标报价</w:t>
      </w:r>
      <w:bookmarkEnd w:id="296"/>
      <w:bookmarkEnd w:id="297"/>
      <w:bookmarkEnd w:id="298"/>
      <w:bookmarkEnd w:id="299"/>
      <w:bookmarkEnd w:id="300"/>
      <w:bookmarkEnd w:id="301"/>
      <w:bookmarkEnd w:id="302"/>
      <w:bookmarkEnd w:id="303"/>
      <w:bookmarkEnd w:id="304"/>
    </w:p>
    <w:p w14:paraId="0DFB5F01">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3.3.1投标人应当根据招标文件要求进行报价，投标人应当报出符合招标文件要求的拟提供投标货物或服务的单价、总价、费率、税率等内容。</w:t>
      </w:r>
    </w:p>
    <w:p w14:paraId="123E66EB">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3.3.2 除招标文件另有规定外，投标报价一律用人民币填报，招标人不接受任何非人民币币种的投标报价。</w:t>
      </w:r>
    </w:p>
    <w:p w14:paraId="487A696E">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3.3.3除招标文件另有规定外，投标人对每种货物或服务只允许有一个报价，招标人不接受有任何选择的报价。</w:t>
      </w:r>
    </w:p>
    <w:p w14:paraId="45F1179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3.3.4招标人设有最高投标限价的，投标人的投标报价不得超过最高投标限价，否则其投标将被否决。最高投标限价或者其计算方法见投标人须知前附表。</w:t>
      </w:r>
    </w:p>
    <w:p w14:paraId="5BD83C57">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3.3.5投标报价的具体要求见投标人须知前附表。 </w:t>
      </w:r>
    </w:p>
    <w:p w14:paraId="781F2C01">
      <w:pPr>
        <w:pStyle w:val="5"/>
        <w:spacing w:line="360" w:lineRule="auto"/>
        <w:rPr>
          <w:rFonts w:hint="default" w:ascii="仿宋" w:hAnsi="仿宋" w:cs="仿宋"/>
        </w:rPr>
      </w:pPr>
      <w:bookmarkStart w:id="305" w:name="_Toc24085"/>
      <w:bookmarkStart w:id="306" w:name="_Toc30192"/>
      <w:bookmarkStart w:id="307" w:name="_Toc10799"/>
      <w:bookmarkStart w:id="308" w:name="_Toc10829"/>
      <w:bookmarkStart w:id="309" w:name="_Toc71191973"/>
      <w:bookmarkStart w:id="310" w:name="_Toc109124254"/>
      <w:bookmarkStart w:id="311" w:name="_Toc3606"/>
      <w:bookmarkStart w:id="312" w:name="_Toc60224340"/>
      <w:bookmarkStart w:id="313" w:name="_Toc11672"/>
      <w:r>
        <w:rPr>
          <w:rFonts w:ascii="仿宋" w:hAnsi="仿宋" w:cs="仿宋"/>
        </w:rPr>
        <w:t xml:space="preserve">3.4 </w:t>
      </w:r>
      <w:bookmarkEnd w:id="286"/>
      <w:bookmarkEnd w:id="287"/>
      <w:bookmarkEnd w:id="288"/>
      <w:bookmarkEnd w:id="289"/>
      <w:bookmarkEnd w:id="290"/>
      <w:bookmarkEnd w:id="291"/>
      <w:bookmarkEnd w:id="292"/>
      <w:bookmarkEnd w:id="293"/>
      <w:bookmarkEnd w:id="294"/>
      <w:bookmarkEnd w:id="295"/>
      <w:r>
        <w:rPr>
          <w:rFonts w:ascii="仿宋" w:hAnsi="仿宋" w:cs="仿宋"/>
        </w:rPr>
        <w:t>投标有效期</w:t>
      </w:r>
      <w:bookmarkEnd w:id="305"/>
      <w:bookmarkEnd w:id="306"/>
      <w:bookmarkEnd w:id="307"/>
      <w:bookmarkEnd w:id="308"/>
      <w:bookmarkEnd w:id="309"/>
      <w:bookmarkEnd w:id="310"/>
      <w:bookmarkEnd w:id="311"/>
      <w:bookmarkEnd w:id="312"/>
      <w:bookmarkEnd w:id="313"/>
    </w:p>
    <w:p w14:paraId="035C135C">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3.4.1投标有效期从提交投标文件的截止之日起算，投标有效期的具体时间见投标人须知前附表。投标人承诺的投标有效期必须不短于招标文件规定的投标有效期，否则将构成对招标文件的非实质性响应，投标将被否决。</w:t>
      </w:r>
    </w:p>
    <w:p w14:paraId="701B4C3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3.4.2在原投标有效期结束前，出现特殊情况的，招标人可以书面形式要求所有投标人延长投标有效期。投标人同意延长的，不得要求或被允许修改其投标文件的实质性内容。投标人拒绝延长投标有效期的，其投标失效。</w:t>
      </w:r>
    </w:p>
    <w:p w14:paraId="451B290C">
      <w:pPr>
        <w:pStyle w:val="5"/>
        <w:spacing w:line="360" w:lineRule="auto"/>
        <w:rPr>
          <w:rFonts w:hint="default" w:ascii="仿宋" w:hAnsi="仿宋" w:cs="仿宋"/>
        </w:rPr>
      </w:pPr>
      <w:bookmarkStart w:id="314" w:name="_Toc152042326"/>
      <w:bookmarkStart w:id="315" w:name="_Toc14878"/>
      <w:bookmarkStart w:id="316" w:name="_Toc60224341"/>
      <w:bookmarkStart w:id="317" w:name="_Toc7184"/>
      <w:bookmarkStart w:id="318" w:name="_Toc247085709"/>
      <w:bookmarkStart w:id="319" w:name="_Toc179632568"/>
      <w:bookmarkStart w:id="320" w:name="_Toc152045550"/>
      <w:bookmarkStart w:id="321" w:name="_Toc71191974"/>
      <w:bookmarkStart w:id="322" w:name="_Toc109124255"/>
      <w:bookmarkStart w:id="323" w:name="_Toc21407"/>
      <w:bookmarkStart w:id="324" w:name="_Toc334766942"/>
      <w:bookmarkStart w:id="325" w:name="_Toc246996195"/>
      <w:bookmarkStart w:id="326" w:name="_Toc17589"/>
      <w:bookmarkStart w:id="327" w:name="_Toc246996938"/>
      <w:bookmarkStart w:id="328" w:name="_Toc22326"/>
      <w:bookmarkStart w:id="329" w:name="_Toc144974518"/>
      <w:bookmarkStart w:id="330" w:name="_Toc9688"/>
      <w:bookmarkStart w:id="331" w:name="_Toc326223555"/>
      <w:bookmarkStart w:id="332" w:name="_Toc332188188"/>
      <w:r>
        <w:rPr>
          <w:rFonts w:ascii="仿宋" w:hAnsi="仿宋" w:cs="仿宋"/>
        </w:rPr>
        <w:t>3.5 投标保证金</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2FF49D1C">
      <w:pPr>
        <w:widowControl/>
        <w:topLinePunct/>
        <w:spacing w:line="360" w:lineRule="auto"/>
        <w:ind w:firstLine="480" w:firstLineChars="200"/>
        <w:rPr>
          <w:rFonts w:ascii="仿宋" w:hAnsi="仿宋" w:eastAsia="仿宋" w:cs="仿宋"/>
          <w:kern w:val="0"/>
          <w:sz w:val="24"/>
          <w:szCs w:val="24"/>
        </w:rPr>
      </w:pPr>
      <w:bookmarkStart w:id="333" w:name="_Hlk112074683"/>
      <w:bookmarkStart w:id="334" w:name="_Toc332188189"/>
      <w:bookmarkStart w:id="335" w:name="_Toc326223556"/>
      <w:bookmarkStart w:id="336" w:name="_Toc246996196"/>
      <w:bookmarkStart w:id="337" w:name="_Toc179632570"/>
      <w:bookmarkStart w:id="338" w:name="_Toc247085710"/>
      <w:bookmarkStart w:id="339" w:name="_Toc152042328"/>
      <w:bookmarkStart w:id="340" w:name="_Toc246996939"/>
      <w:bookmarkStart w:id="341" w:name="_Toc334766943"/>
      <w:bookmarkStart w:id="342" w:name="_Toc152045552"/>
      <w:bookmarkStart w:id="343" w:name="_Toc144974520"/>
      <w:r>
        <w:rPr>
          <w:rFonts w:hint="eastAsia" w:ascii="仿宋" w:hAnsi="仿宋" w:eastAsia="仿宋" w:cs="仿宋"/>
          <w:kern w:val="0"/>
          <w:sz w:val="24"/>
          <w:szCs w:val="24"/>
        </w:rPr>
        <w:t>3.5.1招标人要求投标人提交投标保证金的，投标保证金不得超过招标项目估算价的2%，且不超过人民币80万元。投标保证金有效期与投标有效期一致。本招标项目的投标保证金金额、形式见投标人须知前附表。</w:t>
      </w:r>
    </w:p>
    <w:p w14:paraId="5C789531">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3.5.2</w:t>
      </w:r>
      <w:bookmarkStart w:id="344" w:name="_Hlk142926284"/>
      <w:r>
        <w:rPr>
          <w:rFonts w:hint="eastAsia" w:ascii="仿宋" w:hAnsi="仿宋" w:eastAsia="仿宋" w:cs="仿宋"/>
          <w:kern w:val="0"/>
          <w:sz w:val="24"/>
          <w:szCs w:val="24"/>
        </w:rPr>
        <w:t>投标人或中标人出现下列行为之一，投标保证金不予退还：</w:t>
      </w:r>
    </w:p>
    <w:p w14:paraId="796FF19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（1）投标人在投标截止后至投标有效期期满前，要求撤回已递交的投标文件；</w:t>
      </w:r>
    </w:p>
    <w:p w14:paraId="0C780E09">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（2）中标后放弃中标的；</w:t>
      </w:r>
    </w:p>
    <w:p w14:paraId="6D62D7B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（3）中标或成交后无正当理由不与招标人订立合同的；</w:t>
      </w:r>
    </w:p>
    <w:p w14:paraId="7D816EC7">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（4）中标人在签订合同时向招标人提出附加条件或要求变更实质性合同条款的；</w:t>
      </w:r>
    </w:p>
    <w:p w14:paraId="27186D0D">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（5）中标人不按照招标文件要求提交履约保证金的；</w:t>
      </w:r>
    </w:p>
    <w:p w14:paraId="367D3707">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（6）投标人有恶意欺诈、弄虚作假、围标串标、哄抬标价、徇私行贿等法律法规中所列违规行为的。</w:t>
      </w:r>
    </w:p>
    <w:bookmarkEnd w:id="333"/>
    <w:bookmarkEnd w:id="344"/>
    <w:p w14:paraId="0141FD7E">
      <w:pPr>
        <w:pStyle w:val="5"/>
        <w:spacing w:line="360" w:lineRule="auto"/>
        <w:rPr>
          <w:rFonts w:hint="default" w:ascii="仿宋" w:hAnsi="仿宋" w:cs="仿宋"/>
        </w:rPr>
      </w:pPr>
      <w:bookmarkStart w:id="345" w:name="_Toc71191975"/>
      <w:bookmarkStart w:id="346" w:name="_Toc109124256"/>
      <w:bookmarkStart w:id="347" w:name="_Toc25714"/>
      <w:bookmarkStart w:id="348" w:name="_Toc17138"/>
      <w:bookmarkStart w:id="349" w:name="_Toc60224342"/>
      <w:bookmarkStart w:id="350" w:name="_Toc30245"/>
      <w:bookmarkStart w:id="351" w:name="_Toc15805"/>
      <w:bookmarkStart w:id="352" w:name="_Toc32592"/>
      <w:bookmarkStart w:id="353" w:name="_Toc27652"/>
      <w:r>
        <w:rPr>
          <w:rFonts w:ascii="仿宋" w:hAnsi="仿宋" w:cs="仿宋"/>
        </w:rPr>
        <w:t xml:space="preserve">3.6 </w:t>
      </w:r>
      <w:bookmarkEnd w:id="334"/>
      <w:bookmarkEnd w:id="335"/>
      <w:bookmarkEnd w:id="336"/>
      <w:bookmarkEnd w:id="337"/>
      <w:bookmarkEnd w:id="338"/>
      <w:bookmarkEnd w:id="339"/>
      <w:bookmarkEnd w:id="340"/>
      <w:bookmarkEnd w:id="341"/>
      <w:bookmarkEnd w:id="342"/>
      <w:bookmarkEnd w:id="343"/>
      <w:r>
        <w:rPr>
          <w:rFonts w:ascii="仿宋" w:hAnsi="仿宋" w:cs="仿宋"/>
        </w:rPr>
        <w:t>备选投标方案</w:t>
      </w:r>
      <w:bookmarkEnd w:id="345"/>
      <w:bookmarkEnd w:id="346"/>
      <w:bookmarkEnd w:id="347"/>
      <w:bookmarkEnd w:id="348"/>
      <w:bookmarkEnd w:id="349"/>
      <w:bookmarkEnd w:id="350"/>
      <w:bookmarkEnd w:id="351"/>
      <w:bookmarkEnd w:id="352"/>
      <w:bookmarkEnd w:id="353"/>
    </w:p>
    <w:p w14:paraId="7F60056F">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招标人可以要求投标人在提交符合招标文件规定要求的投标文件外，提交备选投标方案，但应当在招标文件中做出说明，并提出相应的评审和比较办法。除投标人须知前附表另有规定外，投标人不得递交备选投标方案。</w:t>
      </w:r>
    </w:p>
    <w:p w14:paraId="0407F516">
      <w:pPr>
        <w:pStyle w:val="5"/>
        <w:spacing w:line="360" w:lineRule="auto"/>
        <w:rPr>
          <w:rFonts w:hint="default" w:ascii="仿宋" w:hAnsi="仿宋" w:cs="仿宋"/>
        </w:rPr>
      </w:pPr>
      <w:bookmarkStart w:id="354" w:name="_Toc334766944"/>
      <w:bookmarkStart w:id="355" w:name="_Toc332188190"/>
      <w:bookmarkStart w:id="356" w:name="_Toc326223557"/>
      <w:bookmarkStart w:id="357" w:name="_Toc109124257"/>
      <w:bookmarkStart w:id="358" w:name="_Toc8278"/>
      <w:bookmarkStart w:id="359" w:name="_Toc60224343"/>
      <w:bookmarkStart w:id="360" w:name="_Toc2976"/>
      <w:bookmarkStart w:id="361" w:name="_Toc71191976"/>
      <w:bookmarkStart w:id="362" w:name="_Toc24148"/>
      <w:bookmarkStart w:id="363" w:name="_Toc2225"/>
      <w:bookmarkStart w:id="364" w:name="_Toc4921"/>
      <w:bookmarkStart w:id="365" w:name="_Toc6935"/>
      <w:r>
        <w:rPr>
          <w:rFonts w:ascii="仿宋" w:hAnsi="仿宋" w:cs="仿宋"/>
        </w:rPr>
        <w:t xml:space="preserve">3.7 </w:t>
      </w:r>
      <w:bookmarkEnd w:id="354"/>
      <w:bookmarkEnd w:id="355"/>
      <w:bookmarkEnd w:id="356"/>
      <w:r>
        <w:rPr>
          <w:rFonts w:ascii="仿宋" w:hAnsi="仿宋" w:cs="仿宋"/>
        </w:rPr>
        <w:t>纸质投标文件的式样、密封和标记</w:t>
      </w:r>
      <w:bookmarkEnd w:id="357"/>
      <w:bookmarkEnd w:id="358"/>
      <w:bookmarkEnd w:id="359"/>
      <w:bookmarkEnd w:id="360"/>
      <w:bookmarkEnd w:id="361"/>
      <w:bookmarkEnd w:id="362"/>
      <w:bookmarkEnd w:id="363"/>
      <w:bookmarkEnd w:id="364"/>
      <w:bookmarkEnd w:id="365"/>
    </w:p>
    <w:p w14:paraId="49320B19">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3.7.1 投标人应当编制一份投标文件“正本”和投标人须知前附表所述份数的“副本”和“电子版”，副本为正本复印件。电子文件与纸质文件不一致时，以</w:t>
      </w:r>
      <w:r>
        <w:rPr>
          <w:rFonts w:hint="eastAsia" w:ascii="仿宋" w:hAnsi="仿宋" w:eastAsia="仿宋" w:cs="仿宋"/>
          <w:b/>
          <w:bCs/>
          <w:kern w:val="0"/>
          <w:sz w:val="24"/>
          <w:szCs w:val="24"/>
        </w:rPr>
        <w:t>纸质文件</w:t>
      </w:r>
      <w:r>
        <w:rPr>
          <w:rFonts w:hint="eastAsia" w:ascii="仿宋" w:hAnsi="仿宋" w:eastAsia="仿宋" w:cs="仿宋"/>
          <w:kern w:val="0"/>
          <w:sz w:val="24"/>
          <w:szCs w:val="24"/>
        </w:rPr>
        <w:t>为准，纸质文件正本与副本不一致时，以正本为准。</w:t>
      </w:r>
    </w:p>
    <w:p w14:paraId="3AC710CD">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3.7.2 投标文件的正本、副本应当分别装订，并于封面上明确标明“正本”“副本”字样。</w:t>
      </w:r>
    </w:p>
    <w:p w14:paraId="305F1175">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3.7.3 纸质投标文件应当按照招标文件规定密封包装，外层包封应当写明招标人名称、地址、项目名称、招标编号以及投标人的名称、地址、邮政编码等信息，明确标明“正本”“副本”字样，注明“开标时间以前不得开封”。招标人对于纸质投标文件密封、标记另有要求的，见投标人须知前附表。</w:t>
      </w:r>
    </w:p>
    <w:p w14:paraId="25E40A14">
      <w:pPr>
        <w:pStyle w:val="5"/>
        <w:spacing w:line="360" w:lineRule="auto"/>
        <w:rPr>
          <w:rFonts w:hint="default" w:ascii="仿宋" w:hAnsi="仿宋" w:cs="仿宋"/>
        </w:rPr>
      </w:pPr>
      <w:bookmarkStart w:id="366" w:name="_Toc60224344"/>
      <w:bookmarkStart w:id="367" w:name="_Toc9532"/>
      <w:bookmarkStart w:id="368" w:name="_Toc71191977"/>
      <w:bookmarkStart w:id="369" w:name="_Toc6531"/>
      <w:bookmarkStart w:id="370" w:name="_Toc2047"/>
      <w:bookmarkStart w:id="371" w:name="_Toc109124258"/>
      <w:bookmarkStart w:id="372" w:name="_Toc10428"/>
      <w:bookmarkStart w:id="373" w:name="_Toc21112"/>
      <w:bookmarkStart w:id="374" w:name="_Toc19897"/>
      <w:bookmarkStart w:id="375" w:name="_Toc152045553"/>
      <w:bookmarkStart w:id="376" w:name="_Toc152042329"/>
      <w:bookmarkStart w:id="377" w:name="_Toc179632571"/>
      <w:bookmarkStart w:id="378" w:name="_Toc246996197"/>
      <w:bookmarkStart w:id="379" w:name="_Toc246996940"/>
      <w:bookmarkStart w:id="380" w:name="_Toc144974521"/>
      <w:bookmarkStart w:id="381" w:name="_Toc247085711"/>
      <w:r>
        <w:rPr>
          <w:rFonts w:ascii="仿宋" w:hAnsi="仿宋" w:cs="仿宋"/>
        </w:rPr>
        <w:t>3.8 电子招投标的投标文件上传形式</w:t>
      </w:r>
      <w:bookmarkEnd w:id="366"/>
      <w:bookmarkEnd w:id="367"/>
      <w:bookmarkEnd w:id="368"/>
      <w:bookmarkEnd w:id="369"/>
      <w:bookmarkEnd w:id="370"/>
      <w:bookmarkEnd w:id="371"/>
      <w:bookmarkEnd w:id="372"/>
      <w:bookmarkEnd w:id="373"/>
      <w:bookmarkEnd w:id="374"/>
    </w:p>
    <w:p w14:paraId="6CC4007A">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投标文件应当按照投标人须知前附表要求的形式上传。</w:t>
      </w:r>
    </w:p>
    <w:bookmarkEnd w:id="375"/>
    <w:bookmarkEnd w:id="376"/>
    <w:bookmarkEnd w:id="377"/>
    <w:bookmarkEnd w:id="378"/>
    <w:bookmarkEnd w:id="379"/>
    <w:bookmarkEnd w:id="380"/>
    <w:bookmarkEnd w:id="381"/>
    <w:p w14:paraId="5563C94A">
      <w:pPr>
        <w:pStyle w:val="4"/>
        <w:rPr>
          <w:rFonts w:ascii="仿宋" w:hAnsi="仿宋" w:cs="仿宋"/>
        </w:rPr>
      </w:pPr>
      <w:bookmarkStart w:id="382" w:name="_Toc5978"/>
      <w:bookmarkStart w:id="383" w:name="_Toc246996199"/>
      <w:bookmarkStart w:id="384" w:name="_Toc152042331"/>
      <w:bookmarkStart w:id="385" w:name="_Toc109124259"/>
      <w:bookmarkStart w:id="386" w:name="_Toc247085713"/>
      <w:bookmarkStart w:id="387" w:name="_Toc246996942"/>
      <w:bookmarkStart w:id="388" w:name="_Toc144974523"/>
      <w:bookmarkStart w:id="389" w:name="_Toc152045555"/>
      <w:bookmarkStart w:id="390" w:name="_Toc24953"/>
      <w:bookmarkStart w:id="391" w:name="_Toc32676"/>
      <w:bookmarkStart w:id="392" w:name="_Toc28146"/>
      <w:bookmarkStart w:id="393" w:name="_Toc179632573"/>
      <w:r>
        <w:rPr>
          <w:rFonts w:hint="eastAsia" w:ascii="仿宋" w:hAnsi="仿宋" w:cs="仿宋"/>
        </w:rPr>
        <w:t>4.投标</w:t>
      </w:r>
      <w:bookmarkEnd w:id="382"/>
      <w:bookmarkEnd w:id="383"/>
      <w:bookmarkEnd w:id="384"/>
      <w:bookmarkEnd w:id="385"/>
      <w:bookmarkEnd w:id="386"/>
      <w:bookmarkEnd w:id="387"/>
      <w:bookmarkEnd w:id="388"/>
      <w:bookmarkEnd w:id="389"/>
      <w:bookmarkEnd w:id="390"/>
      <w:bookmarkEnd w:id="391"/>
      <w:bookmarkEnd w:id="392"/>
      <w:bookmarkEnd w:id="393"/>
    </w:p>
    <w:p w14:paraId="6D7C4CF9">
      <w:pPr>
        <w:pStyle w:val="5"/>
        <w:spacing w:line="360" w:lineRule="auto"/>
        <w:rPr>
          <w:rFonts w:hint="default" w:ascii="仿宋" w:hAnsi="仿宋" w:cs="仿宋"/>
        </w:rPr>
      </w:pPr>
      <w:bookmarkStart w:id="394" w:name="_Toc334766946"/>
      <w:bookmarkStart w:id="395" w:name="_Toc246996200"/>
      <w:bookmarkStart w:id="396" w:name="_Toc246996943"/>
      <w:bookmarkStart w:id="397" w:name="_Toc152045556"/>
      <w:bookmarkStart w:id="398" w:name="_Toc179632574"/>
      <w:bookmarkStart w:id="399" w:name="_Toc332188192"/>
      <w:bookmarkStart w:id="400" w:name="_Toc144974524"/>
      <w:bookmarkStart w:id="401" w:name="_Toc247085714"/>
      <w:bookmarkStart w:id="402" w:name="_Toc152042332"/>
      <w:bookmarkStart w:id="403" w:name="_Toc326223559"/>
      <w:bookmarkStart w:id="404" w:name="_Toc20648"/>
      <w:bookmarkStart w:id="405" w:name="_Toc60224346"/>
      <w:bookmarkStart w:id="406" w:name="_Toc71191979"/>
      <w:bookmarkStart w:id="407" w:name="_Toc109124260"/>
      <w:bookmarkStart w:id="408" w:name="_Toc10039"/>
      <w:bookmarkStart w:id="409" w:name="_Toc4027"/>
      <w:bookmarkStart w:id="410" w:name="_Toc5485"/>
      <w:bookmarkStart w:id="411" w:name="_Toc20297"/>
      <w:bookmarkStart w:id="412" w:name="_Toc20314"/>
      <w:r>
        <w:rPr>
          <w:rFonts w:ascii="仿宋" w:hAnsi="仿宋" w:cs="仿宋"/>
        </w:rPr>
        <w:t xml:space="preserve">4.1 </w:t>
      </w:r>
      <w:bookmarkEnd w:id="394"/>
      <w:bookmarkEnd w:id="395"/>
      <w:bookmarkEnd w:id="396"/>
      <w:bookmarkEnd w:id="397"/>
      <w:bookmarkEnd w:id="398"/>
      <w:bookmarkEnd w:id="399"/>
      <w:bookmarkEnd w:id="400"/>
      <w:bookmarkEnd w:id="401"/>
      <w:bookmarkEnd w:id="402"/>
      <w:bookmarkEnd w:id="403"/>
      <w:r>
        <w:rPr>
          <w:rFonts w:ascii="仿宋" w:hAnsi="仿宋" w:cs="仿宋"/>
        </w:rPr>
        <w:t>投标文件的递交</w:t>
      </w:r>
      <w:bookmarkEnd w:id="404"/>
      <w:bookmarkEnd w:id="405"/>
      <w:bookmarkEnd w:id="406"/>
      <w:bookmarkEnd w:id="407"/>
      <w:bookmarkEnd w:id="408"/>
      <w:bookmarkEnd w:id="409"/>
      <w:bookmarkEnd w:id="410"/>
      <w:bookmarkEnd w:id="411"/>
      <w:bookmarkEnd w:id="412"/>
    </w:p>
    <w:p w14:paraId="27B60D0F">
      <w:pPr>
        <w:spacing w:line="360" w:lineRule="auto"/>
        <w:ind w:firstLine="480" w:firstLineChars="200"/>
        <w:textAlignment w:val="baseline"/>
        <w:rPr>
          <w:rFonts w:ascii="仿宋" w:hAnsi="仿宋" w:eastAsia="仿宋" w:cs="仿宋"/>
          <w:b/>
          <w:bCs/>
        </w:rPr>
      </w:pPr>
      <w:bookmarkStart w:id="413" w:name="_Toc334766947"/>
      <w:bookmarkStart w:id="414" w:name="_Toc246996944"/>
      <w:bookmarkStart w:id="415" w:name="_Toc152045557"/>
      <w:bookmarkStart w:id="416" w:name="_Toc152042333"/>
      <w:bookmarkStart w:id="417" w:name="_Toc326223560"/>
      <w:bookmarkStart w:id="418" w:name="_Toc179632575"/>
      <w:bookmarkStart w:id="419" w:name="_Toc144974525"/>
      <w:bookmarkStart w:id="420" w:name="_Toc246996201"/>
      <w:bookmarkStart w:id="421" w:name="_Toc332188193"/>
      <w:bookmarkStart w:id="422" w:name="_Toc247085715"/>
      <w:r>
        <w:rPr>
          <w:rFonts w:hint="eastAsia" w:ascii="仿宋" w:hAnsi="仿宋" w:eastAsia="仿宋" w:cs="仿宋"/>
          <w:kern w:val="0"/>
          <w:sz w:val="24"/>
          <w:szCs w:val="24"/>
        </w:rPr>
        <w:t>4.1.1递交</w:t>
      </w:r>
      <w:r>
        <w:rPr>
          <w:rFonts w:hint="eastAsia" w:ascii="仿宋" w:hAnsi="仿宋" w:eastAsia="仿宋" w:cs="仿宋"/>
          <w:sz w:val="24"/>
          <w:szCs w:val="24"/>
        </w:rPr>
        <w:t>投标文件的截止时间、递交地点、递交方式及要求见第一章招标公告。</w:t>
      </w:r>
    </w:p>
    <w:p w14:paraId="0B055957">
      <w:pPr>
        <w:widowControl/>
        <w:topLinePunct/>
        <w:spacing w:line="360" w:lineRule="auto"/>
        <w:ind w:firstLine="464" w:firstLineChars="200"/>
        <w:rPr>
          <w:rFonts w:ascii="仿宋" w:hAnsi="仿宋" w:eastAsia="仿宋" w:cs="仿宋"/>
          <w:kern w:val="0"/>
          <w:sz w:val="24"/>
          <w:szCs w:val="24"/>
        </w:rPr>
      </w:pPr>
      <w:r>
        <w:rPr>
          <w:rFonts w:hint="eastAsia" w:ascii="仿宋" w:hAnsi="仿宋" w:eastAsia="仿宋" w:cs="仿宋"/>
          <w:spacing w:val="-4"/>
          <w:kern w:val="0"/>
          <w:sz w:val="24"/>
          <w:szCs w:val="24"/>
        </w:rPr>
        <w:t>4.1.2 投标人所递交的投标文件不予退还。</w:t>
      </w:r>
    </w:p>
    <w:p w14:paraId="01740D70">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4.1.3 出现下列情形之一时，招标人/招标代理机构不予接收投标文件：</w:t>
      </w:r>
    </w:p>
    <w:p w14:paraId="3EB07F3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（1）逾期递交电子投标文件的投标人；</w:t>
      </w:r>
    </w:p>
    <w:p w14:paraId="1E2F17DD">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（2）逾期递交或者未在指定地点递交纸质投标文件的投标人；</w:t>
      </w:r>
    </w:p>
    <w:p w14:paraId="54CE8949">
      <w:pPr>
        <w:widowControl/>
        <w:topLinePunct/>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（3）电子投标文件未按招标文件要求加密的；</w:t>
      </w:r>
    </w:p>
    <w:p w14:paraId="71913B99">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（4）未通过资格预审的申请人递交的；</w:t>
      </w:r>
      <w:r>
        <w:rPr>
          <w:rFonts w:hint="eastAsia" w:ascii="仿宋" w:hAnsi="仿宋" w:eastAsia="仿宋" w:cs="仿宋"/>
          <w:i/>
          <w:iCs/>
          <w:kern w:val="0"/>
          <w:sz w:val="24"/>
          <w:szCs w:val="24"/>
        </w:rPr>
        <w:t>（资格预审项目适用）</w:t>
      </w:r>
    </w:p>
    <w:p w14:paraId="11F61025">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（5）未按招标公告或者投标邀请书要求获得本项目招标文件的。</w:t>
      </w:r>
    </w:p>
    <w:p w14:paraId="11C4C380">
      <w:pPr>
        <w:pStyle w:val="5"/>
        <w:spacing w:line="360" w:lineRule="auto"/>
        <w:rPr>
          <w:rFonts w:hint="default" w:ascii="仿宋" w:hAnsi="仿宋" w:cs="仿宋"/>
        </w:rPr>
      </w:pPr>
      <w:bookmarkStart w:id="423" w:name="_Toc1104"/>
      <w:bookmarkStart w:id="424" w:name="_Toc13539"/>
      <w:bookmarkStart w:id="425" w:name="_Toc60224347"/>
      <w:bookmarkStart w:id="426" w:name="_Toc71191980"/>
      <w:bookmarkStart w:id="427" w:name="_Toc26027"/>
      <w:bookmarkStart w:id="428" w:name="_Toc109124261"/>
      <w:bookmarkStart w:id="429" w:name="_Toc4530"/>
      <w:bookmarkStart w:id="430" w:name="_Toc25372"/>
      <w:bookmarkStart w:id="431" w:name="_Toc12725"/>
      <w:r>
        <w:rPr>
          <w:rFonts w:ascii="仿宋" w:hAnsi="仿宋" w:cs="仿宋"/>
        </w:rPr>
        <w:t xml:space="preserve">4.2 </w:t>
      </w:r>
      <w:bookmarkEnd w:id="413"/>
      <w:bookmarkEnd w:id="414"/>
      <w:bookmarkEnd w:id="415"/>
      <w:bookmarkEnd w:id="416"/>
      <w:bookmarkEnd w:id="417"/>
      <w:bookmarkEnd w:id="418"/>
      <w:bookmarkEnd w:id="419"/>
      <w:bookmarkEnd w:id="420"/>
      <w:bookmarkEnd w:id="421"/>
      <w:bookmarkEnd w:id="422"/>
      <w:r>
        <w:rPr>
          <w:rFonts w:ascii="仿宋" w:hAnsi="仿宋" w:cs="仿宋"/>
        </w:rPr>
        <w:t>投标文件的修改、撤回和撤销</w:t>
      </w:r>
      <w:bookmarkEnd w:id="423"/>
      <w:bookmarkEnd w:id="424"/>
      <w:bookmarkEnd w:id="425"/>
      <w:bookmarkEnd w:id="426"/>
      <w:bookmarkEnd w:id="427"/>
      <w:bookmarkEnd w:id="428"/>
      <w:bookmarkEnd w:id="429"/>
      <w:bookmarkEnd w:id="430"/>
      <w:bookmarkEnd w:id="431"/>
    </w:p>
    <w:p w14:paraId="23B8D065">
      <w:pPr>
        <w:widowControl/>
        <w:topLinePunct/>
        <w:spacing w:line="360" w:lineRule="auto"/>
        <w:ind w:firstLine="480" w:firstLineChars="200"/>
        <w:rPr>
          <w:rFonts w:ascii="仿宋" w:hAnsi="仿宋" w:eastAsia="仿宋" w:cs="仿宋"/>
          <w:kern w:val="0"/>
          <w:sz w:val="24"/>
          <w:szCs w:val="24"/>
        </w:rPr>
      </w:pPr>
      <w:bookmarkStart w:id="432" w:name="_Toc179632576"/>
      <w:bookmarkStart w:id="433" w:name="_Toc152042334"/>
      <w:bookmarkStart w:id="434" w:name="_Toc332188194"/>
      <w:bookmarkStart w:id="435" w:name="_Toc247085716"/>
      <w:bookmarkStart w:id="436" w:name="_Toc144974526"/>
      <w:bookmarkStart w:id="437" w:name="_Toc334766948"/>
      <w:bookmarkStart w:id="438" w:name="_Toc246996945"/>
      <w:bookmarkStart w:id="439" w:name="_Toc152045558"/>
      <w:bookmarkStart w:id="440" w:name="_Toc326223561"/>
      <w:bookmarkStart w:id="441" w:name="_Toc246996202"/>
      <w:r>
        <w:rPr>
          <w:rFonts w:hint="eastAsia" w:ascii="仿宋" w:hAnsi="仿宋" w:eastAsia="仿宋" w:cs="仿宋"/>
          <w:kern w:val="0"/>
          <w:sz w:val="24"/>
          <w:szCs w:val="24"/>
        </w:rPr>
        <w:t>4.2.1投标人在招标文件要求的投标截止时间前，可以补充、修改或撤回已提交的投标文件。补充、修改的内容为投标文件的组成部分，应当在投标截止时间前按照招标文件的规定进行加密、递交。</w:t>
      </w:r>
    </w:p>
    <w:p w14:paraId="1F870360">
      <w:pPr>
        <w:widowControl/>
        <w:topLinePunct/>
        <w:spacing w:line="360" w:lineRule="auto"/>
        <w:ind w:firstLine="480" w:firstLineChars="200"/>
        <w:rPr>
          <w:rFonts w:ascii="仿宋" w:hAnsi="仿宋" w:eastAsia="仿宋" w:cs="仿宋"/>
        </w:rPr>
      </w:pPr>
      <w:r>
        <w:rPr>
          <w:rFonts w:hint="eastAsia" w:ascii="仿宋" w:hAnsi="仿宋" w:eastAsia="仿宋" w:cs="仿宋"/>
          <w:kern w:val="0"/>
          <w:sz w:val="24"/>
          <w:szCs w:val="24"/>
        </w:rPr>
        <w:t>4.2.2 投标截止时间后，投标人在投标有效期内撤销其投标文件，投标保证金不予退还。</w:t>
      </w:r>
    </w:p>
    <w:bookmarkEnd w:id="432"/>
    <w:bookmarkEnd w:id="433"/>
    <w:bookmarkEnd w:id="434"/>
    <w:bookmarkEnd w:id="435"/>
    <w:bookmarkEnd w:id="436"/>
    <w:bookmarkEnd w:id="437"/>
    <w:bookmarkEnd w:id="438"/>
    <w:bookmarkEnd w:id="439"/>
    <w:bookmarkEnd w:id="440"/>
    <w:bookmarkEnd w:id="441"/>
    <w:p w14:paraId="1019887E">
      <w:pPr>
        <w:pStyle w:val="4"/>
        <w:rPr>
          <w:rFonts w:ascii="仿宋" w:hAnsi="仿宋" w:cs="仿宋"/>
        </w:rPr>
      </w:pPr>
      <w:bookmarkStart w:id="442" w:name="_Toc18422"/>
      <w:bookmarkStart w:id="443" w:name="_Toc29001"/>
      <w:bookmarkStart w:id="444" w:name="_Toc10424"/>
      <w:bookmarkStart w:id="445" w:name="_Toc20953"/>
      <w:bookmarkStart w:id="446" w:name="_Toc246996203"/>
      <w:bookmarkStart w:id="447" w:name="_Toc246996946"/>
      <w:bookmarkStart w:id="448" w:name="_Toc152045559"/>
      <w:bookmarkStart w:id="449" w:name="_Toc152042335"/>
      <w:bookmarkStart w:id="450" w:name="_Toc247085717"/>
      <w:bookmarkStart w:id="451" w:name="_Toc109124262"/>
      <w:bookmarkStart w:id="452" w:name="_Toc144974527"/>
      <w:bookmarkStart w:id="453" w:name="_Toc179632577"/>
      <w:r>
        <w:rPr>
          <w:rFonts w:hint="eastAsia" w:ascii="仿宋" w:hAnsi="仿宋" w:cs="仿宋"/>
        </w:rPr>
        <w:t>5.开标</w:t>
      </w:r>
      <w:bookmarkEnd w:id="442"/>
      <w:bookmarkEnd w:id="443"/>
      <w:bookmarkEnd w:id="444"/>
      <w:bookmarkEnd w:id="445"/>
      <w:bookmarkEnd w:id="446"/>
      <w:bookmarkEnd w:id="447"/>
      <w:bookmarkEnd w:id="448"/>
      <w:bookmarkEnd w:id="449"/>
      <w:bookmarkEnd w:id="450"/>
      <w:bookmarkEnd w:id="451"/>
      <w:bookmarkEnd w:id="452"/>
      <w:bookmarkEnd w:id="453"/>
    </w:p>
    <w:p w14:paraId="568F04C6">
      <w:pPr>
        <w:pStyle w:val="5"/>
        <w:spacing w:line="360" w:lineRule="auto"/>
        <w:rPr>
          <w:rFonts w:hint="default" w:ascii="仿宋" w:hAnsi="仿宋" w:cs="仿宋"/>
        </w:rPr>
      </w:pPr>
      <w:bookmarkStart w:id="454" w:name="_Toc109124263"/>
      <w:bookmarkStart w:id="455" w:name="_Toc12881"/>
      <w:bookmarkStart w:id="456" w:name="_Toc60224349"/>
      <w:bookmarkStart w:id="457" w:name="_Toc179632578"/>
      <w:bookmarkStart w:id="458" w:name="_Toc2860"/>
      <w:bookmarkStart w:id="459" w:name="_Toc334766950"/>
      <w:bookmarkStart w:id="460" w:name="_Toc144974528"/>
      <w:bookmarkStart w:id="461" w:name="_Toc152042336"/>
      <w:bookmarkStart w:id="462" w:name="_Toc26859"/>
      <w:bookmarkStart w:id="463" w:name="_Toc30675"/>
      <w:bookmarkStart w:id="464" w:name="_Toc326223563"/>
      <w:bookmarkStart w:id="465" w:name="_Toc247085718"/>
      <w:bookmarkStart w:id="466" w:name="_Toc71191982"/>
      <w:bookmarkStart w:id="467" w:name="_Toc13379"/>
      <w:bookmarkStart w:id="468" w:name="_Toc152045560"/>
      <w:bookmarkStart w:id="469" w:name="_Toc332188196"/>
      <w:bookmarkStart w:id="470" w:name="_Toc246996947"/>
      <w:bookmarkStart w:id="471" w:name="_Toc246996204"/>
      <w:bookmarkStart w:id="472" w:name="_Toc7170"/>
      <w:r>
        <w:rPr>
          <w:rFonts w:ascii="仿宋" w:hAnsi="仿宋" w:cs="仿宋"/>
        </w:rPr>
        <w:t>5.1 开标时间</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7710A232">
      <w:pPr>
        <w:pStyle w:val="31"/>
        <w:spacing w:line="360" w:lineRule="auto"/>
        <w:ind w:firstLine="480" w:firstLineChars="200"/>
        <w:rPr>
          <w:rFonts w:ascii="仿宋" w:hAnsi="仿宋" w:eastAsia="仿宋" w:cs="仿宋"/>
        </w:rPr>
      </w:pPr>
      <w:r>
        <w:rPr>
          <w:rFonts w:hint="eastAsia" w:ascii="仿宋" w:hAnsi="仿宋" w:eastAsia="仿宋" w:cs="仿宋"/>
        </w:rPr>
        <w:t>本项目在招标公告要求的投标截止时间的同一时间进行开标。</w:t>
      </w:r>
    </w:p>
    <w:p w14:paraId="5370D1EF">
      <w:pPr>
        <w:pStyle w:val="5"/>
        <w:spacing w:line="360" w:lineRule="auto"/>
        <w:rPr>
          <w:rFonts w:hint="default" w:ascii="仿宋" w:hAnsi="仿宋" w:cs="仿宋"/>
        </w:rPr>
      </w:pPr>
      <w:bookmarkStart w:id="473" w:name="_Toc334766951"/>
      <w:bookmarkStart w:id="474" w:name="_Toc29278"/>
      <w:bookmarkStart w:id="475" w:name="_Toc9663"/>
      <w:bookmarkStart w:id="476" w:name="_Toc144974529"/>
      <w:bookmarkStart w:id="477" w:name="_Toc179632579"/>
      <w:bookmarkStart w:id="478" w:name="_Toc332188197"/>
      <w:bookmarkStart w:id="479" w:name="_Toc527"/>
      <w:bookmarkStart w:id="480" w:name="_Toc152042337"/>
      <w:bookmarkStart w:id="481" w:name="_Toc326223564"/>
      <w:bookmarkStart w:id="482" w:name="_Toc60224350"/>
      <w:bookmarkStart w:id="483" w:name="_Toc109124264"/>
      <w:bookmarkStart w:id="484" w:name="_Toc247085719"/>
      <w:bookmarkStart w:id="485" w:name="_Toc71191983"/>
      <w:bookmarkStart w:id="486" w:name="_Toc152045561"/>
      <w:bookmarkStart w:id="487" w:name="_Toc6861"/>
      <w:bookmarkStart w:id="488" w:name="_Toc246996948"/>
      <w:bookmarkStart w:id="489" w:name="_Toc246996205"/>
      <w:bookmarkStart w:id="490" w:name="_Toc26952"/>
      <w:bookmarkStart w:id="491" w:name="_Toc550"/>
      <w:r>
        <w:rPr>
          <w:rFonts w:ascii="仿宋" w:hAnsi="仿宋" w:cs="仿宋"/>
        </w:rPr>
        <w:t>5.2 开标程序</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7CB303C7">
      <w:pPr>
        <w:widowControl/>
        <w:topLinePunct/>
        <w:spacing w:line="360" w:lineRule="auto"/>
        <w:ind w:firstLine="480" w:firstLineChars="200"/>
        <w:rPr>
          <w:rFonts w:ascii="仿宋" w:hAnsi="仿宋" w:eastAsia="仿宋" w:cs="仿宋"/>
          <w:kern w:val="0"/>
          <w:sz w:val="24"/>
          <w:szCs w:val="24"/>
        </w:rPr>
      </w:pPr>
      <w:bookmarkStart w:id="492" w:name="_Toc60224351"/>
      <w:bookmarkStart w:id="493" w:name="_Toc332188198"/>
      <w:bookmarkStart w:id="494" w:name="_Toc334766952"/>
      <w:bookmarkStart w:id="495" w:name="_Toc109124265"/>
      <w:bookmarkStart w:id="496" w:name="_Toc17472"/>
      <w:bookmarkStart w:id="497" w:name="_Toc326223565"/>
      <w:bookmarkStart w:id="498" w:name="_Toc71191984"/>
      <w:r>
        <w:rPr>
          <w:rFonts w:hint="eastAsia" w:ascii="仿宋" w:hAnsi="仿宋" w:eastAsia="仿宋" w:cs="仿宋"/>
          <w:kern w:val="0"/>
          <w:sz w:val="24"/>
          <w:szCs w:val="24"/>
        </w:rPr>
        <w:t>5.2.1 开标会议由招标人或其委托的招标代理机构组织并主持，邀请所有的投标人或其代表出席。招标人应当当众宣布参加本次招标的投标人个数，由投标人代表或招标人委托的公证机构或招标人委派的采购监督人员对投标文件密封情况进行检查，检查结果由主持人宣布。</w:t>
      </w:r>
    </w:p>
    <w:p w14:paraId="7F549856">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5.2.2 招标人在递交投标文件截止时间前收到的所有投标文件在开标时都应当当众予以拆封、宣读。但按照招标文件规定递交合格的书面撤回通知的投标文件不予开封。</w:t>
      </w:r>
    </w:p>
    <w:p w14:paraId="75ABC767">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5.2.3 开标时，招标人应当宣读所有未撤回的投标文件中的投标一览表，内容一般包括：投标人名称、投标总报价、税率以及招标文件中规定的其他内容，并将唱标内容如实记录在开标记录表，由唱标人、记录人、投标人代表签字确认，存档备查。</w:t>
      </w:r>
    </w:p>
    <w:p w14:paraId="5EFC6EE9">
      <w:pPr>
        <w:pStyle w:val="5"/>
        <w:spacing w:line="360" w:lineRule="auto"/>
        <w:rPr>
          <w:rFonts w:hint="default" w:ascii="仿宋" w:hAnsi="仿宋" w:cs="仿宋"/>
        </w:rPr>
      </w:pPr>
      <w:bookmarkStart w:id="499" w:name="_Toc15631"/>
      <w:bookmarkStart w:id="500" w:name="_Toc17073"/>
      <w:bookmarkStart w:id="501" w:name="_Toc21222"/>
      <w:bookmarkStart w:id="502" w:name="_Toc15069"/>
      <w:bookmarkStart w:id="503" w:name="_Toc22040"/>
      <w:r>
        <w:rPr>
          <w:rFonts w:ascii="仿宋" w:hAnsi="仿宋" w:cs="仿宋"/>
        </w:rPr>
        <w:t>5.3 开标异议</w:t>
      </w:r>
      <w:bookmarkEnd w:id="492"/>
      <w:bookmarkEnd w:id="493"/>
      <w:bookmarkEnd w:id="494"/>
      <w:bookmarkEnd w:id="495"/>
      <w:bookmarkEnd w:id="496"/>
      <w:bookmarkEnd w:id="497"/>
      <w:bookmarkEnd w:id="498"/>
      <w:bookmarkEnd w:id="499"/>
      <w:bookmarkEnd w:id="500"/>
      <w:bookmarkEnd w:id="501"/>
      <w:bookmarkEnd w:id="502"/>
      <w:bookmarkEnd w:id="503"/>
    </w:p>
    <w:p w14:paraId="1458C54A">
      <w:pPr>
        <w:widowControl/>
        <w:topLinePunct/>
        <w:spacing w:line="360" w:lineRule="auto"/>
        <w:ind w:firstLine="480" w:firstLineChars="200"/>
        <w:rPr>
          <w:rFonts w:ascii="仿宋" w:hAnsi="仿宋" w:eastAsia="仿宋" w:cs="仿宋"/>
          <w:kern w:val="0"/>
          <w:sz w:val="24"/>
          <w:szCs w:val="24"/>
        </w:rPr>
      </w:pPr>
      <w:bookmarkStart w:id="504" w:name="_Toc60224352"/>
      <w:bookmarkStart w:id="505" w:name="_Toc109124266"/>
      <w:bookmarkStart w:id="506" w:name="_Toc71191985"/>
      <w:bookmarkStart w:id="507" w:name="_Toc6867"/>
      <w:bookmarkStart w:id="508" w:name="_Toc179632580"/>
      <w:bookmarkStart w:id="509" w:name="_Toc247085720"/>
      <w:bookmarkStart w:id="510" w:name="_Toc152042338"/>
      <w:bookmarkStart w:id="511" w:name="_Toc246996949"/>
      <w:bookmarkStart w:id="512" w:name="_Toc152045562"/>
      <w:bookmarkStart w:id="513" w:name="_Toc144974530"/>
      <w:bookmarkStart w:id="514" w:name="_Toc246996206"/>
      <w:r>
        <w:rPr>
          <w:rFonts w:hint="eastAsia" w:ascii="仿宋" w:hAnsi="仿宋" w:eastAsia="仿宋" w:cs="仿宋"/>
          <w:kern w:val="0"/>
          <w:sz w:val="24"/>
          <w:szCs w:val="24"/>
        </w:rPr>
        <w:t>5.3.1 投标人对开标有异议的，应当在开标现场提出，招标人应当当场作出答复，并制作记录。</w:t>
      </w:r>
    </w:p>
    <w:p w14:paraId="7528F1FE">
      <w:pPr>
        <w:widowControl/>
        <w:topLinePunct/>
        <w:spacing w:line="360" w:lineRule="auto"/>
        <w:ind w:firstLine="480" w:firstLineChars="200"/>
        <w:rPr>
          <w:rFonts w:ascii="仿宋" w:hAnsi="仿宋" w:eastAsia="仿宋" w:cs="仿宋"/>
          <w:spacing w:val="-6"/>
          <w:kern w:val="0"/>
          <w:sz w:val="24"/>
          <w:szCs w:val="24"/>
        </w:rPr>
      </w:pPr>
      <w:r>
        <w:rPr>
          <w:rFonts w:hint="eastAsia" w:ascii="仿宋" w:hAnsi="仿宋" w:eastAsia="仿宋" w:cs="仿宋"/>
          <w:kern w:val="0"/>
          <w:sz w:val="24"/>
          <w:szCs w:val="24"/>
        </w:rPr>
        <w:t xml:space="preserve">5.3.2 </w:t>
      </w:r>
      <w:r>
        <w:rPr>
          <w:rFonts w:hint="eastAsia" w:ascii="仿宋" w:hAnsi="仿宋" w:eastAsia="仿宋" w:cs="仿宋"/>
          <w:spacing w:val="-6"/>
          <w:kern w:val="0"/>
          <w:sz w:val="24"/>
          <w:szCs w:val="24"/>
        </w:rPr>
        <w:t>投标人认为存在低于成本价投标情形的，可以在开标现场提出异议，并在评标完成前向招标人递交书面材料，招标人应当及时将书面材料转交评标委员会。</w:t>
      </w:r>
    </w:p>
    <w:p w14:paraId="1B68AA2C">
      <w:pPr>
        <w:pStyle w:val="5"/>
        <w:spacing w:line="360" w:lineRule="auto"/>
        <w:rPr>
          <w:rFonts w:hint="default" w:ascii="仿宋" w:hAnsi="仿宋" w:cs="仿宋"/>
        </w:rPr>
      </w:pPr>
      <w:bookmarkStart w:id="515" w:name="_Toc843"/>
      <w:bookmarkStart w:id="516" w:name="_Toc19658"/>
      <w:bookmarkStart w:id="517" w:name="_Toc25384"/>
      <w:bookmarkStart w:id="518" w:name="_Toc7586"/>
      <w:bookmarkStart w:id="519" w:name="_Toc31248"/>
      <w:r>
        <w:rPr>
          <w:rFonts w:ascii="仿宋" w:hAnsi="仿宋" w:cs="仿宋"/>
        </w:rPr>
        <w:t>5.4 电子招投标的其他开标要求及异常处理</w:t>
      </w:r>
      <w:bookmarkEnd w:id="504"/>
      <w:bookmarkEnd w:id="505"/>
      <w:bookmarkEnd w:id="506"/>
      <w:bookmarkEnd w:id="507"/>
      <w:bookmarkEnd w:id="515"/>
      <w:bookmarkEnd w:id="516"/>
      <w:bookmarkEnd w:id="517"/>
      <w:bookmarkEnd w:id="518"/>
      <w:bookmarkEnd w:id="519"/>
    </w:p>
    <w:p w14:paraId="03C2D52B">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招标人采用电子招标投标方式的，开标的其他要求及异常处理方式见投标人须知前附表。</w:t>
      </w:r>
    </w:p>
    <w:p w14:paraId="4DFC3399">
      <w:pPr>
        <w:pStyle w:val="5"/>
        <w:spacing w:line="360" w:lineRule="auto"/>
        <w:rPr>
          <w:rFonts w:hint="default" w:ascii="仿宋" w:hAnsi="仿宋" w:cs="仿宋"/>
        </w:rPr>
      </w:pPr>
      <w:bookmarkStart w:id="520" w:name="_Toc478565678"/>
      <w:bookmarkStart w:id="521" w:name="_Toc474147997"/>
      <w:bookmarkStart w:id="522" w:name="_Toc525896321"/>
      <w:bookmarkStart w:id="523" w:name="_Toc478566041"/>
      <w:bookmarkStart w:id="524" w:name="_Toc478566233"/>
      <w:bookmarkStart w:id="525" w:name="_Toc21160"/>
      <w:bookmarkStart w:id="526" w:name="_Toc24255"/>
      <w:bookmarkStart w:id="527" w:name="_Toc29102"/>
      <w:bookmarkStart w:id="528" w:name="_Toc31175"/>
      <w:bookmarkStart w:id="529" w:name="_Toc1537"/>
      <w:bookmarkStart w:id="530" w:name="_Toc19094"/>
      <w:bookmarkStart w:id="531" w:name="_Toc109124267"/>
      <w:r>
        <w:rPr>
          <w:rFonts w:ascii="仿宋" w:hAnsi="仿宋" w:cs="仿宋"/>
        </w:rPr>
        <w:t>5.5不得开标</w:t>
      </w:r>
      <w:bookmarkEnd w:id="520"/>
      <w:bookmarkEnd w:id="521"/>
      <w:bookmarkEnd w:id="522"/>
      <w:bookmarkEnd w:id="523"/>
      <w:bookmarkEnd w:id="524"/>
      <w:r>
        <w:rPr>
          <w:rFonts w:ascii="仿宋" w:hAnsi="仿宋" w:cs="仿宋"/>
        </w:rPr>
        <w:t>的情形</w:t>
      </w:r>
      <w:bookmarkEnd w:id="525"/>
      <w:bookmarkEnd w:id="526"/>
      <w:bookmarkEnd w:id="527"/>
      <w:bookmarkEnd w:id="528"/>
      <w:bookmarkEnd w:id="529"/>
    </w:p>
    <w:p w14:paraId="38E94C13">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按照招标文件要求递交电子投标文件的投标人数量少于3个（中标人为1家时）或者少于投标人须知前附表规定的数量时，招标人不得开标，应当重新招标。</w:t>
      </w:r>
    </w:p>
    <w:p w14:paraId="5CEE8623">
      <w:pPr>
        <w:pStyle w:val="4"/>
        <w:rPr>
          <w:rFonts w:ascii="仿宋" w:hAnsi="仿宋" w:cs="仿宋"/>
        </w:rPr>
      </w:pPr>
      <w:bookmarkStart w:id="532" w:name="_Toc1735"/>
      <w:bookmarkStart w:id="533" w:name="_Toc27584"/>
      <w:bookmarkStart w:id="534" w:name="_Toc26887"/>
      <w:r>
        <w:rPr>
          <w:rFonts w:hint="eastAsia" w:ascii="仿宋" w:hAnsi="仿宋" w:cs="仿宋"/>
        </w:rPr>
        <w:t>6.评标</w:t>
      </w:r>
      <w:bookmarkEnd w:id="508"/>
      <w:bookmarkEnd w:id="509"/>
      <w:bookmarkEnd w:id="510"/>
      <w:bookmarkEnd w:id="511"/>
      <w:bookmarkEnd w:id="512"/>
      <w:bookmarkEnd w:id="513"/>
      <w:bookmarkEnd w:id="514"/>
      <w:bookmarkEnd w:id="530"/>
      <w:bookmarkEnd w:id="531"/>
      <w:bookmarkEnd w:id="532"/>
      <w:bookmarkEnd w:id="533"/>
      <w:bookmarkEnd w:id="534"/>
    </w:p>
    <w:p w14:paraId="62325DA3">
      <w:pPr>
        <w:pStyle w:val="5"/>
        <w:spacing w:line="360" w:lineRule="auto"/>
        <w:rPr>
          <w:rFonts w:hint="default" w:ascii="仿宋" w:hAnsi="仿宋" w:cs="仿宋"/>
        </w:rPr>
      </w:pPr>
      <w:bookmarkStart w:id="535" w:name="_Toc332188200"/>
      <w:bookmarkStart w:id="536" w:name="_Toc152042339"/>
      <w:bookmarkStart w:id="537" w:name="_Toc326223567"/>
      <w:bookmarkStart w:id="538" w:name="_Toc334766954"/>
      <w:bookmarkStart w:id="539" w:name="_Toc16388"/>
      <w:bookmarkStart w:id="540" w:name="_Toc14353"/>
      <w:bookmarkStart w:id="541" w:name="_Toc144974531"/>
      <w:bookmarkStart w:id="542" w:name="_Toc109124268"/>
      <w:bookmarkStart w:id="543" w:name="_Toc26254"/>
      <w:bookmarkStart w:id="544" w:name="_Toc246996950"/>
      <w:bookmarkStart w:id="545" w:name="_Toc60224354"/>
      <w:bookmarkStart w:id="546" w:name="_Toc10527"/>
      <w:bookmarkStart w:id="547" w:name="_Toc247085721"/>
      <w:bookmarkStart w:id="548" w:name="_Toc246996207"/>
      <w:bookmarkStart w:id="549" w:name="_Toc71191987"/>
      <w:bookmarkStart w:id="550" w:name="_Toc152045563"/>
      <w:bookmarkStart w:id="551" w:name="_Toc16049"/>
      <w:bookmarkStart w:id="552" w:name="_Toc179632581"/>
      <w:bookmarkStart w:id="553" w:name="_Toc23876"/>
      <w:r>
        <w:rPr>
          <w:rFonts w:ascii="仿宋" w:hAnsi="仿宋" w:cs="仿宋"/>
        </w:rPr>
        <w:t>6.1 评标委员会</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255AAD4A">
      <w:pPr>
        <w:widowControl/>
        <w:topLinePunct/>
        <w:spacing w:line="360" w:lineRule="auto"/>
        <w:ind w:firstLine="480" w:firstLineChars="200"/>
        <w:rPr>
          <w:rFonts w:ascii="仿宋" w:hAnsi="仿宋" w:eastAsia="仿宋" w:cs="仿宋"/>
          <w:kern w:val="0"/>
          <w:sz w:val="24"/>
          <w:szCs w:val="24"/>
        </w:rPr>
      </w:pPr>
      <w:bookmarkStart w:id="554" w:name="_Toc152042340"/>
      <w:bookmarkStart w:id="555" w:name="_Toc152045564"/>
      <w:bookmarkStart w:id="556" w:name="_Toc332188201"/>
      <w:bookmarkStart w:id="557" w:name="_Toc326223568"/>
      <w:bookmarkStart w:id="558" w:name="_Toc144974532"/>
      <w:bookmarkStart w:id="559" w:name="_Toc247085722"/>
      <w:bookmarkStart w:id="560" w:name="_Toc179632582"/>
      <w:bookmarkStart w:id="561" w:name="_Toc246996208"/>
      <w:bookmarkStart w:id="562" w:name="_Toc246996951"/>
      <w:bookmarkStart w:id="563" w:name="_Toc334766955"/>
      <w:r>
        <w:rPr>
          <w:rFonts w:hint="eastAsia" w:ascii="仿宋" w:hAnsi="仿宋" w:eastAsia="仿宋" w:cs="仿宋"/>
          <w:kern w:val="0"/>
          <w:sz w:val="24"/>
          <w:szCs w:val="24"/>
        </w:rPr>
        <w:t>6.1.1 评标由依法组建的评标委员会负责，具体人数见投标人须知前附表。国有金融采购的一般采购项目从评审专家库中随机抽取选定评审专家，对技术复杂、专业性强或者有特殊要求的采购项目，通过随机抽取方式难以确定合适评审专家的，可由国有金融企业按程序自行选定。</w:t>
      </w:r>
    </w:p>
    <w:p w14:paraId="3BB1191D">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6.1.2 </w:t>
      </w:r>
      <w:r>
        <w:rPr>
          <w:rFonts w:hint="eastAsia" w:ascii="仿宋" w:hAnsi="仿宋" w:eastAsia="仿宋" w:cs="仿宋"/>
          <w:spacing w:val="-4"/>
          <w:kern w:val="0"/>
          <w:sz w:val="24"/>
          <w:szCs w:val="24"/>
        </w:rPr>
        <w:t>评标期间，任何单位和个人不得非法干预或者影响评标的过程和结果。</w:t>
      </w:r>
    </w:p>
    <w:p w14:paraId="1882272F">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6.1.3 评标委员会成员名单在中标结果确定前保密。</w:t>
      </w:r>
    </w:p>
    <w:p w14:paraId="24FBD9B8">
      <w:pPr>
        <w:pStyle w:val="5"/>
        <w:spacing w:line="360" w:lineRule="auto"/>
        <w:rPr>
          <w:rFonts w:hint="default" w:ascii="仿宋" w:hAnsi="仿宋" w:cs="仿宋"/>
        </w:rPr>
      </w:pPr>
      <w:bookmarkStart w:id="564" w:name="_Toc71191988"/>
      <w:bookmarkStart w:id="565" w:name="_Toc5380"/>
      <w:bookmarkStart w:id="566" w:name="_Toc7876"/>
      <w:bookmarkStart w:id="567" w:name="_Toc109124269"/>
      <w:bookmarkStart w:id="568" w:name="_Toc4976"/>
      <w:bookmarkStart w:id="569" w:name="_Toc23281"/>
      <w:bookmarkStart w:id="570" w:name="_Toc22735"/>
      <w:bookmarkStart w:id="571" w:name="_Toc60224355"/>
      <w:bookmarkStart w:id="572" w:name="_Toc13320"/>
      <w:r>
        <w:rPr>
          <w:rFonts w:ascii="仿宋" w:hAnsi="仿宋" w:cs="仿宋"/>
        </w:rPr>
        <w:t>6.2 评标原则</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6D62B43">
      <w:pPr>
        <w:widowControl/>
        <w:topLinePunct/>
        <w:spacing w:line="360" w:lineRule="auto"/>
        <w:ind w:firstLine="480" w:firstLineChars="200"/>
        <w:rPr>
          <w:rFonts w:ascii="仿宋" w:hAnsi="仿宋" w:eastAsia="仿宋" w:cs="仿宋"/>
          <w:kern w:val="0"/>
          <w:sz w:val="24"/>
          <w:szCs w:val="24"/>
        </w:rPr>
      </w:pPr>
      <w:bookmarkStart w:id="573" w:name="_Toc179632583"/>
      <w:bookmarkStart w:id="574" w:name="_Toc152042341"/>
      <w:bookmarkStart w:id="575" w:name="_Toc152045565"/>
      <w:bookmarkStart w:id="576" w:name="_Toc246996952"/>
      <w:bookmarkStart w:id="577" w:name="_Toc326223569"/>
      <w:bookmarkStart w:id="578" w:name="_Toc246996209"/>
      <w:bookmarkStart w:id="579" w:name="_Toc332188202"/>
      <w:bookmarkStart w:id="580" w:name="_Toc334766956"/>
      <w:bookmarkStart w:id="581" w:name="_Toc144974533"/>
      <w:bookmarkStart w:id="582" w:name="_Toc247085723"/>
      <w:r>
        <w:rPr>
          <w:rFonts w:hint="eastAsia" w:ascii="仿宋" w:hAnsi="仿宋" w:eastAsia="仿宋" w:cs="仿宋"/>
          <w:kern w:val="0"/>
          <w:sz w:val="24"/>
          <w:szCs w:val="24"/>
        </w:rPr>
        <w:t>6.2.1 评标活动遵循公平、公正、科学和择优的原则。</w:t>
      </w:r>
    </w:p>
    <w:p w14:paraId="150AEF55">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6.2.2评标委员会应当按照第三章“评标办法”规定的评标标准和方法，客观、公正地对投标文件进行评审和比较、提出评审意见。招标文件没有规定的评标标准和方法不得作为评标的依据。</w:t>
      </w:r>
    </w:p>
    <w:p w14:paraId="754D6A24">
      <w:pPr>
        <w:pStyle w:val="5"/>
        <w:spacing w:line="360" w:lineRule="auto"/>
        <w:rPr>
          <w:rFonts w:hint="default" w:ascii="仿宋" w:hAnsi="仿宋" w:cs="仿宋"/>
        </w:rPr>
      </w:pPr>
      <w:bookmarkStart w:id="583" w:name="_Toc19827"/>
      <w:bookmarkStart w:id="584" w:name="_Toc4997"/>
      <w:bookmarkStart w:id="585" w:name="_Toc71191989"/>
      <w:bookmarkStart w:id="586" w:name="_Toc109124270"/>
      <w:bookmarkStart w:id="587" w:name="_Toc11481"/>
      <w:bookmarkStart w:id="588" w:name="_Toc60224356"/>
      <w:bookmarkStart w:id="589" w:name="_Toc29632"/>
      <w:bookmarkStart w:id="590" w:name="_Toc12454"/>
      <w:bookmarkStart w:id="591" w:name="_Toc21651"/>
      <w:r>
        <w:rPr>
          <w:rFonts w:ascii="仿宋" w:hAnsi="仿宋" w:cs="仿宋"/>
        </w:rPr>
        <w:t>6.3 评标</w:t>
      </w:r>
      <w:bookmarkEnd w:id="573"/>
      <w:bookmarkEnd w:id="574"/>
      <w:bookmarkEnd w:id="575"/>
      <w:bookmarkEnd w:id="576"/>
      <w:bookmarkEnd w:id="577"/>
      <w:bookmarkEnd w:id="578"/>
      <w:bookmarkEnd w:id="579"/>
      <w:bookmarkEnd w:id="580"/>
      <w:bookmarkEnd w:id="581"/>
      <w:bookmarkEnd w:id="582"/>
      <w:r>
        <w:rPr>
          <w:rFonts w:ascii="仿宋" w:hAnsi="仿宋" w:cs="仿宋"/>
        </w:rPr>
        <w:t>方法</w:t>
      </w:r>
      <w:bookmarkEnd w:id="583"/>
      <w:bookmarkEnd w:id="584"/>
      <w:bookmarkEnd w:id="585"/>
      <w:bookmarkEnd w:id="586"/>
      <w:bookmarkEnd w:id="587"/>
      <w:bookmarkEnd w:id="588"/>
      <w:bookmarkEnd w:id="589"/>
      <w:bookmarkEnd w:id="590"/>
      <w:bookmarkEnd w:id="591"/>
    </w:p>
    <w:p w14:paraId="6299FB1C">
      <w:pPr>
        <w:widowControl/>
        <w:topLinePunct/>
        <w:spacing w:line="360" w:lineRule="auto"/>
        <w:ind w:firstLine="480" w:firstLineChars="200"/>
        <w:rPr>
          <w:rFonts w:ascii="仿宋" w:hAnsi="仿宋" w:eastAsia="仿宋" w:cs="仿宋"/>
          <w:kern w:val="0"/>
          <w:sz w:val="24"/>
          <w:szCs w:val="24"/>
        </w:rPr>
      </w:pPr>
      <w:bookmarkStart w:id="592" w:name="_Toc247085724"/>
      <w:bookmarkStart w:id="593" w:name="_Toc152042342"/>
      <w:bookmarkStart w:id="594" w:name="_Toc144974534"/>
      <w:bookmarkStart w:id="595" w:name="_Toc152045566"/>
      <w:bookmarkStart w:id="596" w:name="_Toc246996953"/>
      <w:bookmarkStart w:id="597" w:name="_Toc246996210"/>
      <w:bookmarkStart w:id="598" w:name="_Toc179632584"/>
      <w:r>
        <w:rPr>
          <w:rFonts w:hint="eastAsia" w:ascii="仿宋" w:hAnsi="仿宋" w:eastAsia="仿宋" w:cs="仿宋"/>
          <w:kern w:val="0"/>
          <w:sz w:val="24"/>
          <w:szCs w:val="24"/>
        </w:rPr>
        <w:t>6.3.1 招标文件中详细载明下述评标方法之一作为本次评标所采用的评标方法。评标方法见投标人须知前附表。</w:t>
      </w:r>
    </w:p>
    <w:p w14:paraId="1B22295D">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6.3.2 经评审的最低投标价法：能够满足招标文件的实质性要求，并且经评审的投标价格最低的投标，应当推荐为中标候选人，但是价格低于成本的除外。</w:t>
      </w:r>
    </w:p>
    <w:p w14:paraId="6CCB625D">
      <w:pPr>
        <w:widowControl/>
        <w:topLinePunct/>
        <w:spacing w:line="360" w:lineRule="auto"/>
        <w:ind w:firstLine="480" w:firstLineChars="200"/>
        <w:rPr>
          <w:rFonts w:ascii="仿宋" w:hAnsi="仿宋" w:eastAsia="仿宋" w:cs="仿宋"/>
          <w:spacing w:val="-4"/>
          <w:kern w:val="0"/>
          <w:sz w:val="24"/>
          <w:szCs w:val="24"/>
        </w:rPr>
      </w:pPr>
      <w:r>
        <w:rPr>
          <w:rFonts w:hint="eastAsia" w:ascii="仿宋" w:hAnsi="仿宋" w:eastAsia="仿宋" w:cs="仿宋"/>
          <w:kern w:val="0"/>
          <w:sz w:val="24"/>
          <w:szCs w:val="24"/>
        </w:rPr>
        <w:t xml:space="preserve">6.3.3 </w:t>
      </w:r>
      <w:r>
        <w:rPr>
          <w:rFonts w:hint="eastAsia" w:ascii="仿宋" w:hAnsi="仿宋" w:eastAsia="仿宋" w:cs="仿宋"/>
          <w:spacing w:val="-4"/>
          <w:kern w:val="0"/>
          <w:sz w:val="24"/>
          <w:szCs w:val="24"/>
        </w:rPr>
        <w:t>综合评分法：最大限度地满足招标文件中规定的各项综合评价标准的投标，应当推荐为中标候选人，量化的标准和权重应当在招标文件中明确规定。</w:t>
      </w:r>
    </w:p>
    <w:p w14:paraId="1F7E24A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6.3.4 法律、法规允许的其他评标方法。</w:t>
      </w:r>
    </w:p>
    <w:p w14:paraId="29410536">
      <w:pPr>
        <w:pStyle w:val="5"/>
        <w:spacing w:line="360" w:lineRule="auto"/>
        <w:rPr>
          <w:rFonts w:hint="default" w:ascii="仿宋" w:hAnsi="仿宋" w:cs="仿宋"/>
        </w:rPr>
      </w:pPr>
      <w:bookmarkStart w:id="599" w:name="_Toc18431"/>
      <w:bookmarkStart w:id="600" w:name="_Toc71191990"/>
      <w:bookmarkStart w:id="601" w:name="_Toc32414"/>
      <w:bookmarkStart w:id="602" w:name="_Toc2633"/>
      <w:bookmarkStart w:id="603" w:name="_Toc22331"/>
      <w:bookmarkStart w:id="604" w:name="_Toc60224357"/>
      <w:bookmarkStart w:id="605" w:name="_Toc17030"/>
      <w:bookmarkStart w:id="606" w:name="_Toc17600"/>
      <w:bookmarkStart w:id="607" w:name="_Toc109124271"/>
      <w:r>
        <w:rPr>
          <w:rFonts w:ascii="仿宋" w:hAnsi="仿宋" w:cs="仿宋"/>
        </w:rPr>
        <w:t>6.4 中标候选人推荐原则</w:t>
      </w:r>
      <w:bookmarkEnd w:id="599"/>
      <w:bookmarkEnd w:id="600"/>
      <w:bookmarkEnd w:id="601"/>
      <w:bookmarkEnd w:id="602"/>
      <w:bookmarkEnd w:id="603"/>
      <w:bookmarkEnd w:id="604"/>
      <w:bookmarkEnd w:id="605"/>
      <w:bookmarkEnd w:id="606"/>
      <w:bookmarkEnd w:id="607"/>
    </w:p>
    <w:p w14:paraId="329EBDAD">
      <w:pPr>
        <w:widowControl/>
        <w:topLinePunct/>
        <w:spacing w:line="360" w:lineRule="auto"/>
        <w:ind w:firstLine="464" w:firstLineChars="200"/>
        <w:rPr>
          <w:rFonts w:ascii="仿宋" w:hAnsi="仿宋" w:eastAsia="仿宋" w:cs="仿宋"/>
          <w:spacing w:val="-4"/>
          <w:kern w:val="0"/>
          <w:sz w:val="24"/>
          <w:szCs w:val="24"/>
        </w:rPr>
      </w:pPr>
      <w:r>
        <w:rPr>
          <w:rFonts w:hint="eastAsia" w:ascii="仿宋" w:hAnsi="仿宋" w:eastAsia="仿宋" w:cs="仿宋"/>
          <w:spacing w:val="-4"/>
          <w:kern w:val="0"/>
          <w:sz w:val="24"/>
          <w:szCs w:val="24"/>
        </w:rPr>
        <w:t>评标委员会根据投标人须知前附表约定的原则推荐中标候选人。</w:t>
      </w:r>
    </w:p>
    <w:p w14:paraId="2CD04C8B">
      <w:pPr>
        <w:pStyle w:val="5"/>
        <w:spacing w:line="360" w:lineRule="auto"/>
        <w:rPr>
          <w:rFonts w:hint="default" w:ascii="仿宋" w:hAnsi="仿宋" w:cs="仿宋"/>
        </w:rPr>
      </w:pPr>
      <w:bookmarkStart w:id="608" w:name="_Toc8904"/>
      <w:bookmarkStart w:id="609" w:name="_Toc8982"/>
      <w:bookmarkStart w:id="610" w:name="_Toc60224358"/>
      <w:bookmarkStart w:id="611" w:name="_Toc30895"/>
      <w:bookmarkStart w:id="612" w:name="_Toc109124272"/>
      <w:bookmarkStart w:id="613" w:name="_Toc20952"/>
      <w:bookmarkStart w:id="614" w:name="_Toc71191991"/>
      <w:bookmarkStart w:id="615" w:name="_Toc32296"/>
      <w:bookmarkStart w:id="616" w:name="_Toc16500"/>
      <w:r>
        <w:rPr>
          <w:rFonts w:ascii="仿宋" w:hAnsi="仿宋" w:cs="仿宋"/>
        </w:rPr>
        <w:t>6.5 评标报告</w:t>
      </w:r>
      <w:bookmarkEnd w:id="608"/>
      <w:bookmarkEnd w:id="609"/>
      <w:bookmarkEnd w:id="610"/>
      <w:bookmarkEnd w:id="611"/>
      <w:bookmarkEnd w:id="612"/>
      <w:bookmarkEnd w:id="613"/>
      <w:bookmarkEnd w:id="614"/>
      <w:bookmarkEnd w:id="615"/>
      <w:bookmarkEnd w:id="616"/>
    </w:p>
    <w:p w14:paraId="4CB25307">
      <w:pPr>
        <w:widowControl/>
        <w:topLinePunct/>
        <w:spacing w:line="360" w:lineRule="auto"/>
        <w:ind w:firstLine="464" w:firstLineChars="200"/>
        <w:rPr>
          <w:rFonts w:ascii="仿宋" w:hAnsi="仿宋" w:eastAsia="仿宋" w:cs="仿宋"/>
          <w:spacing w:val="-4"/>
          <w:kern w:val="0"/>
          <w:sz w:val="24"/>
          <w:szCs w:val="24"/>
        </w:rPr>
      </w:pPr>
      <w:r>
        <w:rPr>
          <w:rFonts w:hint="eastAsia" w:ascii="仿宋" w:hAnsi="仿宋" w:eastAsia="仿宋" w:cs="仿宋"/>
          <w:spacing w:val="-4"/>
          <w:kern w:val="0"/>
          <w:sz w:val="24"/>
          <w:szCs w:val="24"/>
        </w:rPr>
        <w:t>6.5.1评标完成后，评标委员会应当及时向招标人提交书面评标报告，并推荐合格的中标候选人，中标候选人应标明排序。</w:t>
      </w:r>
    </w:p>
    <w:p w14:paraId="07F41E17">
      <w:pPr>
        <w:widowControl/>
        <w:topLinePunct/>
        <w:spacing w:line="360" w:lineRule="auto"/>
        <w:ind w:firstLine="464" w:firstLineChars="200"/>
        <w:rPr>
          <w:rFonts w:ascii="仿宋" w:hAnsi="仿宋" w:eastAsia="仿宋" w:cs="仿宋"/>
          <w:spacing w:val="-4"/>
          <w:kern w:val="0"/>
          <w:sz w:val="24"/>
          <w:szCs w:val="24"/>
        </w:rPr>
      </w:pPr>
      <w:r>
        <w:rPr>
          <w:rFonts w:hint="eastAsia" w:ascii="仿宋" w:hAnsi="仿宋" w:eastAsia="仿宋" w:cs="仿宋"/>
          <w:spacing w:val="-4"/>
          <w:kern w:val="0"/>
          <w:sz w:val="24"/>
          <w:szCs w:val="24"/>
        </w:rPr>
        <w:t>6.5.2评标报告应当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14:paraId="7E38C869">
      <w:pPr>
        <w:pStyle w:val="4"/>
        <w:rPr>
          <w:rFonts w:ascii="仿宋" w:hAnsi="仿宋" w:cs="仿宋"/>
        </w:rPr>
      </w:pPr>
      <w:bookmarkStart w:id="617" w:name="_Toc109124273"/>
      <w:bookmarkStart w:id="618" w:name="_Toc32130"/>
      <w:bookmarkStart w:id="619" w:name="_Toc1256"/>
      <w:bookmarkStart w:id="620" w:name="_Toc532"/>
      <w:bookmarkStart w:id="621" w:name="_Toc23069"/>
      <w:r>
        <w:rPr>
          <w:rFonts w:hint="eastAsia" w:ascii="仿宋" w:hAnsi="仿宋" w:cs="仿宋"/>
        </w:rPr>
        <w:t>7.</w:t>
      </w:r>
      <w:bookmarkEnd w:id="592"/>
      <w:bookmarkEnd w:id="593"/>
      <w:bookmarkEnd w:id="594"/>
      <w:bookmarkEnd w:id="595"/>
      <w:bookmarkEnd w:id="596"/>
      <w:bookmarkEnd w:id="597"/>
      <w:bookmarkEnd w:id="598"/>
      <w:r>
        <w:rPr>
          <w:rFonts w:hint="eastAsia" w:ascii="仿宋" w:hAnsi="仿宋" w:cs="仿宋"/>
        </w:rPr>
        <w:t>中标</w:t>
      </w:r>
      <w:bookmarkEnd w:id="617"/>
      <w:bookmarkEnd w:id="618"/>
      <w:bookmarkEnd w:id="619"/>
      <w:bookmarkEnd w:id="620"/>
      <w:bookmarkEnd w:id="621"/>
    </w:p>
    <w:p w14:paraId="300D25AD">
      <w:pPr>
        <w:pStyle w:val="5"/>
        <w:spacing w:line="360" w:lineRule="auto"/>
        <w:rPr>
          <w:rFonts w:hint="default" w:ascii="仿宋" w:hAnsi="仿宋" w:cs="仿宋"/>
        </w:rPr>
      </w:pPr>
      <w:bookmarkStart w:id="622" w:name="_Toc179632585"/>
      <w:bookmarkStart w:id="623" w:name="_Toc334766958"/>
      <w:bookmarkStart w:id="624" w:name="_Toc332188204"/>
      <w:bookmarkStart w:id="625" w:name="_Toc247085725"/>
      <w:bookmarkStart w:id="626" w:name="_Toc326223571"/>
      <w:bookmarkStart w:id="627" w:name="_Toc144974535"/>
      <w:bookmarkStart w:id="628" w:name="_Toc152042343"/>
      <w:bookmarkStart w:id="629" w:name="_Toc246996954"/>
      <w:bookmarkStart w:id="630" w:name="_Toc246996211"/>
      <w:bookmarkStart w:id="631" w:name="_Toc152045567"/>
      <w:bookmarkStart w:id="632" w:name="_Toc3071"/>
      <w:bookmarkStart w:id="633" w:name="_Toc684"/>
      <w:bookmarkStart w:id="634" w:name="_Toc27928"/>
      <w:bookmarkStart w:id="635" w:name="_Toc19383"/>
      <w:bookmarkStart w:id="636" w:name="_Toc3352"/>
      <w:bookmarkStart w:id="637" w:name="_Toc109124274"/>
      <w:bookmarkStart w:id="638" w:name="_Toc5790"/>
      <w:bookmarkStart w:id="639" w:name="_Toc60224360"/>
      <w:bookmarkStart w:id="640" w:name="_Toc71191993"/>
      <w:r>
        <w:rPr>
          <w:rFonts w:ascii="仿宋" w:hAnsi="仿宋" w:cs="仿宋"/>
        </w:rPr>
        <w:t>7.1</w:t>
      </w:r>
      <w:bookmarkEnd w:id="622"/>
      <w:bookmarkEnd w:id="623"/>
      <w:bookmarkEnd w:id="624"/>
      <w:bookmarkEnd w:id="625"/>
      <w:bookmarkEnd w:id="626"/>
      <w:bookmarkEnd w:id="627"/>
      <w:bookmarkEnd w:id="628"/>
      <w:bookmarkEnd w:id="629"/>
      <w:bookmarkEnd w:id="630"/>
      <w:bookmarkEnd w:id="631"/>
      <w:r>
        <w:rPr>
          <w:rFonts w:ascii="仿宋" w:hAnsi="仿宋" w:cs="仿宋"/>
        </w:rPr>
        <w:t xml:space="preserve"> 中标候选人公示</w:t>
      </w:r>
      <w:bookmarkEnd w:id="632"/>
      <w:bookmarkEnd w:id="633"/>
      <w:bookmarkEnd w:id="634"/>
      <w:bookmarkEnd w:id="635"/>
      <w:bookmarkEnd w:id="636"/>
      <w:bookmarkEnd w:id="637"/>
      <w:bookmarkEnd w:id="638"/>
      <w:bookmarkEnd w:id="639"/>
      <w:bookmarkEnd w:id="640"/>
    </w:p>
    <w:p w14:paraId="0A8DC564">
      <w:pPr>
        <w:widowControl/>
        <w:topLinePunct/>
        <w:spacing w:line="360" w:lineRule="auto"/>
        <w:ind w:firstLine="480" w:firstLineChars="200"/>
        <w:rPr>
          <w:rFonts w:ascii="仿宋" w:hAnsi="仿宋" w:eastAsia="仿宋" w:cs="仿宋"/>
          <w:kern w:val="0"/>
          <w:sz w:val="24"/>
          <w:szCs w:val="24"/>
        </w:rPr>
      </w:pPr>
      <w:bookmarkStart w:id="641" w:name="_Toc326223572"/>
      <w:bookmarkStart w:id="642" w:name="_Toc334766959"/>
      <w:bookmarkStart w:id="643" w:name="_Toc332188205"/>
      <w:r>
        <w:rPr>
          <w:rFonts w:hint="eastAsia" w:ascii="仿宋" w:hAnsi="仿宋" w:eastAsia="仿宋" w:cs="仿宋"/>
          <w:kern w:val="0"/>
          <w:sz w:val="24"/>
          <w:szCs w:val="24"/>
        </w:rPr>
        <w:t>7.1.1公开招标的采购项目，招标人将在完成评标报告之日起3日内在招标公告发布的同一平台发布中标候选人公示，公示期不少于3个日历日，如公示期最后一日为法定节假日，公示期将顺延至下1个工作日。</w:t>
      </w:r>
    </w:p>
    <w:p w14:paraId="7BB52184">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7.1.2投标人或者其他利害关系人（是与该招标项目或者招标活动有直接或者间接利益关系的法人、其他组织和自然人）对评标结果有异议的，应在中标候选人公示期间以书面形式通过邮件或信函方式提出，应有具体明确的异议事项、与异议事项相关的请求和必要的证明材料。</w:t>
      </w:r>
    </w:p>
    <w:p w14:paraId="18BEFCEA">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7.1.3异议采取实名制，如异议人为自然人，应提交个人签名的异议函以及必要的证明材料、有效的身份证明材料、个人与招标项目直接或间接利益关系说明函。如异议人为法人、其他组织，应提交加盖公章并由法定代表人（负责人）或受其委托的授权代表签字的异议函及必要的证明材料。</w:t>
      </w:r>
    </w:p>
    <w:p w14:paraId="7CD267A5">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7.1.4招标人对投标人和其他利害关系人提出的异议作出答复后，投标人和其他利害关系人在异议期内依然存在同样异议的，不应当就同样的问题反复提出同样的异议。</w:t>
      </w:r>
    </w:p>
    <w:p w14:paraId="5D1A54B3">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7.1.5 投标人捏造事实、提供虚假材料或者以非法手段取得证明材料提出异议，以及假冒他人名义提出异议的，认定为供应商不良行为，按照招标人供应商管理办法有关规定处理。</w:t>
      </w:r>
    </w:p>
    <w:p w14:paraId="0BA78D8B">
      <w:pPr>
        <w:pStyle w:val="5"/>
        <w:spacing w:line="360" w:lineRule="auto"/>
        <w:rPr>
          <w:rFonts w:hint="default" w:ascii="仿宋" w:hAnsi="仿宋" w:cs="仿宋"/>
        </w:rPr>
      </w:pPr>
      <w:bookmarkStart w:id="644" w:name="_Toc25266"/>
      <w:bookmarkStart w:id="645" w:name="_Toc26618"/>
      <w:bookmarkStart w:id="646" w:name="_Toc71191994"/>
      <w:bookmarkStart w:id="647" w:name="_Toc60224361"/>
      <w:bookmarkStart w:id="648" w:name="_Toc25855"/>
      <w:bookmarkStart w:id="649" w:name="_Toc19760"/>
      <w:bookmarkStart w:id="650" w:name="_Toc3621"/>
      <w:bookmarkStart w:id="651" w:name="_Toc20413"/>
      <w:bookmarkStart w:id="652" w:name="_Toc109124275"/>
      <w:r>
        <w:rPr>
          <w:rFonts w:ascii="仿宋" w:hAnsi="仿宋" w:cs="仿宋"/>
        </w:rPr>
        <w:t xml:space="preserve">7.2 </w:t>
      </w:r>
      <w:bookmarkEnd w:id="641"/>
      <w:bookmarkEnd w:id="642"/>
      <w:bookmarkEnd w:id="643"/>
      <w:r>
        <w:rPr>
          <w:rFonts w:ascii="仿宋" w:hAnsi="仿宋" w:cs="仿宋"/>
        </w:rPr>
        <w:t>确定中标人</w:t>
      </w:r>
      <w:bookmarkEnd w:id="644"/>
      <w:bookmarkEnd w:id="645"/>
      <w:bookmarkEnd w:id="646"/>
      <w:bookmarkEnd w:id="647"/>
      <w:bookmarkEnd w:id="648"/>
      <w:bookmarkEnd w:id="649"/>
      <w:bookmarkEnd w:id="650"/>
      <w:bookmarkEnd w:id="651"/>
      <w:bookmarkEnd w:id="652"/>
    </w:p>
    <w:p w14:paraId="7F93E15B">
      <w:pPr>
        <w:widowControl/>
        <w:topLinePunct/>
        <w:spacing w:line="360" w:lineRule="auto"/>
        <w:ind w:firstLine="480" w:firstLineChars="200"/>
        <w:rPr>
          <w:rFonts w:ascii="仿宋" w:hAnsi="仿宋" w:eastAsia="仿宋" w:cs="仿宋"/>
          <w:kern w:val="0"/>
          <w:sz w:val="24"/>
          <w:szCs w:val="24"/>
        </w:rPr>
      </w:pPr>
      <w:bookmarkStart w:id="653" w:name="_Toc247085726"/>
      <w:bookmarkStart w:id="654" w:name="_Toc334766960"/>
      <w:bookmarkStart w:id="655" w:name="_Toc152045568"/>
      <w:bookmarkStart w:id="656" w:name="_Toc246996212"/>
      <w:bookmarkStart w:id="657" w:name="_Toc332188206"/>
      <w:bookmarkStart w:id="658" w:name="_Toc179632586"/>
      <w:bookmarkStart w:id="659" w:name="_Toc246996955"/>
      <w:bookmarkStart w:id="660" w:name="_Toc144974536"/>
      <w:bookmarkStart w:id="661" w:name="_Toc326223573"/>
      <w:bookmarkStart w:id="662" w:name="_Toc152042344"/>
      <w:r>
        <w:rPr>
          <w:rFonts w:hint="eastAsia" w:ascii="仿宋" w:hAnsi="仿宋" w:eastAsia="仿宋" w:cs="仿宋"/>
          <w:kern w:val="0"/>
          <w:sz w:val="24"/>
          <w:szCs w:val="24"/>
        </w:rPr>
        <w:t>7.2.1 除投标人须知前附表规定评标委员会直接确定中标人外，招标人根据评标委员会提出的书面评标报告和推荐的中标候选人确定中标人，中标人数量见投标人须知前附表。</w:t>
      </w:r>
    </w:p>
    <w:p w14:paraId="468760CE">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7.2.2 招标人根据评标委员会推荐的中标候选人名单排序依次确定中标人，具体中标原则见投标人须知前附表。</w:t>
      </w:r>
    </w:p>
    <w:p w14:paraId="4694D41F">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7.2.3在确定中标人前，招标人不得与投标人就投标价格、投标方案等实质性内容进行谈判。</w:t>
      </w:r>
    </w:p>
    <w:p w14:paraId="4AC3C249">
      <w:pPr>
        <w:widowControl/>
        <w:topLinePunct/>
        <w:spacing w:line="360" w:lineRule="auto"/>
        <w:ind w:firstLine="480" w:firstLineChars="200"/>
        <w:rPr>
          <w:rFonts w:ascii="仿宋" w:hAnsi="仿宋" w:eastAsia="仿宋" w:cs="仿宋"/>
          <w:szCs w:val="21"/>
        </w:rPr>
      </w:pPr>
      <w:r>
        <w:rPr>
          <w:rFonts w:hint="eastAsia" w:ascii="仿宋" w:hAnsi="仿宋" w:eastAsia="仿宋" w:cs="仿宋"/>
          <w:kern w:val="0"/>
          <w:sz w:val="24"/>
          <w:szCs w:val="24"/>
        </w:rPr>
        <w:t>7.2.4中标候选人的经营、财务状况发生较大变化或者存在违法行为，招标人认为可能影响其履约能力的，将在发出中标通知书前由原评标委员会按照招标文件规定的标准和方法审查确认。</w:t>
      </w:r>
    </w:p>
    <w:p w14:paraId="26D38D21">
      <w:pPr>
        <w:pStyle w:val="5"/>
        <w:spacing w:line="360" w:lineRule="auto"/>
        <w:rPr>
          <w:rFonts w:hint="default" w:ascii="仿宋" w:hAnsi="仿宋" w:cs="仿宋"/>
        </w:rPr>
      </w:pPr>
      <w:bookmarkStart w:id="663" w:name="_Toc60224362"/>
      <w:bookmarkStart w:id="664" w:name="_Toc8102"/>
      <w:bookmarkStart w:id="665" w:name="_Toc29169"/>
      <w:bookmarkStart w:id="666" w:name="_Toc71191995"/>
      <w:bookmarkStart w:id="667" w:name="_Toc109124276"/>
      <w:bookmarkStart w:id="668" w:name="_Toc14096"/>
      <w:bookmarkStart w:id="669" w:name="_Toc4606"/>
      <w:bookmarkStart w:id="670" w:name="_Toc31032"/>
      <w:bookmarkStart w:id="671" w:name="_Toc8702"/>
      <w:r>
        <w:rPr>
          <w:rFonts w:ascii="仿宋" w:hAnsi="仿宋" w:cs="仿宋"/>
        </w:rPr>
        <w:t>7.3 中标结果</w:t>
      </w:r>
      <w:bookmarkEnd w:id="663"/>
      <w:bookmarkEnd w:id="664"/>
      <w:r>
        <w:rPr>
          <w:rFonts w:ascii="仿宋" w:hAnsi="仿宋" w:cs="仿宋"/>
        </w:rPr>
        <w:t>公示</w:t>
      </w:r>
      <w:bookmarkEnd w:id="665"/>
      <w:bookmarkEnd w:id="666"/>
      <w:bookmarkEnd w:id="667"/>
      <w:bookmarkEnd w:id="668"/>
      <w:bookmarkEnd w:id="669"/>
      <w:bookmarkEnd w:id="670"/>
      <w:bookmarkEnd w:id="671"/>
    </w:p>
    <w:p w14:paraId="4FD69AE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采用公开招标方式的采购项目，应当发布中标结果公示，内容包括但不限于招标项目名称、招标人、招标代理机构、招标公告日期、中标人、中标内容及价格等基本要素。中标结果公示应与招标公告在同一渠道公开。</w:t>
      </w:r>
    </w:p>
    <w:p w14:paraId="75C0DF22">
      <w:pPr>
        <w:pStyle w:val="5"/>
        <w:spacing w:line="360" w:lineRule="auto"/>
        <w:rPr>
          <w:rFonts w:hint="default" w:ascii="仿宋" w:hAnsi="仿宋" w:cs="仿宋"/>
        </w:rPr>
      </w:pPr>
      <w:bookmarkStart w:id="672" w:name="_Toc109124277"/>
      <w:bookmarkStart w:id="673" w:name="_Toc12933"/>
      <w:bookmarkStart w:id="674" w:name="_Toc60224363"/>
      <w:bookmarkStart w:id="675" w:name="_Toc6063"/>
      <w:bookmarkStart w:id="676" w:name="_Toc25940"/>
      <w:bookmarkStart w:id="677" w:name="_Toc24847"/>
      <w:bookmarkStart w:id="678" w:name="_Toc71191996"/>
      <w:bookmarkStart w:id="679" w:name="_Toc8018"/>
      <w:bookmarkStart w:id="680" w:name="_Toc28969"/>
      <w:r>
        <w:rPr>
          <w:rFonts w:ascii="仿宋" w:hAnsi="仿宋" w:cs="仿宋"/>
        </w:rPr>
        <w:t>7.4 中标通知</w:t>
      </w:r>
      <w:bookmarkEnd w:id="653"/>
      <w:bookmarkEnd w:id="654"/>
      <w:bookmarkEnd w:id="655"/>
      <w:bookmarkEnd w:id="656"/>
      <w:bookmarkEnd w:id="657"/>
      <w:bookmarkEnd w:id="658"/>
      <w:bookmarkEnd w:id="659"/>
      <w:bookmarkEnd w:id="660"/>
      <w:bookmarkEnd w:id="661"/>
      <w:bookmarkEnd w:id="662"/>
      <w:bookmarkEnd w:id="672"/>
      <w:bookmarkEnd w:id="673"/>
      <w:bookmarkEnd w:id="674"/>
      <w:bookmarkEnd w:id="675"/>
      <w:bookmarkEnd w:id="676"/>
      <w:bookmarkEnd w:id="677"/>
      <w:bookmarkEnd w:id="678"/>
      <w:bookmarkEnd w:id="679"/>
      <w:bookmarkEnd w:id="680"/>
    </w:p>
    <w:p w14:paraId="1A46F016">
      <w:pPr>
        <w:widowControl/>
        <w:topLinePunct/>
        <w:spacing w:line="360" w:lineRule="auto"/>
        <w:ind w:firstLine="480" w:firstLineChars="200"/>
        <w:rPr>
          <w:rFonts w:ascii="仿宋" w:hAnsi="仿宋" w:eastAsia="仿宋" w:cs="仿宋"/>
          <w:kern w:val="0"/>
          <w:sz w:val="24"/>
          <w:szCs w:val="24"/>
        </w:rPr>
      </w:pPr>
      <w:bookmarkStart w:id="681" w:name="_Toc246996956"/>
      <w:bookmarkStart w:id="682" w:name="_Toc332188207"/>
      <w:bookmarkStart w:id="683" w:name="_Toc144974537"/>
      <w:bookmarkStart w:id="684" w:name="_Toc246996213"/>
      <w:bookmarkStart w:id="685" w:name="_Toc247085727"/>
      <w:bookmarkStart w:id="686" w:name="_Toc179632587"/>
      <w:bookmarkStart w:id="687" w:name="_Toc152045569"/>
      <w:bookmarkStart w:id="688" w:name="_Toc334766961"/>
      <w:bookmarkStart w:id="689" w:name="_Toc152042345"/>
      <w:bookmarkStart w:id="690" w:name="_Toc326223574"/>
      <w:r>
        <w:rPr>
          <w:rFonts w:hint="eastAsia" w:ascii="仿宋" w:hAnsi="仿宋" w:eastAsia="仿宋" w:cs="仿宋"/>
          <w:kern w:val="0"/>
          <w:sz w:val="24"/>
          <w:szCs w:val="24"/>
        </w:rPr>
        <w:t>7.4.1 中标人确定后，招标人应当向中标人发出中标通知书，并同时将中标结果通知所有未中标的投标人。</w:t>
      </w:r>
    </w:p>
    <w:p w14:paraId="6581AFE2">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7.4.2中标通知书对招标人和中标人具有法律效力。中标通知书发出后，招标人改变中标结果的，或者中标人放弃中标项目的，应当依法承担法律责任</w:t>
      </w:r>
      <w:bookmarkStart w:id="691" w:name="_Hlk142926396"/>
      <w:r>
        <w:rPr>
          <w:rFonts w:hint="eastAsia" w:ascii="仿宋" w:hAnsi="仿宋" w:eastAsia="仿宋" w:cs="仿宋"/>
          <w:kern w:val="0"/>
          <w:sz w:val="24"/>
          <w:szCs w:val="24"/>
        </w:rPr>
        <w:t>，投标保证金不予退还。投标保证金以投标保证保险方式递交的，招标人作为被保险人有权发起保证保险赔偿，保险人有权向投保人（投标人）进行等额追偿。</w:t>
      </w:r>
    </w:p>
    <w:bookmarkEnd w:id="681"/>
    <w:bookmarkEnd w:id="682"/>
    <w:bookmarkEnd w:id="683"/>
    <w:bookmarkEnd w:id="684"/>
    <w:bookmarkEnd w:id="685"/>
    <w:bookmarkEnd w:id="686"/>
    <w:bookmarkEnd w:id="687"/>
    <w:bookmarkEnd w:id="688"/>
    <w:bookmarkEnd w:id="689"/>
    <w:bookmarkEnd w:id="690"/>
    <w:bookmarkEnd w:id="691"/>
    <w:p w14:paraId="40F185BD">
      <w:pPr>
        <w:pStyle w:val="4"/>
        <w:rPr>
          <w:rFonts w:ascii="仿宋" w:hAnsi="仿宋" w:cs="仿宋"/>
        </w:rPr>
      </w:pPr>
      <w:bookmarkStart w:id="692" w:name="_Toc3049"/>
      <w:bookmarkStart w:id="693" w:name="_Toc32618"/>
      <w:bookmarkStart w:id="694" w:name="_Toc23174"/>
      <w:bookmarkStart w:id="695" w:name="_Toc109124278"/>
      <w:bookmarkStart w:id="696" w:name="_Toc24383"/>
      <w:r>
        <w:rPr>
          <w:rFonts w:hint="eastAsia" w:ascii="仿宋" w:hAnsi="仿宋" w:cs="仿宋"/>
        </w:rPr>
        <w:t>8.合同签订</w:t>
      </w:r>
      <w:bookmarkEnd w:id="692"/>
      <w:bookmarkEnd w:id="693"/>
      <w:bookmarkEnd w:id="694"/>
      <w:bookmarkEnd w:id="695"/>
      <w:bookmarkEnd w:id="696"/>
    </w:p>
    <w:p w14:paraId="34E4C74B">
      <w:pPr>
        <w:pStyle w:val="5"/>
        <w:spacing w:line="360" w:lineRule="auto"/>
        <w:rPr>
          <w:rFonts w:hint="default" w:ascii="仿宋" w:hAnsi="仿宋" w:cs="仿宋"/>
        </w:rPr>
      </w:pPr>
      <w:bookmarkStart w:id="697" w:name="_Toc246996962"/>
      <w:bookmarkStart w:id="698" w:name="_Toc246996219"/>
      <w:bookmarkStart w:id="699" w:name="_Toc334766964"/>
      <w:bookmarkStart w:id="700" w:name="_Toc144974543"/>
      <w:bookmarkStart w:id="701" w:name="_Toc326223577"/>
      <w:bookmarkStart w:id="702" w:name="_Toc152042351"/>
      <w:bookmarkStart w:id="703" w:name="_Toc179632593"/>
      <w:bookmarkStart w:id="704" w:name="_Toc247085733"/>
      <w:bookmarkStart w:id="705" w:name="_Toc296590983"/>
      <w:bookmarkStart w:id="706" w:name="_Toc332188210"/>
      <w:bookmarkStart w:id="707" w:name="_Toc152045575"/>
      <w:bookmarkStart w:id="708" w:name="_Toc71191998"/>
      <w:bookmarkStart w:id="709" w:name="_Toc6277"/>
      <w:bookmarkStart w:id="710" w:name="_Toc1186"/>
      <w:bookmarkStart w:id="711" w:name="_Toc17232"/>
      <w:bookmarkStart w:id="712" w:name="_Toc20800"/>
      <w:bookmarkStart w:id="713" w:name="_Toc60224365"/>
      <w:bookmarkStart w:id="714" w:name="_Toc109124279"/>
      <w:bookmarkStart w:id="715" w:name="_Toc9742"/>
      <w:bookmarkStart w:id="716" w:name="_Toc1561"/>
      <w:r>
        <w:rPr>
          <w:rFonts w:ascii="仿宋" w:hAnsi="仿宋" w:cs="仿宋"/>
        </w:rPr>
        <w:t xml:space="preserve">8.1 </w:t>
      </w:r>
      <w:bookmarkEnd w:id="697"/>
      <w:bookmarkEnd w:id="698"/>
      <w:bookmarkEnd w:id="699"/>
      <w:bookmarkEnd w:id="700"/>
      <w:bookmarkEnd w:id="701"/>
      <w:bookmarkEnd w:id="702"/>
      <w:bookmarkEnd w:id="703"/>
      <w:bookmarkEnd w:id="704"/>
      <w:bookmarkEnd w:id="705"/>
      <w:bookmarkEnd w:id="706"/>
      <w:bookmarkEnd w:id="707"/>
      <w:r>
        <w:rPr>
          <w:rFonts w:ascii="仿宋" w:hAnsi="仿宋" w:cs="仿宋"/>
        </w:rPr>
        <w:t>履约保证金</w:t>
      </w:r>
      <w:bookmarkEnd w:id="708"/>
      <w:bookmarkEnd w:id="709"/>
      <w:bookmarkEnd w:id="710"/>
      <w:bookmarkEnd w:id="711"/>
      <w:bookmarkEnd w:id="712"/>
      <w:bookmarkEnd w:id="713"/>
      <w:bookmarkEnd w:id="714"/>
      <w:bookmarkEnd w:id="715"/>
      <w:bookmarkEnd w:id="716"/>
    </w:p>
    <w:p w14:paraId="441600A5">
      <w:pPr>
        <w:widowControl/>
        <w:topLinePunct/>
        <w:spacing w:line="360" w:lineRule="auto"/>
        <w:ind w:firstLine="480" w:firstLineChars="200"/>
        <w:rPr>
          <w:rFonts w:ascii="仿宋" w:hAnsi="仿宋" w:eastAsia="仿宋" w:cs="仿宋"/>
          <w:kern w:val="0"/>
          <w:sz w:val="24"/>
          <w:szCs w:val="24"/>
        </w:rPr>
      </w:pPr>
      <w:bookmarkStart w:id="717" w:name="_Toc152042352"/>
      <w:bookmarkStart w:id="718" w:name="_Toc326223578"/>
      <w:bookmarkStart w:id="719" w:name="_Toc332188211"/>
      <w:bookmarkStart w:id="720" w:name="_Toc144974544"/>
      <w:bookmarkStart w:id="721" w:name="_Toc247085734"/>
      <w:bookmarkStart w:id="722" w:name="_Toc179632594"/>
      <w:bookmarkStart w:id="723" w:name="_Toc246996220"/>
      <w:bookmarkStart w:id="724" w:name="_Toc246996963"/>
      <w:bookmarkStart w:id="725" w:name="_Toc152045576"/>
      <w:bookmarkStart w:id="726" w:name="_Toc334766965"/>
      <w:r>
        <w:rPr>
          <w:rFonts w:hint="eastAsia" w:ascii="仿宋" w:hAnsi="仿宋" w:eastAsia="仿宋" w:cs="仿宋"/>
          <w:kern w:val="0"/>
          <w:sz w:val="24"/>
          <w:szCs w:val="24"/>
        </w:rPr>
        <w:t>8.1.1 招标文件要求中标人提交履约保证金的，中标人应当提交中标人应当按照招标文件的要求提交。履约保证金不得超过中标合同金额的10%。履约保证金金额和方式见投标人须知前附表。</w:t>
      </w:r>
    </w:p>
    <w:p w14:paraId="4BFDF652">
      <w:pPr>
        <w:widowControl/>
        <w:topLinePunct/>
        <w:spacing w:line="360" w:lineRule="auto"/>
        <w:ind w:firstLine="480" w:firstLineChars="200"/>
        <w:rPr>
          <w:rFonts w:ascii="仿宋" w:hAnsi="仿宋" w:eastAsia="仿宋" w:cs="仿宋"/>
          <w:kern w:val="0"/>
          <w:sz w:val="24"/>
          <w:szCs w:val="24"/>
        </w:rPr>
      </w:pPr>
      <w:bookmarkStart w:id="727" w:name="_Hlk142926410"/>
      <w:r>
        <w:rPr>
          <w:rFonts w:hint="eastAsia" w:ascii="仿宋" w:hAnsi="仿宋" w:eastAsia="仿宋" w:cs="仿宋"/>
          <w:kern w:val="0"/>
          <w:sz w:val="24"/>
          <w:szCs w:val="24"/>
        </w:rPr>
        <w:t>8.1.2中标人不按照招标文件要求提交履约保证金的，取消其中标资格，投标保证金不予退还。投标保证金以投标保证保险方式递交的，招标人作为被保险人有权发起保证保险赔偿，保险人有权向投保人（投标人）进行等额追偿。</w:t>
      </w:r>
    </w:p>
    <w:bookmarkEnd w:id="727"/>
    <w:p w14:paraId="1CC21D0D">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8.1.3中标人不履行与招标人订立的合同的，履约保证金不予退还，给招标人造成的损失超过履约保证金数额的，还应当对超过部分予以赔偿；没有提交履约保证金的，应当对招标人的损失承担赔偿责任。</w:t>
      </w:r>
    </w:p>
    <w:p w14:paraId="12804A4A">
      <w:pPr>
        <w:pStyle w:val="5"/>
        <w:spacing w:line="360" w:lineRule="auto"/>
        <w:rPr>
          <w:rFonts w:hint="default" w:ascii="仿宋" w:hAnsi="仿宋" w:cs="仿宋"/>
        </w:rPr>
      </w:pPr>
      <w:bookmarkStart w:id="728" w:name="_Toc19588"/>
      <w:bookmarkStart w:id="729" w:name="_Toc71191999"/>
      <w:bookmarkStart w:id="730" w:name="_Toc23774"/>
      <w:bookmarkStart w:id="731" w:name="_Toc7043"/>
      <w:bookmarkStart w:id="732" w:name="_Toc12658"/>
      <w:bookmarkStart w:id="733" w:name="_Toc22955"/>
      <w:bookmarkStart w:id="734" w:name="_Toc109124280"/>
      <w:bookmarkStart w:id="735" w:name="_Toc30052"/>
      <w:bookmarkStart w:id="736" w:name="_Toc60224366"/>
      <w:r>
        <w:rPr>
          <w:rFonts w:ascii="仿宋" w:hAnsi="仿宋" w:cs="仿宋"/>
        </w:rPr>
        <w:t xml:space="preserve">8.2 </w:t>
      </w:r>
      <w:bookmarkEnd w:id="717"/>
      <w:bookmarkEnd w:id="718"/>
      <w:bookmarkEnd w:id="719"/>
      <w:bookmarkEnd w:id="720"/>
      <w:bookmarkEnd w:id="721"/>
      <w:bookmarkEnd w:id="722"/>
      <w:bookmarkEnd w:id="723"/>
      <w:bookmarkEnd w:id="724"/>
      <w:bookmarkEnd w:id="725"/>
      <w:bookmarkEnd w:id="726"/>
      <w:r>
        <w:rPr>
          <w:rFonts w:ascii="仿宋" w:hAnsi="仿宋" w:cs="仿宋"/>
        </w:rPr>
        <w:t>合同签订</w:t>
      </w:r>
      <w:bookmarkEnd w:id="728"/>
      <w:bookmarkEnd w:id="729"/>
      <w:bookmarkEnd w:id="730"/>
      <w:bookmarkEnd w:id="731"/>
      <w:bookmarkEnd w:id="732"/>
      <w:bookmarkEnd w:id="733"/>
      <w:bookmarkEnd w:id="734"/>
      <w:bookmarkEnd w:id="735"/>
      <w:bookmarkEnd w:id="736"/>
    </w:p>
    <w:p w14:paraId="4BA689EB">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8.2.1 招标人和中标人应当自中标通知书发出之日起30日内，按照招标文件和中标人的投标文件订立书面合同。合同的标的、价款、质量、履行期限等主要条款应当与招标文件和中标人的投标文件的内容一致。招标人和中标人不得再行订立背离合同实质性内容的其他协议。</w:t>
      </w:r>
    </w:p>
    <w:p w14:paraId="32FE25C3">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8.2.2中标人无正当理由不与招标人订立合同，在签订合同时向招标人提出附加条件或要求变更实质性合同条款的，取消其中标资格，投标保证金不予退还。投标保证金以投标保证保险方式递交的，招标人作为被保险人有权发起保证保险赔偿，保险人有权向投保人（投标人）进行等额追偿。</w:t>
      </w:r>
    </w:p>
    <w:p w14:paraId="778DC8ED">
      <w:pPr>
        <w:keepNext/>
        <w:keepLines/>
        <w:tabs>
          <w:tab w:val="right" w:pos="9638"/>
        </w:tabs>
        <w:adjustRightInd w:val="0"/>
        <w:snapToGrid w:val="0"/>
        <w:spacing w:before="120" w:after="120" w:line="360" w:lineRule="auto"/>
        <w:jc w:val="left"/>
        <w:outlineLvl w:val="1"/>
        <w:rPr>
          <w:rFonts w:ascii="仿宋" w:hAnsi="仿宋" w:eastAsia="仿宋" w:cs="仿宋"/>
          <w:b/>
          <w:sz w:val="24"/>
        </w:rPr>
      </w:pPr>
      <w:bookmarkStart w:id="737" w:name="_Toc152042357"/>
      <w:bookmarkStart w:id="738" w:name="_Toc247085738"/>
      <w:bookmarkStart w:id="739" w:name="_Toc144974547"/>
      <w:bookmarkStart w:id="740" w:name="_Toc246996224"/>
      <w:bookmarkStart w:id="741" w:name="_Toc179632598"/>
      <w:bookmarkStart w:id="742" w:name="_Toc246996967"/>
      <w:bookmarkStart w:id="743" w:name="_Toc152045580"/>
      <w:bookmarkStart w:id="744" w:name="_Toc20514"/>
      <w:bookmarkStart w:id="745" w:name="_Toc24713"/>
      <w:bookmarkStart w:id="746" w:name="_Toc12911"/>
      <w:bookmarkStart w:id="747" w:name="_Toc23625"/>
      <w:bookmarkStart w:id="748" w:name="_Toc109124281"/>
      <w:r>
        <w:rPr>
          <w:rStyle w:val="51"/>
          <w:rFonts w:hint="eastAsia" w:ascii="仿宋" w:hAnsi="仿宋" w:cs="仿宋"/>
        </w:rPr>
        <w:t>9</w:t>
      </w:r>
      <w:bookmarkEnd w:id="737"/>
      <w:bookmarkEnd w:id="738"/>
      <w:bookmarkEnd w:id="739"/>
      <w:bookmarkEnd w:id="740"/>
      <w:bookmarkEnd w:id="741"/>
      <w:bookmarkEnd w:id="742"/>
      <w:bookmarkEnd w:id="743"/>
      <w:r>
        <w:rPr>
          <w:rStyle w:val="51"/>
          <w:rFonts w:hint="eastAsia" w:ascii="仿宋" w:hAnsi="仿宋" w:cs="仿宋"/>
        </w:rPr>
        <w:t>.招标代理服务费</w:t>
      </w:r>
      <w:bookmarkEnd w:id="744"/>
      <w:bookmarkEnd w:id="745"/>
      <w:bookmarkEnd w:id="746"/>
      <w:bookmarkEnd w:id="747"/>
      <w:bookmarkEnd w:id="748"/>
      <w:r>
        <w:rPr>
          <w:rFonts w:hint="eastAsia" w:ascii="仿宋" w:hAnsi="仿宋" w:eastAsia="仿宋" w:cs="仿宋"/>
          <w:b/>
          <w:sz w:val="24"/>
        </w:rPr>
        <w:tab/>
      </w:r>
    </w:p>
    <w:p w14:paraId="60A5E28D">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招标人/中标人应当按照招标文件规定交纳招标代理服务费，招标人和招标代理机构另有约定的从其规定。招标代理服务费的金额、形式及交纳时限见投标人须知前附表。</w:t>
      </w:r>
    </w:p>
    <w:p w14:paraId="59C6AE09">
      <w:pPr>
        <w:pStyle w:val="4"/>
        <w:rPr>
          <w:rFonts w:ascii="仿宋" w:hAnsi="仿宋" w:cs="仿宋"/>
        </w:rPr>
      </w:pPr>
      <w:bookmarkStart w:id="749" w:name="_Toc19807"/>
      <w:bookmarkStart w:id="750" w:name="_Toc11547"/>
      <w:bookmarkStart w:id="751" w:name="_Toc18001"/>
      <w:bookmarkStart w:id="752" w:name="_Toc27078"/>
      <w:bookmarkStart w:id="753" w:name="_Toc109124282"/>
      <w:r>
        <w:rPr>
          <w:rFonts w:hint="eastAsia" w:ascii="仿宋" w:hAnsi="仿宋" w:cs="仿宋"/>
        </w:rPr>
        <w:t>10.纪律和监督</w:t>
      </w:r>
      <w:bookmarkEnd w:id="749"/>
      <w:bookmarkEnd w:id="750"/>
      <w:bookmarkEnd w:id="751"/>
      <w:bookmarkEnd w:id="752"/>
      <w:bookmarkEnd w:id="753"/>
    </w:p>
    <w:p w14:paraId="1804A57F">
      <w:pPr>
        <w:pStyle w:val="5"/>
        <w:spacing w:line="360" w:lineRule="auto"/>
        <w:rPr>
          <w:rFonts w:hint="default" w:ascii="仿宋" w:hAnsi="仿宋" w:cs="仿宋"/>
        </w:rPr>
      </w:pPr>
      <w:bookmarkStart w:id="754" w:name="_Toc60224369"/>
      <w:bookmarkStart w:id="755" w:name="_Toc9807"/>
      <w:bookmarkStart w:id="756" w:name="_Toc2171"/>
      <w:bookmarkStart w:id="757" w:name="_Toc464"/>
      <w:bookmarkStart w:id="758" w:name="_Toc23835"/>
      <w:bookmarkStart w:id="759" w:name="_Toc71192002"/>
      <w:bookmarkStart w:id="760" w:name="_Toc109124283"/>
      <w:bookmarkStart w:id="761" w:name="_Toc23732"/>
      <w:bookmarkStart w:id="762" w:name="_Toc26827"/>
      <w:r>
        <w:rPr>
          <w:rFonts w:ascii="仿宋" w:hAnsi="仿宋" w:cs="仿宋"/>
        </w:rPr>
        <w:t>10.1 对招标人的纪律要求</w:t>
      </w:r>
      <w:bookmarkEnd w:id="754"/>
      <w:bookmarkEnd w:id="755"/>
      <w:bookmarkEnd w:id="756"/>
      <w:bookmarkEnd w:id="757"/>
      <w:bookmarkEnd w:id="758"/>
      <w:bookmarkEnd w:id="759"/>
      <w:bookmarkEnd w:id="760"/>
      <w:bookmarkEnd w:id="761"/>
      <w:bookmarkEnd w:id="762"/>
    </w:p>
    <w:p w14:paraId="772FAC1B">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10.1.1招标人不得向他人透露已获取招标文件的潜在投标人的名称、数量以及可能影响公平竞争的有关招标投标的其他情况。招标人设有标底的，标底必须保密。</w:t>
      </w:r>
    </w:p>
    <w:p w14:paraId="3F2A6C84">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10.1.2招标人不得向评标委员会明示或者暗示其倾向或者排斥特定投标人。不得透露对投标文件的评审和比较、中标候选人的推荐情况以及评标有关的其他情况</w:t>
      </w:r>
    </w:p>
    <w:p w14:paraId="01DB9669">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10.1.3招标人不得与投标人串通投标，损害国家利益、社会公共利益或者他人合法权益。</w:t>
      </w:r>
    </w:p>
    <w:p w14:paraId="7510488A">
      <w:pPr>
        <w:pStyle w:val="5"/>
        <w:spacing w:line="360" w:lineRule="auto"/>
        <w:rPr>
          <w:rFonts w:hint="default" w:ascii="仿宋" w:hAnsi="仿宋" w:cs="仿宋"/>
        </w:rPr>
      </w:pPr>
      <w:bookmarkStart w:id="763" w:name="_Toc17022"/>
      <w:bookmarkStart w:id="764" w:name="_Toc29897"/>
      <w:bookmarkStart w:id="765" w:name="_Toc109124284"/>
      <w:bookmarkStart w:id="766" w:name="_Toc3262"/>
      <w:bookmarkStart w:id="767" w:name="_Toc19090"/>
      <w:bookmarkStart w:id="768" w:name="_Toc60224370"/>
      <w:bookmarkStart w:id="769" w:name="_Toc71192003"/>
      <w:bookmarkStart w:id="770" w:name="_Toc26437"/>
      <w:bookmarkStart w:id="771" w:name="_Toc7065"/>
      <w:r>
        <w:rPr>
          <w:rFonts w:ascii="仿宋" w:hAnsi="仿宋" w:cs="仿宋"/>
        </w:rPr>
        <w:t>10.2 对投标人的纪律要求</w:t>
      </w:r>
      <w:bookmarkEnd w:id="763"/>
      <w:bookmarkEnd w:id="764"/>
      <w:bookmarkEnd w:id="765"/>
      <w:bookmarkEnd w:id="766"/>
      <w:bookmarkEnd w:id="767"/>
      <w:bookmarkEnd w:id="768"/>
      <w:bookmarkEnd w:id="769"/>
      <w:bookmarkEnd w:id="770"/>
      <w:bookmarkEnd w:id="771"/>
    </w:p>
    <w:p w14:paraId="7E93CB6B">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10.2.1投标人不得相互串通投标，不得排挤其他投标人的公平竞争，损害招标人或者其他投标人的合法权益。</w:t>
      </w:r>
    </w:p>
    <w:p w14:paraId="3EDF93B3">
      <w:pPr>
        <w:pStyle w:val="31"/>
        <w:spacing w:line="360" w:lineRule="auto"/>
        <w:ind w:firstLine="480" w:firstLineChars="200"/>
        <w:rPr>
          <w:rFonts w:ascii="仿宋" w:hAnsi="仿宋" w:eastAsia="仿宋" w:cs="仿宋"/>
        </w:rPr>
      </w:pPr>
      <w:r>
        <w:rPr>
          <w:rFonts w:hint="eastAsia" w:ascii="仿宋" w:hAnsi="仿宋" w:eastAsia="仿宋" w:cs="仿宋"/>
          <w:szCs w:val="24"/>
        </w:rPr>
        <w:t>10.2.2投标人不得与招标人串通投标，</w:t>
      </w:r>
      <w:r>
        <w:rPr>
          <w:rFonts w:hint="eastAsia" w:ascii="仿宋" w:hAnsi="仿宋" w:eastAsia="仿宋" w:cs="仿宋"/>
        </w:rPr>
        <w:t>损害国家利益、社会公共利益或者他人的合法权益。</w:t>
      </w:r>
    </w:p>
    <w:p w14:paraId="6EE2A6D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10.2.3禁止投标人以向招标人或者评标委员会成员行贿的手段谋取中标。</w:t>
      </w:r>
    </w:p>
    <w:p w14:paraId="729A1359">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10.2.4投标人不得以低于成本的报价竞标，不得以他人名义投标或者以其他方式弄虚作假，骗取中标。</w:t>
      </w:r>
    </w:p>
    <w:p w14:paraId="6C7C6E7F">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10.2.5投标人不得非法干扰、影响评标的过程和结果。</w:t>
      </w:r>
    </w:p>
    <w:p w14:paraId="1D4230DB">
      <w:pPr>
        <w:pStyle w:val="5"/>
        <w:spacing w:line="360" w:lineRule="auto"/>
        <w:rPr>
          <w:rFonts w:hint="default" w:ascii="仿宋" w:hAnsi="仿宋" w:cs="仿宋"/>
        </w:rPr>
      </w:pPr>
      <w:bookmarkStart w:id="772" w:name="_Toc13014"/>
      <w:bookmarkStart w:id="773" w:name="_Toc4098"/>
      <w:bookmarkStart w:id="774" w:name="_Toc4019"/>
      <w:bookmarkStart w:id="775" w:name="_Toc71192004"/>
      <w:bookmarkStart w:id="776" w:name="_Toc8155"/>
      <w:bookmarkStart w:id="777" w:name="_Toc60224371"/>
      <w:bookmarkStart w:id="778" w:name="_Toc3658"/>
      <w:bookmarkStart w:id="779" w:name="_Toc16868"/>
      <w:bookmarkStart w:id="780" w:name="_Toc109124285"/>
      <w:r>
        <w:rPr>
          <w:rFonts w:ascii="仿宋" w:hAnsi="仿宋" w:cs="仿宋"/>
        </w:rPr>
        <w:t>10.3 对评标委员会成员的纪律要求</w:t>
      </w:r>
      <w:bookmarkEnd w:id="772"/>
      <w:bookmarkEnd w:id="773"/>
      <w:bookmarkEnd w:id="774"/>
      <w:bookmarkEnd w:id="775"/>
      <w:bookmarkEnd w:id="776"/>
      <w:bookmarkEnd w:id="777"/>
      <w:bookmarkEnd w:id="778"/>
      <w:bookmarkEnd w:id="779"/>
      <w:bookmarkEnd w:id="780"/>
    </w:p>
    <w:p w14:paraId="5C6F8CFC">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10.3.1评标委员会成员应当客观、公正地履行职务，遵守职业道德，对所提出的评审意见承担个人责任。</w:t>
      </w:r>
    </w:p>
    <w:p w14:paraId="2F9E9AAE">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10.3.2评标委员会成员与投标人有利害关系的，应当主动回避，不得进入相关项目的评标委员会，已经进入的应当更换。</w:t>
      </w:r>
    </w:p>
    <w:p w14:paraId="3C4F017B">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10.3.3评标委员会成员不得私下接触投标人，不得收受投标人给予的财物或者其他好处。</w:t>
      </w:r>
    </w:p>
    <w:p w14:paraId="5D313B87">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10.3.4评标委员会成员不得透露对投标文件的评审和比较、中标候选人的推荐情况以及与评标有关的其他情况。</w:t>
      </w:r>
    </w:p>
    <w:p w14:paraId="4EAFBA59">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10.3.5评标委员会成员不得按照招标文件规定外的评标标准和方法进行评标，不得向招标人征询确定中标人的意向，不得接受任何单位或者个人明示或者暗示提出的倾向或者排斥特定投标人的要求，不得对依法应当否决的投标不提出否决意见。</w:t>
      </w:r>
    </w:p>
    <w:p w14:paraId="52C8E5CF">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10.3.6评标委员会成员不得暗示或者诱导投标人作出澄清、说明，不得接受投标人主动提出的澄清、说明。</w:t>
      </w:r>
    </w:p>
    <w:p w14:paraId="5A62C6E0">
      <w:pPr>
        <w:pStyle w:val="5"/>
        <w:spacing w:line="360" w:lineRule="auto"/>
        <w:rPr>
          <w:rFonts w:hint="default" w:ascii="仿宋" w:hAnsi="仿宋" w:cs="仿宋"/>
        </w:rPr>
      </w:pPr>
      <w:bookmarkStart w:id="781" w:name="_Toc109124286"/>
      <w:bookmarkStart w:id="782" w:name="_Toc7587"/>
      <w:bookmarkStart w:id="783" w:name="_Toc11535"/>
      <w:bookmarkStart w:id="784" w:name="_Toc71192005"/>
      <w:bookmarkStart w:id="785" w:name="_Toc16728"/>
      <w:bookmarkStart w:id="786" w:name="_Toc15619"/>
      <w:bookmarkStart w:id="787" w:name="_Toc5859"/>
      <w:bookmarkStart w:id="788" w:name="_Toc60224372"/>
      <w:bookmarkStart w:id="789" w:name="_Toc26531"/>
      <w:r>
        <w:rPr>
          <w:rFonts w:ascii="仿宋" w:hAnsi="仿宋" w:cs="仿宋"/>
        </w:rPr>
        <w:t>10.4 对招标代理机构的纪律要求</w:t>
      </w:r>
      <w:bookmarkEnd w:id="781"/>
      <w:bookmarkEnd w:id="782"/>
      <w:bookmarkEnd w:id="783"/>
      <w:bookmarkEnd w:id="784"/>
      <w:bookmarkEnd w:id="785"/>
      <w:bookmarkEnd w:id="786"/>
      <w:bookmarkEnd w:id="787"/>
      <w:bookmarkEnd w:id="788"/>
      <w:bookmarkEnd w:id="789"/>
    </w:p>
    <w:p w14:paraId="122B7E8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10.4.1招标代理机构不得泄露应当保密的与招标投标活动有关的情况和资料，不得向他人透露对投标文件的评审和比较、中标候选人的推荐情况以及评标有关的其他情况，不得与招标人、投标人串通损害国家利益、社会公共利益或者他人合法权益。</w:t>
      </w:r>
    </w:p>
    <w:p w14:paraId="61812BDC">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10.4.2招标代理机构不得在所代理的招标项目中投标、代理投标，不得为所代理的招标项目的投标人编制投标文件、提供咨询，不得接受委托编制标底的中介机构参加受托编制标底项目的投标。</w:t>
      </w:r>
    </w:p>
    <w:p w14:paraId="761B15F7">
      <w:pPr>
        <w:pStyle w:val="5"/>
        <w:spacing w:line="360" w:lineRule="auto"/>
        <w:rPr>
          <w:rFonts w:hint="default" w:ascii="仿宋" w:hAnsi="仿宋" w:cs="仿宋"/>
        </w:rPr>
      </w:pPr>
      <w:bookmarkStart w:id="790" w:name="_Toc109124287"/>
      <w:bookmarkStart w:id="791" w:name="_Toc26462"/>
      <w:bookmarkStart w:id="792" w:name="_Toc6757"/>
      <w:bookmarkStart w:id="793" w:name="_Toc11775"/>
      <w:bookmarkStart w:id="794" w:name="_Toc31487"/>
      <w:bookmarkStart w:id="795" w:name="_Toc71192006"/>
      <w:bookmarkStart w:id="796" w:name="_Toc7994"/>
      <w:bookmarkStart w:id="797" w:name="_Toc60224373"/>
      <w:bookmarkStart w:id="798" w:name="_Toc27943"/>
      <w:r>
        <w:rPr>
          <w:rFonts w:ascii="仿宋" w:hAnsi="仿宋" w:cs="仿宋"/>
        </w:rPr>
        <w:t>10.5 对与评标活动有关的工作人员的纪律要求</w:t>
      </w:r>
      <w:bookmarkEnd w:id="790"/>
      <w:bookmarkEnd w:id="791"/>
      <w:bookmarkEnd w:id="792"/>
      <w:bookmarkEnd w:id="793"/>
      <w:bookmarkEnd w:id="794"/>
      <w:bookmarkEnd w:id="795"/>
      <w:bookmarkEnd w:id="796"/>
    </w:p>
    <w:p w14:paraId="42BFDF6B">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与评标活动有关的工作人员不得向他人透露对投标文件的评审和比较、中标候选人的推荐情况以及与评标有关的其他情况。</w:t>
      </w:r>
    </w:p>
    <w:bookmarkEnd w:id="797"/>
    <w:bookmarkEnd w:id="798"/>
    <w:p w14:paraId="2E8B1025">
      <w:pPr>
        <w:pStyle w:val="4"/>
        <w:numPr>
          <w:ilvl w:val="0"/>
          <w:numId w:val="3"/>
        </w:numPr>
        <w:rPr>
          <w:rFonts w:ascii="仿宋" w:hAnsi="仿宋" w:cs="仿宋"/>
        </w:rPr>
      </w:pPr>
      <w:bookmarkStart w:id="799" w:name="_Toc71192010"/>
      <w:bookmarkStart w:id="800" w:name="_Toc15474"/>
      <w:bookmarkStart w:id="801" w:name="_Toc18345"/>
      <w:bookmarkStart w:id="802" w:name="_Toc29072"/>
      <w:bookmarkStart w:id="803" w:name="_Toc17682"/>
      <w:r>
        <w:rPr>
          <w:rFonts w:hint="eastAsia" w:ascii="仿宋" w:hAnsi="仿宋" w:cs="仿宋"/>
        </w:rPr>
        <w:t>需要补充的其他内容</w:t>
      </w:r>
      <w:bookmarkEnd w:id="799"/>
      <w:bookmarkEnd w:id="800"/>
      <w:bookmarkEnd w:id="801"/>
      <w:bookmarkEnd w:id="802"/>
      <w:bookmarkEnd w:id="803"/>
    </w:p>
    <w:p w14:paraId="0284F5E2">
      <w:pPr>
        <w:widowControl/>
        <w:topLinePunct/>
        <w:spacing w:line="360" w:lineRule="auto"/>
        <w:ind w:firstLine="480" w:firstLineChars="200"/>
        <w:rPr>
          <w:rFonts w:ascii="仿宋" w:hAnsi="仿宋" w:eastAsia="仿宋" w:cs="仿宋"/>
          <w:kern w:val="0"/>
        </w:rPr>
      </w:pPr>
      <w:r>
        <w:rPr>
          <w:rFonts w:hint="eastAsia" w:ascii="仿宋" w:hAnsi="仿宋" w:eastAsia="仿宋" w:cs="仿宋"/>
          <w:kern w:val="0"/>
          <w:sz w:val="24"/>
          <w:szCs w:val="24"/>
        </w:rPr>
        <w:t>需要补充的其他内容：见投标人须知前附表。</w:t>
      </w:r>
    </w:p>
    <w:p w14:paraId="3D12BBDD">
      <w:pPr>
        <w:widowControl/>
        <w:topLinePunct/>
        <w:spacing w:line="360" w:lineRule="auto"/>
        <w:ind w:firstLine="480"/>
        <w:rPr>
          <w:rFonts w:ascii="仿宋" w:hAnsi="仿宋" w:eastAsia="仿宋" w:cs="仿宋"/>
          <w:kern w:val="0"/>
        </w:rPr>
      </w:pPr>
    </w:p>
    <w:p w14:paraId="60741A6B">
      <w:pPr>
        <w:spacing w:before="120" w:after="120" w:line="360" w:lineRule="auto"/>
        <w:rPr>
          <w:rFonts w:ascii="仿宋" w:hAnsi="仿宋" w:eastAsia="仿宋" w:cs="仿宋"/>
          <w:b/>
          <w:sz w:val="24"/>
        </w:rPr>
      </w:pPr>
    </w:p>
    <w:p w14:paraId="751F6E02">
      <w:pPr>
        <w:pStyle w:val="3"/>
        <w:spacing w:before="0" w:after="0" w:line="360" w:lineRule="auto"/>
        <w:rPr>
          <w:rFonts w:ascii="仿宋" w:hAnsi="仿宋" w:cs="仿宋"/>
        </w:rPr>
      </w:pPr>
      <w:r>
        <w:rPr>
          <w:rFonts w:hint="eastAsia" w:ascii="仿宋" w:hAnsi="仿宋" w:cs="仿宋"/>
          <w:b w:val="0"/>
          <w:sz w:val="32"/>
        </w:rPr>
        <w:br w:type="page"/>
      </w:r>
      <w:bookmarkEnd w:id="115"/>
      <w:bookmarkEnd w:id="116"/>
      <w:bookmarkStart w:id="804" w:name="_Toc152045598"/>
      <w:bookmarkStart w:id="805" w:name="_Toc152042375"/>
      <w:bookmarkStart w:id="806" w:name="_Toc179632616"/>
      <w:bookmarkStart w:id="807" w:name="_Toc32021"/>
      <w:bookmarkStart w:id="808" w:name="_Toc65682980"/>
      <w:bookmarkStart w:id="809" w:name="_Toc28186"/>
      <w:bookmarkStart w:id="810" w:name="_Toc246996241"/>
      <w:bookmarkStart w:id="811" w:name="_Toc246996984"/>
      <w:bookmarkStart w:id="812" w:name="_Toc485225388"/>
      <w:bookmarkStart w:id="813" w:name="_Toc144974565"/>
      <w:bookmarkStart w:id="814" w:name="_Toc109124288"/>
      <w:bookmarkStart w:id="815" w:name="_Toc247085756"/>
      <w:r>
        <w:rPr>
          <w:rFonts w:hint="eastAsia" w:ascii="仿宋" w:hAnsi="仿宋" w:cs="仿宋"/>
        </w:rPr>
        <w:t>第三章 评标办法</w:t>
      </w:r>
      <w:bookmarkEnd w:id="804"/>
      <w:bookmarkEnd w:id="805"/>
      <w:bookmarkEnd w:id="806"/>
      <w:bookmarkEnd w:id="807"/>
      <w:bookmarkEnd w:id="808"/>
      <w:bookmarkEnd w:id="809"/>
      <w:bookmarkEnd w:id="810"/>
      <w:bookmarkEnd w:id="811"/>
      <w:bookmarkEnd w:id="812"/>
      <w:bookmarkEnd w:id="813"/>
      <w:bookmarkEnd w:id="814"/>
      <w:bookmarkEnd w:id="815"/>
    </w:p>
    <w:p w14:paraId="5995775A">
      <w:pPr>
        <w:pStyle w:val="4"/>
        <w:spacing w:before="0" w:after="0"/>
        <w:jc w:val="center"/>
        <w:rPr>
          <w:rFonts w:ascii="仿宋" w:hAnsi="仿宋" w:cs="仿宋"/>
          <w:szCs w:val="24"/>
        </w:rPr>
      </w:pPr>
      <w:bookmarkStart w:id="816" w:name="_Toc1047"/>
      <w:bookmarkStart w:id="817" w:name="_Toc109124289"/>
      <w:bookmarkStart w:id="818" w:name="_Toc65682981"/>
      <w:bookmarkStart w:id="819" w:name="_Toc1700"/>
      <w:bookmarkStart w:id="820" w:name="_Toc29379"/>
      <w:r>
        <w:rPr>
          <w:rFonts w:hint="eastAsia" w:ascii="仿宋" w:hAnsi="仿宋" w:cs="仿宋"/>
          <w:szCs w:val="24"/>
        </w:rPr>
        <w:t>评标办法前附表</w:t>
      </w:r>
      <w:bookmarkEnd w:id="816"/>
      <w:bookmarkEnd w:id="817"/>
      <w:bookmarkEnd w:id="818"/>
      <w:bookmarkEnd w:id="819"/>
      <w:bookmarkEnd w:id="820"/>
    </w:p>
    <w:p w14:paraId="19B515BA">
      <w:pPr>
        <w:snapToGrid w:val="0"/>
        <w:spacing w:line="360" w:lineRule="auto"/>
        <w:textAlignment w:val="baseline"/>
        <w:rPr>
          <w:rFonts w:ascii="仿宋" w:hAnsi="仿宋" w:eastAsia="仿宋" w:cs="仿宋"/>
          <w:b/>
          <w:sz w:val="24"/>
          <w:szCs w:val="24"/>
        </w:rPr>
      </w:pPr>
      <w:r>
        <w:rPr>
          <w:rFonts w:hint="eastAsia" w:ascii="仿宋" w:hAnsi="仿宋" w:eastAsia="仿宋" w:cs="仿宋"/>
          <w:b/>
          <w:sz w:val="24"/>
          <w:szCs w:val="24"/>
        </w:rPr>
        <w:t>本评标办法前附表是对评标办法正文的具体补充和修改，如有矛盾，以本前附表为准。</w:t>
      </w:r>
    </w:p>
    <w:p w14:paraId="06A8415F">
      <w:pPr>
        <w:adjustRightInd w:val="0"/>
        <w:snapToGrid w:val="0"/>
        <w:spacing w:line="360" w:lineRule="auto"/>
        <w:rPr>
          <w:rFonts w:ascii="仿宋" w:hAnsi="仿宋" w:eastAsia="仿宋" w:cs="仿宋"/>
          <w:sz w:val="24"/>
          <w:szCs w:val="24"/>
        </w:rPr>
      </w:pPr>
      <w:r>
        <w:rPr>
          <w:rFonts w:hint="eastAsia" w:ascii="仿宋" w:hAnsi="仿宋" w:eastAsia="仿宋" w:cs="仿宋"/>
          <w:sz w:val="24"/>
          <w:szCs w:val="24"/>
        </w:rPr>
        <w:t>本项目采用综合评分法，总分共100分。</w:t>
      </w:r>
    </w:p>
    <w:p w14:paraId="3971E6B6">
      <w:pPr>
        <w:pStyle w:val="5"/>
        <w:numPr>
          <w:ilvl w:val="0"/>
          <w:numId w:val="4"/>
        </w:numPr>
        <w:snapToGrid w:val="0"/>
        <w:spacing w:before="0" w:after="0" w:line="360" w:lineRule="auto"/>
        <w:rPr>
          <w:rFonts w:hint="default" w:ascii="仿宋" w:hAnsi="仿宋" w:cs="仿宋"/>
          <w:szCs w:val="24"/>
        </w:rPr>
      </w:pPr>
      <w:bookmarkStart w:id="821" w:name="_Toc22942"/>
      <w:bookmarkStart w:id="822" w:name="_Toc25710"/>
      <w:bookmarkStart w:id="823" w:name="_Toc31741"/>
      <w:bookmarkStart w:id="824" w:name="_Toc25653"/>
      <w:bookmarkStart w:id="825" w:name="_Toc6462"/>
      <w:bookmarkStart w:id="826" w:name="_Toc11541"/>
      <w:bookmarkStart w:id="827" w:name="_Toc65682982"/>
      <w:bookmarkStart w:id="828" w:name="_Toc109124290"/>
      <w:r>
        <w:rPr>
          <w:rFonts w:ascii="仿宋" w:hAnsi="仿宋" w:cs="仿宋"/>
          <w:szCs w:val="24"/>
        </w:rPr>
        <w:t>初步评审标准</w:t>
      </w:r>
      <w:bookmarkEnd w:id="821"/>
      <w:bookmarkEnd w:id="822"/>
      <w:bookmarkEnd w:id="823"/>
      <w:bookmarkEnd w:id="824"/>
      <w:bookmarkEnd w:id="825"/>
      <w:bookmarkEnd w:id="826"/>
      <w:bookmarkEnd w:id="827"/>
      <w:bookmarkEnd w:id="828"/>
    </w:p>
    <w:tbl>
      <w:tblPr>
        <w:tblStyle w:val="33"/>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727"/>
        <w:gridCol w:w="1370"/>
        <w:gridCol w:w="2011"/>
        <w:gridCol w:w="5557"/>
      </w:tblGrid>
      <w:tr w14:paraId="2CF29B2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2097" w:type="dxa"/>
            <w:gridSpan w:val="2"/>
            <w:vAlign w:val="center"/>
          </w:tcPr>
          <w:p w14:paraId="78998EDC">
            <w:pPr>
              <w:widowControl/>
              <w:snapToGrid w:val="0"/>
              <w:spacing w:line="360" w:lineRule="auto"/>
              <w:jc w:val="center"/>
              <w:rPr>
                <w:rFonts w:ascii="仿宋" w:hAnsi="仿宋" w:eastAsia="仿宋" w:cs="仿宋"/>
                <w:b/>
                <w:kern w:val="0"/>
                <w:sz w:val="24"/>
                <w:szCs w:val="24"/>
              </w:rPr>
            </w:pPr>
            <w:bookmarkStart w:id="829" w:name="_Toc109124291"/>
            <w:r>
              <w:rPr>
                <w:rFonts w:hint="eastAsia" w:ascii="仿宋" w:hAnsi="仿宋" w:eastAsia="仿宋" w:cs="仿宋"/>
                <w:b/>
                <w:kern w:val="0"/>
                <w:sz w:val="24"/>
                <w:szCs w:val="24"/>
              </w:rPr>
              <w:t>条款号</w:t>
            </w:r>
          </w:p>
        </w:tc>
        <w:tc>
          <w:tcPr>
            <w:tcW w:w="2011" w:type="dxa"/>
            <w:vAlign w:val="center"/>
          </w:tcPr>
          <w:p w14:paraId="7F703607">
            <w:pPr>
              <w:widowControl/>
              <w:snapToGrid w:val="0"/>
              <w:spacing w:line="360" w:lineRule="auto"/>
              <w:jc w:val="center"/>
              <w:rPr>
                <w:rFonts w:ascii="仿宋" w:hAnsi="仿宋" w:eastAsia="仿宋" w:cs="仿宋"/>
                <w:b/>
                <w:kern w:val="0"/>
                <w:sz w:val="24"/>
                <w:szCs w:val="24"/>
              </w:rPr>
            </w:pPr>
            <w:r>
              <w:rPr>
                <w:rFonts w:hint="eastAsia" w:ascii="仿宋" w:hAnsi="仿宋" w:eastAsia="仿宋" w:cs="仿宋"/>
                <w:b/>
                <w:kern w:val="0"/>
                <w:sz w:val="24"/>
                <w:szCs w:val="24"/>
              </w:rPr>
              <w:t>评审因素</w:t>
            </w:r>
          </w:p>
        </w:tc>
        <w:tc>
          <w:tcPr>
            <w:tcW w:w="5557" w:type="dxa"/>
            <w:vAlign w:val="center"/>
          </w:tcPr>
          <w:p w14:paraId="1B097724">
            <w:pPr>
              <w:widowControl/>
              <w:snapToGrid w:val="0"/>
              <w:spacing w:line="360" w:lineRule="auto"/>
              <w:jc w:val="center"/>
              <w:rPr>
                <w:rFonts w:ascii="仿宋" w:hAnsi="仿宋" w:eastAsia="仿宋" w:cs="仿宋"/>
                <w:b/>
                <w:kern w:val="0"/>
                <w:sz w:val="24"/>
                <w:szCs w:val="24"/>
              </w:rPr>
            </w:pPr>
            <w:r>
              <w:rPr>
                <w:rFonts w:hint="eastAsia" w:ascii="仿宋" w:hAnsi="仿宋" w:eastAsia="仿宋" w:cs="仿宋"/>
                <w:b/>
                <w:kern w:val="0"/>
                <w:sz w:val="24"/>
                <w:szCs w:val="24"/>
              </w:rPr>
              <w:t>评审标准</w:t>
            </w:r>
          </w:p>
        </w:tc>
      </w:tr>
      <w:tr w14:paraId="02C8942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727" w:type="dxa"/>
            <w:vMerge w:val="restart"/>
            <w:vAlign w:val="center"/>
          </w:tcPr>
          <w:p w14:paraId="5450A298">
            <w:pPr>
              <w:widowControl/>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1370" w:type="dxa"/>
            <w:vMerge w:val="restart"/>
            <w:vAlign w:val="center"/>
          </w:tcPr>
          <w:p w14:paraId="3EB2FBFA">
            <w:pPr>
              <w:widowControl/>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形式评审标准</w:t>
            </w:r>
          </w:p>
        </w:tc>
        <w:tc>
          <w:tcPr>
            <w:tcW w:w="2011" w:type="dxa"/>
            <w:vAlign w:val="center"/>
          </w:tcPr>
          <w:p w14:paraId="43A17DC5">
            <w:pPr>
              <w:snapToGrid w:val="0"/>
              <w:spacing w:line="360" w:lineRule="auto"/>
              <w:jc w:val="center"/>
              <w:rPr>
                <w:rFonts w:ascii="仿宋" w:hAnsi="仿宋" w:eastAsia="仿宋" w:cs="仿宋"/>
                <w:kern w:val="0"/>
                <w:sz w:val="24"/>
                <w:szCs w:val="24"/>
              </w:rPr>
            </w:pPr>
            <w:r>
              <w:rPr>
                <w:rFonts w:hint="eastAsia" w:ascii="仿宋" w:hAnsi="仿宋" w:eastAsia="仿宋" w:cs="仿宋"/>
                <w:sz w:val="24"/>
                <w:szCs w:val="24"/>
              </w:rPr>
              <w:t>投标人名称</w:t>
            </w:r>
          </w:p>
        </w:tc>
        <w:tc>
          <w:tcPr>
            <w:tcW w:w="5557" w:type="dxa"/>
            <w:vAlign w:val="center"/>
          </w:tcPr>
          <w:p w14:paraId="00F1466F">
            <w:pPr>
              <w:snapToGrid w:val="0"/>
              <w:spacing w:line="360" w:lineRule="auto"/>
              <w:jc w:val="left"/>
              <w:rPr>
                <w:rFonts w:ascii="仿宋" w:hAnsi="仿宋" w:eastAsia="仿宋" w:cs="仿宋"/>
                <w:kern w:val="0"/>
                <w:sz w:val="24"/>
                <w:szCs w:val="24"/>
              </w:rPr>
            </w:pPr>
            <w:r>
              <w:rPr>
                <w:rFonts w:hint="eastAsia" w:ascii="仿宋" w:hAnsi="仿宋" w:eastAsia="仿宋" w:cs="仿宋"/>
                <w:sz w:val="24"/>
                <w:szCs w:val="24"/>
              </w:rPr>
              <w:t>公章名称与企业营业执照、资质证书（如有）等其他证书一致。</w:t>
            </w:r>
          </w:p>
        </w:tc>
      </w:tr>
      <w:tr w14:paraId="3DB765E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727" w:type="dxa"/>
            <w:vMerge w:val="continue"/>
            <w:vAlign w:val="center"/>
          </w:tcPr>
          <w:p w14:paraId="2F90D7D0">
            <w:pPr>
              <w:widowControl/>
              <w:snapToGrid w:val="0"/>
              <w:spacing w:line="360" w:lineRule="auto"/>
              <w:jc w:val="center"/>
              <w:rPr>
                <w:rFonts w:ascii="仿宋" w:hAnsi="仿宋" w:eastAsia="仿宋" w:cs="仿宋"/>
                <w:kern w:val="0"/>
                <w:sz w:val="24"/>
                <w:szCs w:val="24"/>
              </w:rPr>
            </w:pPr>
          </w:p>
        </w:tc>
        <w:tc>
          <w:tcPr>
            <w:tcW w:w="1370" w:type="dxa"/>
            <w:vMerge w:val="continue"/>
            <w:vAlign w:val="center"/>
          </w:tcPr>
          <w:p w14:paraId="19B35F7C">
            <w:pPr>
              <w:widowControl/>
              <w:snapToGrid w:val="0"/>
              <w:spacing w:line="360" w:lineRule="auto"/>
              <w:jc w:val="center"/>
              <w:rPr>
                <w:rFonts w:ascii="仿宋" w:hAnsi="仿宋" w:eastAsia="仿宋" w:cs="仿宋"/>
                <w:kern w:val="0"/>
                <w:sz w:val="24"/>
                <w:szCs w:val="24"/>
              </w:rPr>
            </w:pPr>
          </w:p>
        </w:tc>
        <w:tc>
          <w:tcPr>
            <w:tcW w:w="2011" w:type="dxa"/>
            <w:vAlign w:val="center"/>
          </w:tcPr>
          <w:p w14:paraId="11439570">
            <w:pPr>
              <w:snapToGrid w:val="0"/>
              <w:spacing w:line="360" w:lineRule="auto"/>
              <w:jc w:val="center"/>
              <w:rPr>
                <w:rFonts w:ascii="仿宋" w:hAnsi="仿宋" w:eastAsia="仿宋" w:cs="仿宋"/>
                <w:kern w:val="0"/>
                <w:sz w:val="24"/>
                <w:szCs w:val="24"/>
              </w:rPr>
            </w:pPr>
            <w:r>
              <w:rPr>
                <w:rFonts w:hint="eastAsia" w:ascii="仿宋" w:hAnsi="仿宋" w:eastAsia="仿宋" w:cs="仿宋"/>
                <w:sz w:val="24"/>
                <w:szCs w:val="24"/>
              </w:rPr>
              <w:t>法定代表人（负责人）身份证明</w:t>
            </w:r>
          </w:p>
        </w:tc>
        <w:tc>
          <w:tcPr>
            <w:tcW w:w="5557" w:type="dxa"/>
            <w:vAlign w:val="center"/>
          </w:tcPr>
          <w:p w14:paraId="06355547">
            <w:pPr>
              <w:pStyle w:val="140"/>
              <w:topLinePunct/>
              <w:snapToGrid w:val="0"/>
              <w:spacing w:line="360" w:lineRule="auto"/>
              <w:jc w:val="left"/>
              <w:rPr>
                <w:rFonts w:ascii="仿宋" w:hAnsi="仿宋" w:eastAsia="仿宋" w:cs="仿宋"/>
                <w:szCs w:val="24"/>
              </w:rPr>
            </w:pPr>
            <w:r>
              <w:rPr>
                <w:rFonts w:hint="eastAsia" w:ascii="仿宋" w:hAnsi="仿宋" w:eastAsia="仿宋" w:cs="仿宋"/>
                <w:szCs w:val="24"/>
              </w:rPr>
              <w:t>（1）提供法定代表人（负责人）身份证复印件。</w:t>
            </w:r>
          </w:p>
          <w:p w14:paraId="746F2BE8">
            <w:pPr>
              <w:pStyle w:val="140"/>
              <w:topLinePunct/>
              <w:snapToGrid w:val="0"/>
              <w:spacing w:line="360" w:lineRule="auto"/>
              <w:jc w:val="left"/>
              <w:rPr>
                <w:rFonts w:ascii="仿宋" w:hAnsi="仿宋" w:eastAsia="仿宋" w:cs="仿宋"/>
                <w:szCs w:val="24"/>
              </w:rPr>
            </w:pPr>
            <w:r>
              <w:rPr>
                <w:rFonts w:hint="eastAsia" w:ascii="仿宋" w:hAnsi="仿宋" w:eastAsia="仿宋" w:cs="仿宋"/>
                <w:szCs w:val="24"/>
              </w:rPr>
              <w:t>（2）落款加盖公章。</w:t>
            </w:r>
          </w:p>
        </w:tc>
      </w:tr>
      <w:tr w14:paraId="18AE0B6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727" w:type="dxa"/>
            <w:vMerge w:val="continue"/>
            <w:vAlign w:val="center"/>
          </w:tcPr>
          <w:p w14:paraId="64B4B5DD">
            <w:pPr>
              <w:widowControl/>
              <w:snapToGrid w:val="0"/>
              <w:spacing w:line="360" w:lineRule="auto"/>
              <w:jc w:val="left"/>
              <w:rPr>
                <w:rFonts w:ascii="仿宋" w:hAnsi="仿宋" w:eastAsia="仿宋" w:cs="仿宋"/>
                <w:kern w:val="0"/>
                <w:sz w:val="24"/>
                <w:szCs w:val="24"/>
              </w:rPr>
            </w:pPr>
          </w:p>
        </w:tc>
        <w:tc>
          <w:tcPr>
            <w:tcW w:w="1370" w:type="dxa"/>
            <w:vMerge w:val="continue"/>
            <w:vAlign w:val="center"/>
          </w:tcPr>
          <w:p w14:paraId="534E76C0">
            <w:pPr>
              <w:widowControl/>
              <w:snapToGrid w:val="0"/>
              <w:spacing w:line="360" w:lineRule="auto"/>
              <w:jc w:val="left"/>
              <w:rPr>
                <w:rFonts w:ascii="仿宋" w:hAnsi="仿宋" w:eastAsia="仿宋" w:cs="仿宋"/>
                <w:kern w:val="0"/>
                <w:sz w:val="24"/>
                <w:szCs w:val="24"/>
              </w:rPr>
            </w:pPr>
          </w:p>
        </w:tc>
        <w:tc>
          <w:tcPr>
            <w:tcW w:w="2011" w:type="dxa"/>
            <w:vAlign w:val="center"/>
          </w:tcPr>
          <w:p w14:paraId="3E2A852B">
            <w:pPr>
              <w:snapToGrid w:val="0"/>
              <w:spacing w:line="360" w:lineRule="auto"/>
              <w:jc w:val="center"/>
              <w:rPr>
                <w:rFonts w:ascii="仿宋" w:hAnsi="仿宋" w:eastAsia="仿宋" w:cs="仿宋"/>
                <w:spacing w:val="-4"/>
                <w:kern w:val="0"/>
                <w:sz w:val="24"/>
                <w:szCs w:val="24"/>
              </w:rPr>
            </w:pPr>
            <w:r>
              <w:rPr>
                <w:rFonts w:hint="eastAsia" w:ascii="仿宋" w:hAnsi="仿宋" w:eastAsia="仿宋" w:cs="仿宋"/>
                <w:sz w:val="24"/>
                <w:szCs w:val="24"/>
              </w:rPr>
              <w:t>法定代表人（负责人）授权委托书</w:t>
            </w:r>
          </w:p>
        </w:tc>
        <w:tc>
          <w:tcPr>
            <w:tcW w:w="5557" w:type="dxa"/>
            <w:vAlign w:val="center"/>
          </w:tcPr>
          <w:p w14:paraId="50ED723D">
            <w:pPr>
              <w:pStyle w:val="140"/>
              <w:topLinePunct/>
              <w:snapToGrid w:val="0"/>
              <w:spacing w:line="360" w:lineRule="auto"/>
              <w:rPr>
                <w:rFonts w:ascii="仿宋" w:hAnsi="仿宋" w:eastAsia="仿宋" w:cs="仿宋"/>
                <w:szCs w:val="24"/>
              </w:rPr>
            </w:pPr>
            <w:r>
              <w:rPr>
                <w:rFonts w:hint="eastAsia" w:ascii="仿宋" w:hAnsi="仿宋" w:eastAsia="仿宋" w:cs="仿宋"/>
                <w:szCs w:val="24"/>
              </w:rPr>
              <w:t>（1）提供委托代理人身份证复印件。</w:t>
            </w:r>
          </w:p>
          <w:p w14:paraId="37C27C67">
            <w:pPr>
              <w:pStyle w:val="140"/>
              <w:topLinePunct/>
              <w:snapToGrid w:val="0"/>
              <w:spacing w:line="360" w:lineRule="auto"/>
              <w:rPr>
                <w:rFonts w:ascii="仿宋" w:hAnsi="仿宋" w:eastAsia="仿宋" w:cs="仿宋"/>
                <w:szCs w:val="24"/>
              </w:rPr>
            </w:pPr>
            <w:r>
              <w:rPr>
                <w:rFonts w:hint="eastAsia" w:ascii="仿宋" w:hAnsi="仿宋" w:eastAsia="仿宋" w:cs="仿宋"/>
                <w:szCs w:val="24"/>
              </w:rPr>
              <w:t>（2）落款</w:t>
            </w:r>
            <w:r>
              <w:rPr>
                <w:rFonts w:hint="eastAsia" w:ascii="仿宋" w:hAnsi="仿宋" w:eastAsia="仿宋" w:cs="仿宋"/>
                <w:bCs/>
                <w:szCs w:val="24"/>
              </w:rPr>
              <w:t>加盖公章</w:t>
            </w:r>
            <w:r>
              <w:rPr>
                <w:rFonts w:hint="eastAsia" w:ascii="仿宋" w:hAnsi="仿宋" w:eastAsia="仿宋" w:cs="仿宋"/>
                <w:b/>
                <w:bCs/>
                <w:szCs w:val="24"/>
              </w:rPr>
              <w:t>并由</w:t>
            </w:r>
            <w:r>
              <w:rPr>
                <w:rFonts w:hint="eastAsia" w:ascii="仿宋" w:hAnsi="仿宋" w:eastAsia="仿宋" w:cs="仿宋"/>
                <w:szCs w:val="24"/>
              </w:rPr>
              <w:t>法定代表人（负责人）签字</w:t>
            </w:r>
            <w:r>
              <w:rPr>
                <w:rFonts w:hint="eastAsia" w:ascii="仿宋" w:hAnsi="仿宋" w:eastAsia="仿宋" w:cs="仿宋"/>
                <w:b/>
                <w:bCs/>
                <w:szCs w:val="24"/>
              </w:rPr>
              <w:t>和</w:t>
            </w:r>
            <w:r>
              <w:rPr>
                <w:rFonts w:hint="eastAsia" w:ascii="仿宋" w:hAnsi="仿宋" w:eastAsia="仿宋" w:cs="仿宋"/>
                <w:szCs w:val="24"/>
              </w:rPr>
              <w:t>其委托代理人</w:t>
            </w:r>
            <w:r>
              <w:rPr>
                <w:rFonts w:hint="eastAsia" w:ascii="仿宋" w:hAnsi="仿宋" w:eastAsia="仿宋" w:cs="仿宋"/>
                <w:b/>
                <w:bCs/>
                <w:szCs w:val="24"/>
              </w:rPr>
              <w:t>双方</w:t>
            </w:r>
            <w:r>
              <w:rPr>
                <w:rFonts w:hint="eastAsia" w:ascii="仿宋" w:hAnsi="仿宋" w:eastAsia="仿宋" w:cs="仿宋"/>
                <w:bCs/>
                <w:szCs w:val="24"/>
              </w:rPr>
              <w:t>签字。</w:t>
            </w:r>
          </w:p>
        </w:tc>
      </w:tr>
      <w:tr w14:paraId="48C6450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727" w:type="dxa"/>
            <w:vMerge w:val="continue"/>
            <w:vAlign w:val="center"/>
          </w:tcPr>
          <w:p w14:paraId="4B84A974">
            <w:pPr>
              <w:widowControl/>
              <w:snapToGrid w:val="0"/>
              <w:spacing w:line="360" w:lineRule="auto"/>
              <w:jc w:val="left"/>
              <w:rPr>
                <w:rFonts w:ascii="仿宋" w:hAnsi="仿宋" w:eastAsia="仿宋" w:cs="仿宋"/>
                <w:kern w:val="0"/>
                <w:sz w:val="24"/>
                <w:szCs w:val="24"/>
              </w:rPr>
            </w:pPr>
          </w:p>
        </w:tc>
        <w:tc>
          <w:tcPr>
            <w:tcW w:w="1370" w:type="dxa"/>
            <w:vMerge w:val="continue"/>
            <w:vAlign w:val="center"/>
          </w:tcPr>
          <w:p w14:paraId="2423A8B9">
            <w:pPr>
              <w:widowControl/>
              <w:snapToGrid w:val="0"/>
              <w:spacing w:line="360" w:lineRule="auto"/>
              <w:jc w:val="left"/>
              <w:rPr>
                <w:rFonts w:ascii="仿宋" w:hAnsi="仿宋" w:eastAsia="仿宋" w:cs="仿宋"/>
                <w:kern w:val="0"/>
                <w:sz w:val="24"/>
                <w:szCs w:val="24"/>
              </w:rPr>
            </w:pPr>
          </w:p>
        </w:tc>
        <w:tc>
          <w:tcPr>
            <w:tcW w:w="2011" w:type="dxa"/>
            <w:vAlign w:val="center"/>
          </w:tcPr>
          <w:p w14:paraId="5C952E03">
            <w:pPr>
              <w:snapToGrid w:val="0"/>
              <w:spacing w:line="360" w:lineRule="auto"/>
              <w:jc w:val="center"/>
              <w:rPr>
                <w:rFonts w:ascii="仿宋" w:hAnsi="仿宋" w:eastAsia="仿宋" w:cs="仿宋"/>
                <w:kern w:val="0"/>
                <w:sz w:val="24"/>
                <w:szCs w:val="24"/>
              </w:rPr>
            </w:pPr>
            <w:r>
              <w:rPr>
                <w:rFonts w:hint="eastAsia" w:ascii="仿宋" w:hAnsi="仿宋" w:eastAsia="仿宋" w:cs="仿宋"/>
                <w:sz w:val="24"/>
                <w:szCs w:val="24"/>
              </w:rPr>
              <w:t>投标文件的签字、盖章</w:t>
            </w:r>
          </w:p>
        </w:tc>
        <w:tc>
          <w:tcPr>
            <w:tcW w:w="5557" w:type="dxa"/>
            <w:vAlign w:val="center"/>
          </w:tcPr>
          <w:p w14:paraId="0D2D2E53">
            <w:pPr>
              <w:pStyle w:val="14"/>
              <w:snapToGrid w:val="0"/>
              <w:spacing w:after="0" w:line="360" w:lineRule="auto"/>
              <w:rPr>
                <w:rFonts w:ascii="仿宋" w:hAnsi="仿宋" w:eastAsia="仿宋" w:cs="仿宋"/>
                <w:sz w:val="24"/>
                <w:szCs w:val="24"/>
              </w:rPr>
            </w:pPr>
            <w:r>
              <w:rPr>
                <w:rFonts w:hint="eastAsia" w:ascii="仿宋" w:hAnsi="仿宋" w:eastAsia="仿宋" w:cs="仿宋"/>
                <w:sz w:val="24"/>
                <w:szCs w:val="24"/>
              </w:rPr>
              <w:t>（1）投标文件格式中其他有落款的文件，均需加盖公章。</w:t>
            </w:r>
          </w:p>
          <w:p w14:paraId="14B720FA">
            <w:pPr>
              <w:pStyle w:val="14"/>
              <w:snapToGrid w:val="0"/>
              <w:spacing w:after="0" w:line="360" w:lineRule="auto"/>
              <w:rPr>
                <w:rFonts w:ascii="仿宋" w:hAnsi="仿宋" w:eastAsia="仿宋" w:cs="仿宋"/>
                <w:sz w:val="24"/>
                <w:szCs w:val="24"/>
              </w:rPr>
            </w:pPr>
            <w:r>
              <w:rPr>
                <w:rFonts w:hint="eastAsia" w:ascii="仿宋" w:hAnsi="仿宋" w:eastAsia="仿宋" w:cs="仿宋"/>
                <w:sz w:val="24"/>
                <w:szCs w:val="24"/>
              </w:rPr>
              <w:t>（2）投标文件的所有签字处均指手写签字或签名章/印章或CA签名章，不得以打印体代替。</w:t>
            </w:r>
          </w:p>
          <w:p w14:paraId="1A076CF5">
            <w:pPr>
              <w:pStyle w:val="14"/>
              <w:snapToGrid w:val="0"/>
              <w:spacing w:after="0" w:line="360" w:lineRule="auto"/>
              <w:rPr>
                <w:rFonts w:ascii="仿宋" w:hAnsi="仿宋" w:eastAsia="仿宋" w:cs="仿宋"/>
                <w:sz w:val="24"/>
                <w:szCs w:val="24"/>
              </w:rPr>
            </w:pPr>
            <w:r>
              <w:rPr>
                <w:rFonts w:hint="eastAsia" w:ascii="仿宋" w:hAnsi="仿宋" w:eastAsia="仿宋" w:cs="仿宋"/>
                <w:sz w:val="24"/>
                <w:szCs w:val="24"/>
              </w:rPr>
              <w:t>（3）电子投标文件加盖公章处须使用CA印章。</w:t>
            </w:r>
          </w:p>
        </w:tc>
      </w:tr>
      <w:tr w14:paraId="455DF2D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727" w:type="dxa"/>
            <w:vMerge w:val="restart"/>
            <w:vAlign w:val="center"/>
          </w:tcPr>
          <w:p w14:paraId="4638CBBC">
            <w:pPr>
              <w:widowControl/>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370" w:type="dxa"/>
            <w:vMerge w:val="restart"/>
            <w:vAlign w:val="center"/>
          </w:tcPr>
          <w:p w14:paraId="7C91C33B">
            <w:pPr>
              <w:widowControl/>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资格评审标准</w:t>
            </w:r>
          </w:p>
        </w:tc>
        <w:tc>
          <w:tcPr>
            <w:tcW w:w="2011" w:type="dxa"/>
            <w:vAlign w:val="center"/>
          </w:tcPr>
          <w:p w14:paraId="5E5A9BF3">
            <w:pPr>
              <w:snapToGrid w:val="0"/>
              <w:spacing w:line="360" w:lineRule="auto"/>
              <w:jc w:val="center"/>
              <w:rPr>
                <w:rFonts w:ascii="仿宋" w:hAnsi="仿宋" w:eastAsia="仿宋" w:cs="仿宋"/>
                <w:kern w:val="0"/>
                <w:sz w:val="24"/>
                <w:szCs w:val="24"/>
              </w:rPr>
            </w:pPr>
            <w:r>
              <w:rPr>
                <w:rFonts w:hint="eastAsia" w:ascii="仿宋" w:hAnsi="仿宋" w:eastAsia="仿宋" w:cs="仿宋"/>
                <w:sz w:val="24"/>
                <w:szCs w:val="24"/>
              </w:rPr>
              <w:t>营业执照</w:t>
            </w:r>
          </w:p>
        </w:tc>
        <w:tc>
          <w:tcPr>
            <w:tcW w:w="5557" w:type="dxa"/>
            <w:vAlign w:val="center"/>
          </w:tcPr>
          <w:p w14:paraId="7EB992E8">
            <w:pPr>
              <w:snapToGrid w:val="0"/>
              <w:spacing w:line="360" w:lineRule="auto"/>
              <w:rPr>
                <w:rFonts w:ascii="仿宋" w:hAnsi="仿宋" w:eastAsia="仿宋" w:cs="仿宋"/>
                <w:sz w:val="24"/>
                <w:szCs w:val="24"/>
              </w:rPr>
            </w:pPr>
            <w:r>
              <w:rPr>
                <w:rFonts w:hint="eastAsia" w:ascii="仿宋" w:hAnsi="仿宋" w:eastAsia="仿宋" w:cs="仿宋"/>
                <w:sz w:val="24"/>
                <w:szCs w:val="24"/>
              </w:rPr>
              <w:t>符合第一章“招标公告”要求。</w:t>
            </w:r>
          </w:p>
        </w:tc>
      </w:tr>
      <w:tr w14:paraId="36E9D2F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727" w:type="dxa"/>
            <w:vMerge w:val="continue"/>
            <w:vAlign w:val="center"/>
          </w:tcPr>
          <w:p w14:paraId="4C1CF2BD">
            <w:pPr>
              <w:widowControl/>
              <w:snapToGrid w:val="0"/>
              <w:spacing w:line="360" w:lineRule="auto"/>
              <w:jc w:val="center"/>
              <w:rPr>
                <w:rFonts w:ascii="仿宋" w:hAnsi="仿宋" w:eastAsia="仿宋" w:cs="仿宋"/>
                <w:kern w:val="0"/>
                <w:sz w:val="24"/>
                <w:szCs w:val="24"/>
              </w:rPr>
            </w:pPr>
          </w:p>
        </w:tc>
        <w:tc>
          <w:tcPr>
            <w:tcW w:w="1370" w:type="dxa"/>
            <w:vMerge w:val="continue"/>
            <w:vAlign w:val="center"/>
          </w:tcPr>
          <w:p w14:paraId="5F5D2A6D">
            <w:pPr>
              <w:widowControl/>
              <w:snapToGrid w:val="0"/>
              <w:spacing w:line="360" w:lineRule="auto"/>
              <w:jc w:val="center"/>
              <w:rPr>
                <w:rFonts w:ascii="仿宋" w:hAnsi="仿宋" w:eastAsia="仿宋" w:cs="仿宋"/>
                <w:kern w:val="0"/>
                <w:sz w:val="24"/>
                <w:szCs w:val="24"/>
              </w:rPr>
            </w:pPr>
          </w:p>
        </w:tc>
        <w:tc>
          <w:tcPr>
            <w:tcW w:w="2011" w:type="dxa"/>
            <w:vAlign w:val="center"/>
          </w:tcPr>
          <w:p w14:paraId="24BB3F83">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商业信誉和财务会计制度</w:t>
            </w:r>
          </w:p>
        </w:tc>
        <w:tc>
          <w:tcPr>
            <w:tcW w:w="5557" w:type="dxa"/>
            <w:vAlign w:val="center"/>
          </w:tcPr>
          <w:p w14:paraId="63862F3D">
            <w:pPr>
              <w:snapToGrid w:val="0"/>
              <w:spacing w:line="360" w:lineRule="auto"/>
              <w:rPr>
                <w:rFonts w:ascii="仿宋" w:hAnsi="仿宋" w:eastAsia="仿宋" w:cs="仿宋"/>
                <w:sz w:val="24"/>
                <w:szCs w:val="24"/>
              </w:rPr>
            </w:pPr>
            <w:r>
              <w:rPr>
                <w:rFonts w:hint="eastAsia" w:ascii="仿宋" w:hAnsi="仿宋" w:eastAsia="仿宋" w:cs="仿宋"/>
                <w:sz w:val="24"/>
                <w:szCs w:val="24"/>
              </w:rPr>
              <w:t>符合第一章“招标公告”要求。</w:t>
            </w:r>
          </w:p>
        </w:tc>
      </w:tr>
      <w:tr w14:paraId="0FD2AC3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727" w:type="dxa"/>
            <w:vMerge w:val="continue"/>
            <w:vAlign w:val="center"/>
          </w:tcPr>
          <w:p w14:paraId="75E64A44">
            <w:pPr>
              <w:widowControl/>
              <w:snapToGrid w:val="0"/>
              <w:spacing w:line="360" w:lineRule="auto"/>
              <w:jc w:val="center"/>
              <w:rPr>
                <w:rFonts w:ascii="仿宋" w:hAnsi="仿宋" w:eastAsia="仿宋" w:cs="仿宋"/>
                <w:kern w:val="0"/>
                <w:sz w:val="24"/>
                <w:szCs w:val="24"/>
              </w:rPr>
            </w:pPr>
          </w:p>
        </w:tc>
        <w:tc>
          <w:tcPr>
            <w:tcW w:w="1370" w:type="dxa"/>
            <w:vMerge w:val="continue"/>
            <w:vAlign w:val="center"/>
          </w:tcPr>
          <w:p w14:paraId="64BDEC37">
            <w:pPr>
              <w:widowControl/>
              <w:snapToGrid w:val="0"/>
              <w:spacing w:line="360" w:lineRule="auto"/>
              <w:jc w:val="center"/>
              <w:rPr>
                <w:rFonts w:ascii="仿宋" w:hAnsi="仿宋" w:eastAsia="仿宋" w:cs="仿宋"/>
                <w:kern w:val="0"/>
                <w:sz w:val="24"/>
                <w:szCs w:val="24"/>
              </w:rPr>
            </w:pPr>
          </w:p>
        </w:tc>
        <w:tc>
          <w:tcPr>
            <w:tcW w:w="2011" w:type="dxa"/>
            <w:vAlign w:val="center"/>
          </w:tcPr>
          <w:p w14:paraId="153E9968">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专业技术能力</w:t>
            </w:r>
          </w:p>
        </w:tc>
        <w:tc>
          <w:tcPr>
            <w:tcW w:w="5557" w:type="dxa"/>
            <w:vAlign w:val="center"/>
          </w:tcPr>
          <w:p w14:paraId="1CD83892">
            <w:pPr>
              <w:snapToGrid w:val="0"/>
              <w:spacing w:line="360" w:lineRule="auto"/>
              <w:rPr>
                <w:rFonts w:ascii="仿宋" w:hAnsi="仿宋" w:eastAsia="仿宋" w:cs="仿宋"/>
                <w:sz w:val="24"/>
                <w:szCs w:val="24"/>
              </w:rPr>
            </w:pPr>
            <w:r>
              <w:rPr>
                <w:rFonts w:hint="eastAsia" w:ascii="仿宋" w:hAnsi="仿宋" w:eastAsia="仿宋" w:cs="仿宋"/>
                <w:sz w:val="24"/>
                <w:szCs w:val="24"/>
              </w:rPr>
              <w:t>符合第一章“招标公告”要求。</w:t>
            </w:r>
          </w:p>
        </w:tc>
      </w:tr>
      <w:tr w14:paraId="3E98CE7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727" w:type="dxa"/>
            <w:vMerge w:val="continue"/>
            <w:vAlign w:val="center"/>
          </w:tcPr>
          <w:p w14:paraId="6EC95ACC">
            <w:pPr>
              <w:widowControl/>
              <w:snapToGrid w:val="0"/>
              <w:spacing w:line="360" w:lineRule="auto"/>
              <w:jc w:val="center"/>
              <w:rPr>
                <w:rFonts w:ascii="仿宋" w:hAnsi="仿宋" w:eastAsia="仿宋" w:cs="仿宋"/>
                <w:kern w:val="0"/>
                <w:sz w:val="24"/>
                <w:szCs w:val="24"/>
              </w:rPr>
            </w:pPr>
          </w:p>
        </w:tc>
        <w:tc>
          <w:tcPr>
            <w:tcW w:w="1370" w:type="dxa"/>
            <w:vMerge w:val="continue"/>
            <w:vAlign w:val="center"/>
          </w:tcPr>
          <w:p w14:paraId="7AD8F701">
            <w:pPr>
              <w:widowControl/>
              <w:snapToGrid w:val="0"/>
              <w:spacing w:line="360" w:lineRule="auto"/>
              <w:jc w:val="center"/>
              <w:rPr>
                <w:rFonts w:ascii="仿宋" w:hAnsi="仿宋" w:eastAsia="仿宋" w:cs="仿宋"/>
                <w:kern w:val="0"/>
                <w:sz w:val="24"/>
                <w:szCs w:val="24"/>
              </w:rPr>
            </w:pPr>
          </w:p>
        </w:tc>
        <w:tc>
          <w:tcPr>
            <w:tcW w:w="2011" w:type="dxa"/>
            <w:vAlign w:val="center"/>
          </w:tcPr>
          <w:p w14:paraId="2E5BCAD6">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缴纳税收和社会保障资金记录</w:t>
            </w:r>
          </w:p>
        </w:tc>
        <w:tc>
          <w:tcPr>
            <w:tcW w:w="5557" w:type="dxa"/>
            <w:vAlign w:val="center"/>
          </w:tcPr>
          <w:p w14:paraId="71E64A00">
            <w:pPr>
              <w:snapToGrid w:val="0"/>
              <w:spacing w:line="360" w:lineRule="auto"/>
              <w:rPr>
                <w:rFonts w:ascii="仿宋" w:hAnsi="仿宋" w:eastAsia="仿宋" w:cs="仿宋"/>
                <w:sz w:val="24"/>
                <w:szCs w:val="24"/>
              </w:rPr>
            </w:pPr>
            <w:r>
              <w:rPr>
                <w:rFonts w:hint="eastAsia" w:ascii="仿宋" w:hAnsi="仿宋" w:eastAsia="仿宋" w:cs="仿宋"/>
                <w:sz w:val="24"/>
                <w:szCs w:val="24"/>
              </w:rPr>
              <w:t>符合第一章“招标公告”要求。</w:t>
            </w:r>
          </w:p>
        </w:tc>
      </w:tr>
      <w:tr w14:paraId="19741FB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727" w:type="dxa"/>
            <w:vMerge w:val="continue"/>
            <w:vAlign w:val="center"/>
          </w:tcPr>
          <w:p w14:paraId="07B3E572">
            <w:pPr>
              <w:widowControl/>
              <w:snapToGrid w:val="0"/>
              <w:spacing w:line="360" w:lineRule="auto"/>
              <w:jc w:val="center"/>
              <w:rPr>
                <w:rFonts w:ascii="仿宋" w:hAnsi="仿宋" w:eastAsia="仿宋" w:cs="仿宋"/>
                <w:kern w:val="0"/>
                <w:sz w:val="24"/>
                <w:szCs w:val="24"/>
              </w:rPr>
            </w:pPr>
          </w:p>
        </w:tc>
        <w:tc>
          <w:tcPr>
            <w:tcW w:w="1370" w:type="dxa"/>
            <w:vMerge w:val="continue"/>
            <w:vAlign w:val="center"/>
          </w:tcPr>
          <w:p w14:paraId="12E12D5B">
            <w:pPr>
              <w:widowControl/>
              <w:snapToGrid w:val="0"/>
              <w:spacing w:line="360" w:lineRule="auto"/>
              <w:jc w:val="center"/>
              <w:rPr>
                <w:rFonts w:ascii="仿宋" w:hAnsi="仿宋" w:eastAsia="仿宋" w:cs="仿宋"/>
                <w:kern w:val="0"/>
                <w:sz w:val="24"/>
                <w:szCs w:val="24"/>
              </w:rPr>
            </w:pPr>
          </w:p>
        </w:tc>
        <w:tc>
          <w:tcPr>
            <w:tcW w:w="2011" w:type="dxa"/>
            <w:vAlign w:val="center"/>
          </w:tcPr>
          <w:p w14:paraId="4C167298">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无违法违规记录</w:t>
            </w:r>
          </w:p>
        </w:tc>
        <w:tc>
          <w:tcPr>
            <w:tcW w:w="5557" w:type="dxa"/>
          </w:tcPr>
          <w:p w14:paraId="75D06AE1">
            <w:pPr>
              <w:snapToGrid w:val="0"/>
              <w:spacing w:line="360" w:lineRule="auto"/>
              <w:rPr>
                <w:rFonts w:ascii="仿宋" w:hAnsi="仿宋" w:eastAsia="仿宋" w:cs="仿宋"/>
                <w:sz w:val="24"/>
                <w:szCs w:val="24"/>
              </w:rPr>
            </w:pPr>
            <w:r>
              <w:rPr>
                <w:rFonts w:hint="eastAsia" w:ascii="仿宋" w:hAnsi="仿宋" w:eastAsia="仿宋" w:cs="仿宋"/>
                <w:sz w:val="24"/>
                <w:szCs w:val="24"/>
              </w:rPr>
              <w:t>符合第一章“招标公告”要求。</w:t>
            </w:r>
          </w:p>
        </w:tc>
      </w:tr>
      <w:tr w14:paraId="1F79F65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727" w:type="dxa"/>
            <w:vMerge w:val="continue"/>
            <w:vAlign w:val="center"/>
          </w:tcPr>
          <w:p w14:paraId="13A91415">
            <w:pPr>
              <w:widowControl/>
              <w:snapToGrid w:val="0"/>
              <w:spacing w:line="360" w:lineRule="auto"/>
              <w:jc w:val="left"/>
              <w:rPr>
                <w:rFonts w:ascii="仿宋" w:hAnsi="仿宋" w:eastAsia="仿宋" w:cs="仿宋"/>
                <w:kern w:val="0"/>
                <w:sz w:val="24"/>
                <w:szCs w:val="24"/>
              </w:rPr>
            </w:pPr>
          </w:p>
        </w:tc>
        <w:tc>
          <w:tcPr>
            <w:tcW w:w="1370" w:type="dxa"/>
            <w:vMerge w:val="continue"/>
            <w:vAlign w:val="center"/>
          </w:tcPr>
          <w:p w14:paraId="097DCC3E">
            <w:pPr>
              <w:widowControl/>
              <w:snapToGrid w:val="0"/>
              <w:spacing w:line="360" w:lineRule="auto"/>
              <w:jc w:val="left"/>
              <w:rPr>
                <w:rFonts w:ascii="仿宋" w:hAnsi="仿宋" w:eastAsia="仿宋" w:cs="仿宋"/>
                <w:kern w:val="0"/>
                <w:sz w:val="24"/>
                <w:szCs w:val="24"/>
              </w:rPr>
            </w:pPr>
          </w:p>
        </w:tc>
        <w:tc>
          <w:tcPr>
            <w:tcW w:w="2011" w:type="dxa"/>
            <w:vAlign w:val="center"/>
          </w:tcPr>
          <w:p w14:paraId="01E4D1BC">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未被列入黑名单</w:t>
            </w:r>
          </w:p>
        </w:tc>
        <w:tc>
          <w:tcPr>
            <w:tcW w:w="5557" w:type="dxa"/>
            <w:vAlign w:val="center"/>
          </w:tcPr>
          <w:p w14:paraId="0BC59879">
            <w:pPr>
              <w:snapToGrid w:val="0"/>
              <w:spacing w:line="360" w:lineRule="auto"/>
              <w:jc w:val="left"/>
              <w:rPr>
                <w:rFonts w:ascii="仿宋" w:hAnsi="仿宋" w:eastAsia="仿宋" w:cs="仿宋"/>
                <w:sz w:val="24"/>
                <w:szCs w:val="24"/>
              </w:rPr>
            </w:pPr>
            <w:r>
              <w:rPr>
                <w:rFonts w:hint="eastAsia" w:ascii="仿宋" w:hAnsi="仿宋" w:eastAsia="仿宋" w:cs="仿宋"/>
                <w:sz w:val="24"/>
                <w:szCs w:val="24"/>
              </w:rPr>
              <w:t>符合第一章“招标公告”要求。</w:t>
            </w:r>
          </w:p>
        </w:tc>
      </w:tr>
      <w:tr w14:paraId="40068D1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727" w:type="dxa"/>
            <w:vMerge w:val="continue"/>
            <w:vAlign w:val="center"/>
          </w:tcPr>
          <w:p w14:paraId="798008F4">
            <w:pPr>
              <w:widowControl/>
              <w:snapToGrid w:val="0"/>
              <w:spacing w:line="360" w:lineRule="auto"/>
              <w:jc w:val="left"/>
              <w:rPr>
                <w:rFonts w:ascii="仿宋" w:hAnsi="仿宋" w:eastAsia="仿宋" w:cs="仿宋"/>
                <w:kern w:val="0"/>
                <w:sz w:val="24"/>
                <w:szCs w:val="24"/>
              </w:rPr>
            </w:pPr>
          </w:p>
        </w:tc>
        <w:tc>
          <w:tcPr>
            <w:tcW w:w="1370" w:type="dxa"/>
            <w:vMerge w:val="continue"/>
            <w:vAlign w:val="center"/>
          </w:tcPr>
          <w:p w14:paraId="101E1FBC">
            <w:pPr>
              <w:widowControl/>
              <w:snapToGrid w:val="0"/>
              <w:spacing w:line="360" w:lineRule="auto"/>
              <w:jc w:val="left"/>
              <w:rPr>
                <w:rFonts w:ascii="仿宋" w:hAnsi="仿宋" w:eastAsia="仿宋" w:cs="仿宋"/>
                <w:kern w:val="0"/>
                <w:sz w:val="24"/>
                <w:szCs w:val="24"/>
              </w:rPr>
            </w:pPr>
          </w:p>
        </w:tc>
        <w:tc>
          <w:tcPr>
            <w:tcW w:w="2011" w:type="dxa"/>
            <w:vAlign w:val="center"/>
          </w:tcPr>
          <w:p w14:paraId="40D0C2D0">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控股及管理关系</w:t>
            </w:r>
          </w:p>
        </w:tc>
        <w:tc>
          <w:tcPr>
            <w:tcW w:w="5557" w:type="dxa"/>
            <w:vAlign w:val="center"/>
          </w:tcPr>
          <w:p w14:paraId="4559D100">
            <w:pPr>
              <w:snapToGrid w:val="0"/>
              <w:spacing w:line="360" w:lineRule="auto"/>
              <w:jc w:val="left"/>
              <w:rPr>
                <w:rFonts w:ascii="仿宋" w:hAnsi="仿宋" w:eastAsia="仿宋" w:cs="仿宋"/>
                <w:kern w:val="0"/>
                <w:sz w:val="24"/>
                <w:szCs w:val="24"/>
              </w:rPr>
            </w:pPr>
            <w:r>
              <w:rPr>
                <w:rFonts w:hint="eastAsia" w:ascii="仿宋" w:hAnsi="仿宋" w:eastAsia="仿宋" w:cs="仿宋"/>
                <w:sz w:val="24"/>
                <w:szCs w:val="24"/>
              </w:rPr>
              <w:t>符合第一章“招标公告”要求。</w:t>
            </w:r>
          </w:p>
        </w:tc>
      </w:tr>
      <w:tr w14:paraId="7927E7F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727" w:type="dxa"/>
            <w:vMerge w:val="continue"/>
            <w:vAlign w:val="center"/>
          </w:tcPr>
          <w:p w14:paraId="4FBD4CD7">
            <w:pPr>
              <w:widowControl/>
              <w:snapToGrid w:val="0"/>
              <w:spacing w:line="360" w:lineRule="auto"/>
              <w:jc w:val="left"/>
              <w:rPr>
                <w:rFonts w:ascii="仿宋" w:hAnsi="仿宋" w:eastAsia="仿宋" w:cs="仿宋"/>
                <w:kern w:val="0"/>
                <w:sz w:val="24"/>
                <w:szCs w:val="24"/>
              </w:rPr>
            </w:pPr>
          </w:p>
        </w:tc>
        <w:tc>
          <w:tcPr>
            <w:tcW w:w="1370" w:type="dxa"/>
            <w:vMerge w:val="continue"/>
            <w:vAlign w:val="center"/>
          </w:tcPr>
          <w:p w14:paraId="4004628A">
            <w:pPr>
              <w:widowControl/>
              <w:snapToGrid w:val="0"/>
              <w:spacing w:line="360" w:lineRule="auto"/>
              <w:jc w:val="left"/>
              <w:rPr>
                <w:rFonts w:ascii="仿宋" w:hAnsi="仿宋" w:eastAsia="仿宋" w:cs="仿宋"/>
                <w:kern w:val="0"/>
                <w:sz w:val="24"/>
                <w:szCs w:val="24"/>
              </w:rPr>
            </w:pPr>
          </w:p>
        </w:tc>
        <w:tc>
          <w:tcPr>
            <w:tcW w:w="2011" w:type="dxa"/>
            <w:vAlign w:val="center"/>
          </w:tcPr>
          <w:p w14:paraId="132A57CE">
            <w:pPr>
              <w:snapToGrid w:val="0"/>
              <w:spacing w:line="360" w:lineRule="auto"/>
              <w:jc w:val="center"/>
              <w:rPr>
                <w:rFonts w:ascii="仿宋" w:hAnsi="仿宋" w:eastAsia="仿宋" w:cs="仿宋"/>
                <w:sz w:val="24"/>
                <w:szCs w:val="24"/>
              </w:rPr>
            </w:pPr>
            <w:r>
              <w:rPr>
                <w:rFonts w:ascii="仿宋" w:hAnsi="仿宋" w:eastAsia="仿宋" w:cs="仿宋"/>
                <w:sz w:val="24"/>
                <w:szCs w:val="24"/>
              </w:rPr>
              <w:t>非联合体</w:t>
            </w:r>
            <w:r>
              <w:rPr>
                <w:rFonts w:hint="eastAsia" w:ascii="仿宋" w:hAnsi="仿宋" w:eastAsia="仿宋" w:cs="仿宋"/>
                <w:sz w:val="24"/>
                <w:szCs w:val="24"/>
              </w:rPr>
              <w:t>投标</w:t>
            </w:r>
          </w:p>
        </w:tc>
        <w:tc>
          <w:tcPr>
            <w:tcW w:w="5557" w:type="dxa"/>
            <w:vAlign w:val="center"/>
          </w:tcPr>
          <w:p w14:paraId="20793CE6">
            <w:pPr>
              <w:snapToGrid w:val="0"/>
              <w:spacing w:line="360" w:lineRule="auto"/>
              <w:jc w:val="left"/>
              <w:rPr>
                <w:rFonts w:ascii="仿宋" w:hAnsi="仿宋" w:eastAsia="仿宋" w:cs="仿宋"/>
                <w:kern w:val="0"/>
                <w:sz w:val="24"/>
                <w:szCs w:val="24"/>
              </w:rPr>
            </w:pPr>
            <w:r>
              <w:rPr>
                <w:rFonts w:hint="eastAsia" w:ascii="仿宋" w:hAnsi="仿宋" w:eastAsia="仿宋" w:cs="仿宋"/>
                <w:sz w:val="24"/>
                <w:szCs w:val="24"/>
              </w:rPr>
              <w:t>符合第一章“招标公告”要求。</w:t>
            </w:r>
          </w:p>
        </w:tc>
      </w:tr>
      <w:tr w14:paraId="7FF6B6E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727" w:type="dxa"/>
            <w:vMerge w:val="restart"/>
            <w:vAlign w:val="center"/>
          </w:tcPr>
          <w:p w14:paraId="5CF8068C">
            <w:pPr>
              <w:widowControl/>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1370" w:type="dxa"/>
            <w:vMerge w:val="restart"/>
            <w:vAlign w:val="center"/>
          </w:tcPr>
          <w:p w14:paraId="74CF1FBC">
            <w:pPr>
              <w:widowControl/>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响应性评审标准</w:t>
            </w:r>
          </w:p>
        </w:tc>
        <w:tc>
          <w:tcPr>
            <w:tcW w:w="2011" w:type="dxa"/>
            <w:vAlign w:val="center"/>
          </w:tcPr>
          <w:p w14:paraId="76C301E4">
            <w:pPr>
              <w:snapToGrid w:val="0"/>
              <w:spacing w:line="360" w:lineRule="auto"/>
              <w:jc w:val="center"/>
              <w:rPr>
                <w:rFonts w:ascii="仿宋" w:hAnsi="仿宋" w:eastAsia="仿宋" w:cs="仿宋"/>
                <w:kern w:val="0"/>
                <w:sz w:val="24"/>
                <w:szCs w:val="24"/>
              </w:rPr>
            </w:pPr>
            <w:r>
              <w:rPr>
                <w:rFonts w:hint="eastAsia" w:ascii="仿宋" w:hAnsi="仿宋" w:eastAsia="仿宋" w:cs="仿宋"/>
                <w:sz w:val="24"/>
                <w:szCs w:val="24"/>
              </w:rPr>
              <w:t>投标保证金</w:t>
            </w:r>
          </w:p>
        </w:tc>
        <w:tc>
          <w:tcPr>
            <w:tcW w:w="5557" w:type="dxa"/>
            <w:vAlign w:val="center"/>
          </w:tcPr>
          <w:p w14:paraId="1C7EBFA5">
            <w:pPr>
              <w:snapToGrid w:val="0"/>
              <w:spacing w:line="360" w:lineRule="auto"/>
              <w:rPr>
                <w:rFonts w:ascii="仿宋" w:hAnsi="仿宋" w:eastAsia="仿宋" w:cs="仿宋"/>
                <w:kern w:val="0"/>
                <w:sz w:val="24"/>
                <w:szCs w:val="24"/>
              </w:rPr>
            </w:pPr>
            <w:r>
              <w:rPr>
                <w:rFonts w:hint="eastAsia" w:ascii="仿宋" w:hAnsi="仿宋" w:eastAsia="仿宋" w:cs="仿宋"/>
                <w:sz w:val="24"/>
                <w:szCs w:val="24"/>
              </w:rPr>
              <w:t>符合第二章“投标人须知”规定。</w:t>
            </w:r>
          </w:p>
        </w:tc>
      </w:tr>
      <w:tr w14:paraId="17F95ED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727" w:type="dxa"/>
            <w:vMerge w:val="continue"/>
            <w:vAlign w:val="center"/>
          </w:tcPr>
          <w:p w14:paraId="689B2158">
            <w:pPr>
              <w:widowControl/>
              <w:snapToGrid w:val="0"/>
              <w:spacing w:line="360" w:lineRule="auto"/>
              <w:jc w:val="center"/>
              <w:rPr>
                <w:rFonts w:ascii="仿宋" w:hAnsi="仿宋" w:eastAsia="仿宋" w:cs="仿宋"/>
                <w:kern w:val="0"/>
                <w:sz w:val="24"/>
                <w:szCs w:val="24"/>
              </w:rPr>
            </w:pPr>
          </w:p>
        </w:tc>
        <w:tc>
          <w:tcPr>
            <w:tcW w:w="1370" w:type="dxa"/>
            <w:vMerge w:val="continue"/>
            <w:vAlign w:val="center"/>
          </w:tcPr>
          <w:p w14:paraId="33CB6716">
            <w:pPr>
              <w:widowControl/>
              <w:snapToGrid w:val="0"/>
              <w:spacing w:line="360" w:lineRule="auto"/>
              <w:jc w:val="center"/>
              <w:rPr>
                <w:rFonts w:ascii="仿宋" w:hAnsi="仿宋" w:eastAsia="仿宋" w:cs="仿宋"/>
                <w:kern w:val="0"/>
                <w:sz w:val="24"/>
                <w:szCs w:val="24"/>
              </w:rPr>
            </w:pPr>
          </w:p>
        </w:tc>
        <w:tc>
          <w:tcPr>
            <w:tcW w:w="2011" w:type="dxa"/>
            <w:vAlign w:val="center"/>
          </w:tcPr>
          <w:p w14:paraId="1E73DA50">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投标函</w:t>
            </w:r>
          </w:p>
        </w:tc>
        <w:tc>
          <w:tcPr>
            <w:tcW w:w="5557" w:type="dxa"/>
            <w:vAlign w:val="center"/>
          </w:tcPr>
          <w:p w14:paraId="0BCBC7DA">
            <w:pPr>
              <w:snapToGrid w:val="0"/>
              <w:spacing w:line="360" w:lineRule="auto"/>
              <w:rPr>
                <w:rFonts w:ascii="仿宋" w:hAnsi="仿宋" w:eastAsia="仿宋" w:cs="仿宋"/>
                <w:sz w:val="24"/>
                <w:szCs w:val="24"/>
              </w:rPr>
            </w:pPr>
            <w:r>
              <w:rPr>
                <w:rFonts w:hint="eastAsia" w:ascii="仿宋" w:hAnsi="仿宋" w:eastAsia="仿宋" w:cs="仿宋"/>
                <w:sz w:val="24"/>
                <w:szCs w:val="24"/>
              </w:rPr>
              <w:t>除填写投标人名称、项目名称外，未修改原文内容。</w:t>
            </w:r>
          </w:p>
        </w:tc>
      </w:tr>
      <w:tr w14:paraId="15EA2AF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727" w:type="dxa"/>
            <w:vMerge w:val="continue"/>
            <w:vAlign w:val="center"/>
          </w:tcPr>
          <w:p w14:paraId="7C25CD8B">
            <w:pPr>
              <w:widowControl/>
              <w:snapToGrid w:val="0"/>
              <w:spacing w:line="360" w:lineRule="auto"/>
              <w:jc w:val="center"/>
              <w:rPr>
                <w:rFonts w:ascii="仿宋" w:hAnsi="仿宋" w:eastAsia="仿宋" w:cs="仿宋"/>
                <w:kern w:val="0"/>
                <w:sz w:val="24"/>
                <w:szCs w:val="24"/>
              </w:rPr>
            </w:pPr>
          </w:p>
        </w:tc>
        <w:tc>
          <w:tcPr>
            <w:tcW w:w="1370" w:type="dxa"/>
            <w:vMerge w:val="continue"/>
            <w:vAlign w:val="center"/>
          </w:tcPr>
          <w:p w14:paraId="180C8A0A">
            <w:pPr>
              <w:widowControl/>
              <w:snapToGrid w:val="0"/>
              <w:spacing w:line="360" w:lineRule="auto"/>
              <w:jc w:val="center"/>
              <w:rPr>
                <w:rFonts w:ascii="仿宋" w:hAnsi="仿宋" w:eastAsia="仿宋" w:cs="仿宋"/>
                <w:kern w:val="0"/>
                <w:sz w:val="24"/>
                <w:szCs w:val="24"/>
              </w:rPr>
            </w:pPr>
          </w:p>
        </w:tc>
        <w:tc>
          <w:tcPr>
            <w:tcW w:w="2011" w:type="dxa"/>
            <w:vAlign w:val="center"/>
          </w:tcPr>
          <w:p w14:paraId="4E5D7CC8">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供应商行为准则承诺书</w:t>
            </w:r>
          </w:p>
        </w:tc>
        <w:tc>
          <w:tcPr>
            <w:tcW w:w="5557" w:type="dxa"/>
            <w:vAlign w:val="center"/>
          </w:tcPr>
          <w:p w14:paraId="5488E225">
            <w:pPr>
              <w:snapToGrid w:val="0"/>
              <w:spacing w:line="360" w:lineRule="auto"/>
              <w:rPr>
                <w:rFonts w:ascii="仿宋" w:hAnsi="仿宋" w:eastAsia="仿宋" w:cs="仿宋"/>
                <w:sz w:val="24"/>
                <w:szCs w:val="24"/>
              </w:rPr>
            </w:pPr>
            <w:r>
              <w:rPr>
                <w:rFonts w:hint="eastAsia" w:ascii="仿宋" w:hAnsi="仿宋" w:eastAsia="仿宋" w:cs="仿宋"/>
                <w:sz w:val="24"/>
                <w:szCs w:val="24"/>
              </w:rPr>
              <w:t>除投标人填写内容外，未修改原文内容。</w:t>
            </w:r>
          </w:p>
        </w:tc>
      </w:tr>
      <w:tr w14:paraId="19D4E6F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727" w:type="dxa"/>
            <w:vMerge w:val="continue"/>
            <w:vAlign w:val="center"/>
          </w:tcPr>
          <w:p w14:paraId="5F99DB5A">
            <w:pPr>
              <w:widowControl/>
              <w:snapToGrid w:val="0"/>
              <w:spacing w:line="360" w:lineRule="auto"/>
              <w:jc w:val="center"/>
              <w:rPr>
                <w:rFonts w:ascii="仿宋" w:hAnsi="仿宋" w:eastAsia="仿宋" w:cs="仿宋"/>
                <w:kern w:val="0"/>
                <w:sz w:val="24"/>
                <w:szCs w:val="24"/>
              </w:rPr>
            </w:pPr>
          </w:p>
        </w:tc>
        <w:tc>
          <w:tcPr>
            <w:tcW w:w="1370" w:type="dxa"/>
            <w:vMerge w:val="continue"/>
            <w:vAlign w:val="center"/>
          </w:tcPr>
          <w:p w14:paraId="677D86A5">
            <w:pPr>
              <w:widowControl/>
              <w:snapToGrid w:val="0"/>
              <w:spacing w:line="360" w:lineRule="auto"/>
              <w:jc w:val="center"/>
              <w:rPr>
                <w:rFonts w:ascii="仿宋" w:hAnsi="仿宋" w:eastAsia="仿宋" w:cs="仿宋"/>
                <w:kern w:val="0"/>
                <w:sz w:val="24"/>
                <w:szCs w:val="24"/>
              </w:rPr>
            </w:pPr>
          </w:p>
        </w:tc>
        <w:tc>
          <w:tcPr>
            <w:tcW w:w="2011" w:type="dxa"/>
            <w:vAlign w:val="center"/>
          </w:tcPr>
          <w:p w14:paraId="7EB3A58B">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供应商廉洁诚信承诺书</w:t>
            </w:r>
          </w:p>
        </w:tc>
        <w:tc>
          <w:tcPr>
            <w:tcW w:w="5557" w:type="dxa"/>
            <w:vAlign w:val="center"/>
          </w:tcPr>
          <w:p w14:paraId="7076DCD7">
            <w:pPr>
              <w:snapToGrid w:val="0"/>
              <w:spacing w:line="360" w:lineRule="auto"/>
              <w:jc w:val="left"/>
              <w:rPr>
                <w:rFonts w:ascii="仿宋" w:hAnsi="仿宋" w:eastAsia="仿宋" w:cs="仿宋"/>
                <w:sz w:val="24"/>
                <w:szCs w:val="24"/>
              </w:rPr>
            </w:pPr>
            <w:r>
              <w:rPr>
                <w:rFonts w:hint="eastAsia" w:ascii="仿宋" w:hAnsi="仿宋" w:eastAsia="仿宋" w:cs="仿宋"/>
                <w:sz w:val="24"/>
                <w:szCs w:val="24"/>
              </w:rPr>
              <w:t>除投标人填写内容外，未修改原文内容。</w:t>
            </w:r>
          </w:p>
        </w:tc>
      </w:tr>
      <w:tr w14:paraId="4B4AB35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727" w:type="dxa"/>
            <w:vMerge w:val="continue"/>
            <w:vAlign w:val="center"/>
          </w:tcPr>
          <w:p w14:paraId="5A7B890D">
            <w:pPr>
              <w:widowControl/>
              <w:snapToGrid w:val="0"/>
              <w:spacing w:line="360" w:lineRule="auto"/>
              <w:jc w:val="left"/>
              <w:rPr>
                <w:rFonts w:ascii="仿宋" w:hAnsi="仿宋" w:eastAsia="仿宋" w:cs="仿宋"/>
                <w:kern w:val="0"/>
                <w:sz w:val="24"/>
                <w:szCs w:val="24"/>
              </w:rPr>
            </w:pPr>
          </w:p>
        </w:tc>
        <w:tc>
          <w:tcPr>
            <w:tcW w:w="1370" w:type="dxa"/>
            <w:vMerge w:val="continue"/>
            <w:vAlign w:val="center"/>
          </w:tcPr>
          <w:p w14:paraId="106DEE82">
            <w:pPr>
              <w:widowControl/>
              <w:snapToGrid w:val="0"/>
              <w:spacing w:line="360" w:lineRule="auto"/>
              <w:jc w:val="left"/>
              <w:rPr>
                <w:rFonts w:ascii="仿宋" w:hAnsi="仿宋" w:eastAsia="仿宋" w:cs="仿宋"/>
                <w:kern w:val="0"/>
                <w:sz w:val="24"/>
                <w:szCs w:val="24"/>
              </w:rPr>
            </w:pPr>
          </w:p>
        </w:tc>
        <w:tc>
          <w:tcPr>
            <w:tcW w:w="2011" w:type="dxa"/>
            <w:vAlign w:val="center"/>
          </w:tcPr>
          <w:p w14:paraId="78BDCA31">
            <w:pPr>
              <w:snapToGrid w:val="0"/>
              <w:spacing w:line="360" w:lineRule="auto"/>
              <w:jc w:val="center"/>
              <w:rPr>
                <w:rFonts w:ascii="仿宋" w:hAnsi="仿宋" w:eastAsia="仿宋" w:cs="仿宋"/>
                <w:kern w:val="0"/>
                <w:sz w:val="24"/>
                <w:szCs w:val="24"/>
              </w:rPr>
            </w:pPr>
            <w:r>
              <w:rPr>
                <w:rFonts w:hint="eastAsia" w:ascii="仿宋" w:hAnsi="仿宋" w:eastAsia="仿宋" w:cs="仿宋"/>
                <w:sz w:val="24"/>
                <w:szCs w:val="24"/>
              </w:rPr>
              <w:t>投标一览表</w:t>
            </w:r>
          </w:p>
        </w:tc>
        <w:tc>
          <w:tcPr>
            <w:tcW w:w="5557" w:type="dxa"/>
            <w:vAlign w:val="center"/>
          </w:tcPr>
          <w:p w14:paraId="0DBBFA81">
            <w:pPr>
              <w:snapToGrid w:val="0"/>
              <w:spacing w:line="360" w:lineRule="auto"/>
              <w:rPr>
                <w:rFonts w:ascii="仿宋" w:hAnsi="仿宋" w:eastAsia="仿宋" w:cs="仿宋"/>
                <w:kern w:val="0"/>
                <w:sz w:val="24"/>
                <w:szCs w:val="24"/>
              </w:rPr>
            </w:pPr>
            <w:r>
              <w:rPr>
                <w:rFonts w:hint="eastAsia" w:ascii="仿宋" w:hAnsi="仿宋" w:eastAsia="仿宋" w:cs="仿宋"/>
                <w:sz w:val="24"/>
                <w:szCs w:val="24"/>
              </w:rPr>
              <w:t>报价项未缺省或回避填写，符合第二章“投标人须知”规定。</w:t>
            </w:r>
          </w:p>
        </w:tc>
      </w:tr>
      <w:tr w14:paraId="16CBFA6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727" w:type="dxa"/>
            <w:vMerge w:val="continue"/>
            <w:vAlign w:val="center"/>
          </w:tcPr>
          <w:p w14:paraId="7DB9A335">
            <w:pPr>
              <w:widowControl/>
              <w:snapToGrid w:val="0"/>
              <w:spacing w:line="360" w:lineRule="auto"/>
              <w:jc w:val="left"/>
              <w:rPr>
                <w:rFonts w:ascii="仿宋" w:hAnsi="仿宋" w:eastAsia="仿宋" w:cs="仿宋"/>
                <w:kern w:val="0"/>
                <w:sz w:val="24"/>
                <w:szCs w:val="24"/>
              </w:rPr>
            </w:pPr>
          </w:p>
        </w:tc>
        <w:tc>
          <w:tcPr>
            <w:tcW w:w="1370" w:type="dxa"/>
            <w:vMerge w:val="continue"/>
            <w:vAlign w:val="center"/>
          </w:tcPr>
          <w:p w14:paraId="27204CF3">
            <w:pPr>
              <w:widowControl/>
              <w:snapToGrid w:val="0"/>
              <w:spacing w:line="360" w:lineRule="auto"/>
              <w:jc w:val="left"/>
              <w:rPr>
                <w:rFonts w:ascii="仿宋" w:hAnsi="仿宋" w:eastAsia="仿宋" w:cs="仿宋"/>
                <w:kern w:val="0"/>
                <w:sz w:val="24"/>
                <w:szCs w:val="24"/>
              </w:rPr>
            </w:pPr>
          </w:p>
        </w:tc>
        <w:tc>
          <w:tcPr>
            <w:tcW w:w="2011" w:type="dxa"/>
            <w:vAlign w:val="center"/>
          </w:tcPr>
          <w:p w14:paraId="348B4536">
            <w:pPr>
              <w:snapToGrid w:val="0"/>
              <w:spacing w:line="360" w:lineRule="auto"/>
              <w:jc w:val="center"/>
              <w:rPr>
                <w:rFonts w:ascii="仿宋" w:hAnsi="仿宋" w:eastAsia="仿宋" w:cs="仿宋"/>
                <w:kern w:val="0"/>
                <w:sz w:val="24"/>
                <w:szCs w:val="24"/>
              </w:rPr>
            </w:pPr>
            <w:r>
              <w:rPr>
                <w:rFonts w:hint="eastAsia" w:ascii="仿宋" w:hAnsi="仿宋" w:eastAsia="仿宋" w:cs="仿宋"/>
                <w:sz w:val="24"/>
                <w:szCs w:val="24"/>
              </w:rPr>
              <w:t>偏离表应答</w:t>
            </w:r>
          </w:p>
        </w:tc>
        <w:tc>
          <w:tcPr>
            <w:tcW w:w="5557" w:type="dxa"/>
            <w:vAlign w:val="center"/>
          </w:tcPr>
          <w:p w14:paraId="1E0D67B2">
            <w:pPr>
              <w:snapToGrid w:val="0"/>
              <w:spacing w:line="360" w:lineRule="auto"/>
              <w:rPr>
                <w:rFonts w:ascii="仿宋" w:hAnsi="仿宋" w:eastAsia="仿宋" w:cs="仿宋"/>
                <w:kern w:val="0"/>
                <w:sz w:val="24"/>
                <w:szCs w:val="24"/>
              </w:rPr>
            </w:pPr>
            <w:r>
              <w:rPr>
                <w:rFonts w:hint="eastAsia" w:ascii="仿宋" w:hAnsi="仿宋" w:eastAsia="仿宋" w:cs="仿宋"/>
                <w:sz w:val="24"/>
                <w:szCs w:val="24"/>
              </w:rPr>
              <w:t>《投标人须知应答偏离表》、《合同条款应答偏离表》、《技术需求书应答偏离表》进行了符合投标人须知的应答。</w:t>
            </w:r>
          </w:p>
        </w:tc>
      </w:tr>
      <w:tr w14:paraId="7323034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27" w:type="dxa"/>
            <w:vMerge w:val="continue"/>
            <w:vAlign w:val="center"/>
          </w:tcPr>
          <w:p w14:paraId="25A8DF47">
            <w:pPr>
              <w:widowControl/>
              <w:snapToGrid w:val="0"/>
              <w:spacing w:line="360" w:lineRule="auto"/>
              <w:jc w:val="left"/>
              <w:rPr>
                <w:rFonts w:ascii="仿宋" w:hAnsi="仿宋" w:eastAsia="仿宋" w:cs="仿宋"/>
                <w:kern w:val="0"/>
                <w:sz w:val="24"/>
                <w:szCs w:val="24"/>
              </w:rPr>
            </w:pPr>
          </w:p>
        </w:tc>
        <w:tc>
          <w:tcPr>
            <w:tcW w:w="1370" w:type="dxa"/>
            <w:vMerge w:val="continue"/>
            <w:vAlign w:val="center"/>
          </w:tcPr>
          <w:p w14:paraId="0C085211">
            <w:pPr>
              <w:widowControl/>
              <w:snapToGrid w:val="0"/>
              <w:spacing w:line="360" w:lineRule="auto"/>
              <w:jc w:val="left"/>
              <w:rPr>
                <w:rFonts w:ascii="仿宋" w:hAnsi="仿宋" w:eastAsia="仿宋" w:cs="仿宋"/>
                <w:kern w:val="0"/>
                <w:sz w:val="24"/>
                <w:szCs w:val="24"/>
              </w:rPr>
            </w:pPr>
          </w:p>
        </w:tc>
        <w:tc>
          <w:tcPr>
            <w:tcW w:w="2011" w:type="dxa"/>
            <w:vAlign w:val="center"/>
          </w:tcPr>
          <w:p w14:paraId="34FE9BC8">
            <w:pPr>
              <w:snapToGrid w:val="0"/>
              <w:spacing w:line="360" w:lineRule="auto"/>
              <w:jc w:val="center"/>
              <w:rPr>
                <w:rFonts w:ascii="仿宋" w:hAnsi="仿宋" w:eastAsia="仿宋" w:cs="仿宋"/>
                <w:kern w:val="0"/>
                <w:sz w:val="24"/>
                <w:szCs w:val="24"/>
              </w:rPr>
            </w:pPr>
            <w:r>
              <w:rPr>
                <w:rFonts w:hint="eastAsia" w:ascii="仿宋" w:hAnsi="仿宋" w:eastAsia="仿宋" w:cs="仿宋"/>
                <w:sz w:val="24"/>
                <w:szCs w:val="24"/>
              </w:rPr>
              <w:t>其他实质性响应情况</w:t>
            </w:r>
          </w:p>
        </w:tc>
        <w:tc>
          <w:tcPr>
            <w:tcW w:w="5557" w:type="dxa"/>
            <w:vAlign w:val="center"/>
          </w:tcPr>
          <w:p w14:paraId="75BC2B4C">
            <w:pPr>
              <w:snapToGrid w:val="0"/>
              <w:spacing w:line="360" w:lineRule="auto"/>
              <w:rPr>
                <w:rFonts w:ascii="仿宋" w:hAnsi="仿宋" w:eastAsia="仿宋" w:cs="仿宋"/>
                <w:sz w:val="24"/>
                <w:szCs w:val="24"/>
              </w:rPr>
            </w:pPr>
            <w:r>
              <w:rPr>
                <w:rFonts w:hint="eastAsia" w:ascii="仿宋" w:hAnsi="仿宋" w:eastAsia="仿宋" w:cs="仿宋"/>
                <w:sz w:val="24"/>
                <w:szCs w:val="24"/>
                <w:u w:val="single"/>
              </w:rPr>
              <w:t>招标文件中标识“★”号的条款、注明“投标将被否决”的条款</w:t>
            </w:r>
            <w:r>
              <w:rPr>
                <w:rFonts w:hint="eastAsia" w:ascii="仿宋" w:hAnsi="仿宋" w:eastAsia="仿宋" w:cs="仿宋"/>
                <w:sz w:val="24"/>
                <w:szCs w:val="24"/>
              </w:rPr>
              <w:t>均为实质性条款，</w:t>
            </w:r>
            <w:r>
              <w:rPr>
                <w:rFonts w:hint="eastAsia" w:ascii="仿宋" w:hAnsi="仿宋" w:eastAsia="仿宋" w:cs="仿宋"/>
                <w:b/>
                <w:sz w:val="24"/>
                <w:szCs w:val="24"/>
              </w:rPr>
              <w:t>不满足任意一项实质性条款的投标将被否决。</w:t>
            </w:r>
          </w:p>
        </w:tc>
      </w:tr>
      <w:tr w14:paraId="60D0856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9665" w:type="dxa"/>
            <w:gridSpan w:val="4"/>
            <w:vAlign w:val="center"/>
          </w:tcPr>
          <w:p w14:paraId="2F5B5B06">
            <w:pPr>
              <w:snapToGrid w:val="0"/>
              <w:spacing w:line="360" w:lineRule="auto"/>
              <w:rPr>
                <w:rFonts w:ascii="仿宋" w:hAnsi="仿宋" w:eastAsia="仿宋" w:cs="仿宋"/>
                <w:sz w:val="24"/>
                <w:szCs w:val="24"/>
              </w:rPr>
            </w:pPr>
            <w:r>
              <w:rPr>
                <w:rFonts w:hint="eastAsia" w:ascii="仿宋" w:hAnsi="仿宋" w:eastAsia="仿宋" w:cs="仿宋"/>
                <w:sz w:val="24"/>
                <w:szCs w:val="24"/>
              </w:rPr>
              <w:t>说明：</w:t>
            </w:r>
          </w:p>
          <w:p w14:paraId="30C2A504">
            <w:pPr>
              <w:snapToGrid w:val="0"/>
              <w:spacing w:line="360" w:lineRule="auto"/>
              <w:rPr>
                <w:rFonts w:ascii="仿宋" w:hAnsi="仿宋" w:eastAsia="仿宋" w:cs="仿宋"/>
                <w:sz w:val="24"/>
                <w:szCs w:val="24"/>
              </w:rPr>
            </w:pPr>
            <w:r>
              <w:rPr>
                <w:rFonts w:hint="eastAsia" w:ascii="仿宋" w:hAnsi="仿宋" w:eastAsia="仿宋" w:cs="仿宋"/>
                <w:sz w:val="24"/>
                <w:szCs w:val="24"/>
              </w:rPr>
              <w:t>（1）评标委员会按照审查项目顺序为每一符合的项目打“√”，不符合的打“╳”；当审查项出现一个“╳”后，该投标人记录审查结论为“不合格”；</w:t>
            </w:r>
          </w:p>
          <w:p w14:paraId="2EDFDE66">
            <w:pPr>
              <w:snapToGrid w:val="0"/>
              <w:spacing w:line="360" w:lineRule="auto"/>
              <w:rPr>
                <w:rFonts w:ascii="仿宋" w:hAnsi="仿宋" w:eastAsia="仿宋" w:cs="仿宋"/>
                <w:sz w:val="24"/>
                <w:szCs w:val="24"/>
                <w:u w:val="single"/>
              </w:rPr>
            </w:pPr>
            <w:r>
              <w:rPr>
                <w:rFonts w:hint="eastAsia" w:ascii="仿宋" w:hAnsi="仿宋" w:eastAsia="仿宋" w:cs="仿宋"/>
                <w:sz w:val="24"/>
                <w:szCs w:val="24"/>
              </w:rPr>
              <w:t>（2）对于各项审查内容实行少数服从多数的原则，超过半数评委认为符合的，则该项的结果为符合，否则为不符合。</w:t>
            </w:r>
          </w:p>
        </w:tc>
      </w:tr>
    </w:tbl>
    <w:p w14:paraId="6D1A3C3D">
      <w:pPr>
        <w:pStyle w:val="5"/>
        <w:numPr>
          <w:ilvl w:val="0"/>
          <w:numId w:val="4"/>
        </w:numPr>
        <w:spacing w:line="360" w:lineRule="auto"/>
        <w:rPr>
          <w:rStyle w:val="53"/>
          <w:rFonts w:hint="default" w:ascii="仿宋" w:hAnsi="仿宋" w:cs="仿宋"/>
          <w:b/>
          <w:szCs w:val="24"/>
        </w:rPr>
      </w:pPr>
      <w:r>
        <w:rPr>
          <w:rFonts w:ascii="仿宋" w:hAnsi="仿宋" w:cs="仿宋"/>
          <w:szCs w:val="24"/>
        </w:rPr>
        <w:br w:type="page"/>
      </w:r>
      <w:bookmarkStart w:id="830" w:name="_Toc7306"/>
      <w:bookmarkStart w:id="831" w:name="_Toc30402"/>
      <w:bookmarkStart w:id="832" w:name="_Toc24207"/>
      <w:bookmarkStart w:id="833" w:name="_Toc13194"/>
      <w:bookmarkStart w:id="834" w:name="_Toc23331"/>
      <w:r>
        <w:rPr>
          <w:rStyle w:val="53"/>
          <w:rFonts w:ascii="仿宋" w:hAnsi="仿宋" w:cs="仿宋"/>
          <w:b/>
          <w:szCs w:val="24"/>
        </w:rPr>
        <w:t>否决投标情形汇总</w:t>
      </w:r>
      <w:bookmarkEnd w:id="829"/>
      <w:bookmarkEnd w:id="830"/>
      <w:bookmarkEnd w:id="831"/>
      <w:bookmarkEnd w:id="832"/>
      <w:bookmarkEnd w:id="833"/>
      <w:bookmarkEnd w:id="834"/>
    </w:p>
    <w:tbl>
      <w:tblPr>
        <w:tblStyle w:val="33"/>
        <w:tblW w:w="4835" w:type="pct"/>
        <w:jc w:val="center"/>
        <w:tblLayout w:type="autofit"/>
        <w:tblCellMar>
          <w:top w:w="0" w:type="dxa"/>
          <w:left w:w="108" w:type="dxa"/>
          <w:bottom w:w="0" w:type="dxa"/>
          <w:right w:w="108" w:type="dxa"/>
        </w:tblCellMar>
      </w:tblPr>
      <w:tblGrid>
        <w:gridCol w:w="1308"/>
        <w:gridCol w:w="1744"/>
        <w:gridCol w:w="6477"/>
      </w:tblGrid>
      <w:tr w14:paraId="578A3FA4">
        <w:tblPrEx>
          <w:tblCellMar>
            <w:top w:w="0" w:type="dxa"/>
            <w:left w:w="108" w:type="dxa"/>
            <w:bottom w:w="0" w:type="dxa"/>
            <w:right w:w="108" w:type="dxa"/>
          </w:tblCellMar>
        </w:tblPrEx>
        <w:trPr>
          <w:jc w:val="center"/>
        </w:trPr>
        <w:tc>
          <w:tcPr>
            <w:tcW w:w="686" w:type="pct"/>
            <w:tcBorders>
              <w:top w:val="single" w:color="auto" w:sz="4" w:space="0"/>
              <w:left w:val="single" w:color="auto" w:sz="4" w:space="0"/>
              <w:bottom w:val="single" w:color="auto" w:sz="4" w:space="0"/>
              <w:right w:val="single" w:color="auto" w:sz="4" w:space="0"/>
            </w:tcBorders>
            <w:vAlign w:val="center"/>
          </w:tcPr>
          <w:p w14:paraId="00C5D6E0">
            <w:pPr>
              <w:adjustRightInd w:val="0"/>
              <w:spacing w:before="62" w:beforeLines="20" w:after="62" w:afterLines="20" w:line="360" w:lineRule="auto"/>
              <w:jc w:val="center"/>
              <w:rPr>
                <w:rFonts w:ascii="仿宋" w:hAnsi="仿宋" w:eastAsia="仿宋" w:cs="仿宋"/>
                <w:b/>
                <w:sz w:val="24"/>
                <w:szCs w:val="24"/>
              </w:rPr>
            </w:pPr>
            <w:r>
              <w:rPr>
                <w:rFonts w:hint="eastAsia" w:ascii="仿宋" w:hAnsi="仿宋" w:eastAsia="仿宋" w:cs="仿宋"/>
                <w:b/>
                <w:sz w:val="24"/>
                <w:szCs w:val="24"/>
              </w:rPr>
              <w:t>章节</w:t>
            </w:r>
          </w:p>
        </w:tc>
        <w:tc>
          <w:tcPr>
            <w:tcW w:w="915" w:type="pct"/>
            <w:tcBorders>
              <w:top w:val="single" w:color="auto" w:sz="4" w:space="0"/>
              <w:left w:val="single" w:color="auto" w:sz="4" w:space="0"/>
              <w:bottom w:val="single" w:color="auto" w:sz="4" w:space="0"/>
              <w:right w:val="single" w:color="auto" w:sz="4" w:space="0"/>
            </w:tcBorders>
            <w:vAlign w:val="center"/>
          </w:tcPr>
          <w:p w14:paraId="43F2E47A">
            <w:pPr>
              <w:adjustRightInd w:val="0"/>
              <w:spacing w:before="62" w:beforeLines="20" w:after="62" w:afterLines="20" w:line="360" w:lineRule="auto"/>
              <w:jc w:val="center"/>
              <w:rPr>
                <w:rFonts w:ascii="仿宋" w:hAnsi="仿宋" w:eastAsia="仿宋" w:cs="仿宋"/>
                <w:b/>
                <w:sz w:val="24"/>
                <w:szCs w:val="24"/>
              </w:rPr>
            </w:pPr>
            <w:r>
              <w:rPr>
                <w:rFonts w:hint="eastAsia" w:ascii="仿宋" w:hAnsi="仿宋" w:eastAsia="仿宋" w:cs="仿宋"/>
                <w:b/>
                <w:sz w:val="24"/>
                <w:szCs w:val="24"/>
              </w:rPr>
              <w:t>内容</w:t>
            </w:r>
          </w:p>
        </w:tc>
        <w:tc>
          <w:tcPr>
            <w:tcW w:w="3398" w:type="pct"/>
            <w:tcBorders>
              <w:top w:val="single" w:color="auto" w:sz="4" w:space="0"/>
              <w:left w:val="single" w:color="auto" w:sz="4" w:space="0"/>
              <w:bottom w:val="single" w:color="auto" w:sz="4" w:space="0"/>
              <w:right w:val="single" w:color="auto" w:sz="4" w:space="0"/>
            </w:tcBorders>
            <w:vAlign w:val="center"/>
          </w:tcPr>
          <w:p w14:paraId="0C0DCDB0">
            <w:pPr>
              <w:autoSpaceDE w:val="0"/>
              <w:autoSpaceDN w:val="0"/>
              <w:spacing w:line="360" w:lineRule="auto"/>
              <w:jc w:val="center"/>
              <w:rPr>
                <w:rFonts w:ascii="仿宋" w:hAnsi="仿宋" w:eastAsia="仿宋" w:cs="仿宋"/>
                <w:b/>
                <w:sz w:val="24"/>
                <w:szCs w:val="24"/>
              </w:rPr>
            </w:pPr>
            <w:r>
              <w:rPr>
                <w:rFonts w:hint="eastAsia" w:ascii="仿宋" w:hAnsi="仿宋" w:eastAsia="仿宋" w:cs="仿宋"/>
                <w:b/>
                <w:sz w:val="24"/>
                <w:szCs w:val="24"/>
              </w:rPr>
              <w:t>条款</w:t>
            </w:r>
          </w:p>
        </w:tc>
      </w:tr>
      <w:tr w14:paraId="581ADA01">
        <w:tblPrEx>
          <w:tblCellMar>
            <w:top w:w="0" w:type="dxa"/>
            <w:left w:w="108" w:type="dxa"/>
            <w:bottom w:w="0" w:type="dxa"/>
            <w:right w:w="108" w:type="dxa"/>
          </w:tblCellMar>
        </w:tblPrEx>
        <w:trPr>
          <w:jc w:val="center"/>
        </w:trPr>
        <w:tc>
          <w:tcPr>
            <w:tcW w:w="686" w:type="pct"/>
            <w:tcBorders>
              <w:top w:val="single" w:color="auto" w:sz="4" w:space="0"/>
              <w:left w:val="single" w:color="auto" w:sz="4" w:space="0"/>
              <w:bottom w:val="single" w:color="auto" w:sz="4" w:space="0"/>
              <w:right w:val="single" w:color="auto" w:sz="4" w:space="0"/>
            </w:tcBorders>
            <w:vAlign w:val="center"/>
          </w:tcPr>
          <w:p w14:paraId="44DC87AA">
            <w:pPr>
              <w:adjustRightInd w:val="0"/>
              <w:spacing w:before="62" w:beforeLines="20" w:after="62" w:afterLines="20" w:line="360" w:lineRule="auto"/>
              <w:jc w:val="center"/>
              <w:rPr>
                <w:rFonts w:ascii="仿宋" w:hAnsi="仿宋" w:eastAsia="仿宋" w:cs="仿宋"/>
                <w:sz w:val="24"/>
                <w:szCs w:val="24"/>
              </w:rPr>
            </w:pPr>
            <w:r>
              <w:rPr>
                <w:rFonts w:hint="eastAsia" w:ascii="仿宋" w:hAnsi="仿宋" w:eastAsia="仿宋" w:cs="仿宋"/>
                <w:sz w:val="24"/>
                <w:szCs w:val="24"/>
              </w:rPr>
              <w:t>第一章</w:t>
            </w:r>
          </w:p>
        </w:tc>
        <w:tc>
          <w:tcPr>
            <w:tcW w:w="915" w:type="pct"/>
            <w:tcBorders>
              <w:top w:val="single" w:color="auto" w:sz="4" w:space="0"/>
              <w:left w:val="single" w:color="auto" w:sz="4" w:space="0"/>
              <w:bottom w:val="single" w:color="auto" w:sz="4" w:space="0"/>
              <w:right w:val="single" w:color="auto" w:sz="4" w:space="0"/>
            </w:tcBorders>
            <w:vAlign w:val="center"/>
          </w:tcPr>
          <w:p w14:paraId="2CF438BE">
            <w:pPr>
              <w:adjustRightInd w:val="0"/>
              <w:spacing w:before="62" w:beforeLines="20" w:after="62" w:afterLines="20" w:line="360" w:lineRule="auto"/>
              <w:jc w:val="center"/>
              <w:rPr>
                <w:rFonts w:ascii="仿宋" w:hAnsi="仿宋" w:eastAsia="仿宋" w:cs="仿宋"/>
                <w:sz w:val="24"/>
                <w:szCs w:val="24"/>
              </w:rPr>
            </w:pPr>
            <w:r>
              <w:rPr>
                <w:rFonts w:hint="eastAsia" w:ascii="仿宋" w:hAnsi="仿宋" w:eastAsia="仿宋" w:cs="仿宋"/>
                <w:sz w:val="24"/>
                <w:szCs w:val="24"/>
              </w:rPr>
              <w:t>招标公告</w:t>
            </w:r>
          </w:p>
        </w:tc>
        <w:tc>
          <w:tcPr>
            <w:tcW w:w="3398" w:type="pct"/>
            <w:tcBorders>
              <w:top w:val="single" w:color="auto" w:sz="4" w:space="0"/>
              <w:left w:val="single" w:color="auto" w:sz="4" w:space="0"/>
              <w:bottom w:val="single" w:color="auto" w:sz="4" w:space="0"/>
              <w:right w:val="single" w:color="auto" w:sz="4" w:space="0"/>
            </w:tcBorders>
            <w:vAlign w:val="center"/>
          </w:tcPr>
          <w:p w14:paraId="5B67BA84">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不完全符合“三、投标人资格要求”的投标将被否决</w:t>
            </w:r>
          </w:p>
        </w:tc>
      </w:tr>
      <w:tr w14:paraId="2C762360">
        <w:tblPrEx>
          <w:tblCellMar>
            <w:top w:w="0" w:type="dxa"/>
            <w:left w:w="108" w:type="dxa"/>
            <w:bottom w:w="0" w:type="dxa"/>
            <w:right w:w="108" w:type="dxa"/>
          </w:tblCellMar>
        </w:tblPrEx>
        <w:trPr>
          <w:jc w:val="center"/>
        </w:trPr>
        <w:tc>
          <w:tcPr>
            <w:tcW w:w="686" w:type="pct"/>
            <w:tcBorders>
              <w:top w:val="single" w:color="auto" w:sz="4" w:space="0"/>
              <w:left w:val="single" w:color="auto" w:sz="4" w:space="0"/>
              <w:bottom w:val="single" w:color="auto" w:sz="4" w:space="0"/>
              <w:right w:val="single" w:color="auto" w:sz="4" w:space="0"/>
            </w:tcBorders>
            <w:vAlign w:val="center"/>
          </w:tcPr>
          <w:p w14:paraId="545A68DD">
            <w:pPr>
              <w:adjustRightInd w:val="0"/>
              <w:spacing w:before="62" w:beforeLines="20" w:after="62" w:afterLines="20" w:line="360" w:lineRule="auto"/>
              <w:jc w:val="center"/>
              <w:rPr>
                <w:rFonts w:ascii="仿宋" w:hAnsi="仿宋" w:eastAsia="仿宋" w:cs="仿宋"/>
                <w:sz w:val="24"/>
                <w:szCs w:val="24"/>
              </w:rPr>
            </w:pPr>
            <w:r>
              <w:rPr>
                <w:rFonts w:hint="eastAsia" w:ascii="仿宋" w:hAnsi="仿宋" w:eastAsia="仿宋" w:cs="仿宋"/>
                <w:sz w:val="24"/>
                <w:szCs w:val="24"/>
              </w:rPr>
              <w:t>第二章</w:t>
            </w:r>
          </w:p>
        </w:tc>
        <w:tc>
          <w:tcPr>
            <w:tcW w:w="915" w:type="pct"/>
            <w:tcBorders>
              <w:top w:val="single" w:color="auto" w:sz="4" w:space="0"/>
              <w:left w:val="single" w:color="auto" w:sz="4" w:space="0"/>
              <w:bottom w:val="single" w:color="auto" w:sz="4" w:space="0"/>
              <w:right w:val="single" w:color="auto" w:sz="4" w:space="0"/>
            </w:tcBorders>
            <w:vAlign w:val="center"/>
          </w:tcPr>
          <w:p w14:paraId="0359A4E8">
            <w:pPr>
              <w:adjustRightInd w:val="0"/>
              <w:spacing w:before="62" w:beforeLines="20" w:after="62" w:afterLines="20" w:line="360" w:lineRule="auto"/>
              <w:jc w:val="center"/>
              <w:rPr>
                <w:rFonts w:ascii="仿宋" w:hAnsi="仿宋" w:eastAsia="仿宋" w:cs="仿宋"/>
                <w:sz w:val="24"/>
                <w:szCs w:val="24"/>
              </w:rPr>
            </w:pPr>
            <w:r>
              <w:rPr>
                <w:rFonts w:hint="eastAsia" w:ascii="仿宋" w:hAnsi="仿宋" w:eastAsia="仿宋" w:cs="仿宋"/>
                <w:sz w:val="24"/>
                <w:szCs w:val="24"/>
              </w:rPr>
              <w:t>投标人须知</w:t>
            </w:r>
          </w:p>
        </w:tc>
        <w:tc>
          <w:tcPr>
            <w:tcW w:w="3398" w:type="pct"/>
            <w:tcBorders>
              <w:top w:val="single" w:color="auto" w:sz="4" w:space="0"/>
              <w:left w:val="single" w:color="auto" w:sz="4" w:space="0"/>
              <w:bottom w:val="single" w:color="auto" w:sz="4" w:space="0"/>
              <w:right w:val="single" w:color="auto" w:sz="4" w:space="0"/>
            </w:tcBorders>
            <w:vAlign w:val="center"/>
          </w:tcPr>
          <w:p w14:paraId="550CAD96">
            <w:pPr>
              <w:autoSpaceDE w:val="0"/>
              <w:autoSpaceDN w:val="0"/>
              <w:spacing w:line="360" w:lineRule="auto"/>
              <w:rPr>
                <w:rFonts w:ascii="仿宋" w:hAnsi="仿宋" w:eastAsia="仿宋" w:cs="仿宋"/>
                <w:b/>
                <w:sz w:val="24"/>
                <w:szCs w:val="24"/>
              </w:rPr>
            </w:pPr>
            <w:r>
              <w:rPr>
                <w:rFonts w:hint="eastAsia" w:ascii="仿宋" w:hAnsi="仿宋" w:eastAsia="仿宋" w:cs="仿宋"/>
                <w:sz w:val="24"/>
                <w:szCs w:val="24"/>
              </w:rPr>
              <w:t xml:space="preserve">2.1.3 </w:t>
            </w:r>
            <w:r>
              <w:rPr>
                <w:rFonts w:hint="eastAsia" w:ascii="仿宋" w:hAnsi="仿宋" w:eastAsia="仿宋" w:cs="仿宋"/>
                <w:sz w:val="24"/>
                <w:szCs w:val="24"/>
                <w:u w:val="single"/>
              </w:rPr>
              <w:t>招标文件中标识“★”条款、注明“投标将被否决”的条款</w:t>
            </w:r>
            <w:r>
              <w:rPr>
                <w:rFonts w:hint="eastAsia" w:ascii="仿宋" w:hAnsi="仿宋" w:eastAsia="仿宋" w:cs="仿宋"/>
                <w:sz w:val="24"/>
                <w:szCs w:val="24"/>
              </w:rPr>
              <w:t>，均为实质性条款，</w:t>
            </w:r>
            <w:r>
              <w:rPr>
                <w:rFonts w:hint="eastAsia" w:ascii="仿宋" w:hAnsi="仿宋" w:eastAsia="仿宋" w:cs="仿宋"/>
                <w:b/>
                <w:sz w:val="24"/>
                <w:szCs w:val="24"/>
              </w:rPr>
              <w:t>不满足任意一项实质性条款的投标将被否决。</w:t>
            </w:r>
          </w:p>
          <w:p w14:paraId="06A6BAA4">
            <w:pPr>
              <w:pStyle w:val="122"/>
              <w:snapToGrid w:val="0"/>
              <w:spacing w:line="360" w:lineRule="auto"/>
              <w:rPr>
                <w:rFonts w:ascii="仿宋" w:hAnsi="仿宋" w:eastAsia="仿宋" w:cs="仿宋"/>
                <w:b/>
                <w:szCs w:val="24"/>
              </w:rPr>
            </w:pPr>
            <w:r>
              <w:rPr>
                <w:rFonts w:hint="eastAsia" w:ascii="仿宋" w:hAnsi="仿宋" w:eastAsia="仿宋" w:cs="仿宋"/>
                <w:szCs w:val="24"/>
              </w:rPr>
              <w:t>3.1</w:t>
            </w:r>
            <w:r>
              <w:rPr>
                <w:rFonts w:hint="eastAsia" w:ascii="仿宋" w:hAnsi="仿宋" w:eastAsia="仿宋" w:cs="仿宋"/>
                <w:b/>
                <w:bCs/>
                <w:kern w:val="2"/>
                <w:szCs w:val="24"/>
              </w:rPr>
              <w:t>★所有报价文件务必单独成册，不得与商务、技术册文件合并装订，并且商务、技术册文件不得有任何明示、暗示投标报价的内容，否则投标将被否决。</w:t>
            </w:r>
          </w:p>
          <w:p w14:paraId="27F864CC">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3.2.2 投标人应认真阅读招标文件中所有的事项、格式、条款和技术规范等。投标人没有按照招标文件要求递交全部资料，或者投标人没有对招标文件在各方面都作出实质性响应是投标人的风险，</w:t>
            </w:r>
            <w:r>
              <w:rPr>
                <w:rFonts w:hint="eastAsia" w:ascii="仿宋" w:hAnsi="仿宋" w:eastAsia="仿宋" w:cs="仿宋"/>
                <w:b/>
                <w:sz w:val="24"/>
                <w:szCs w:val="24"/>
              </w:rPr>
              <w:t>并可能导致其投标被否决</w:t>
            </w:r>
            <w:r>
              <w:rPr>
                <w:rFonts w:hint="eastAsia" w:ascii="仿宋" w:hAnsi="仿宋" w:eastAsia="仿宋" w:cs="仿宋"/>
                <w:sz w:val="24"/>
                <w:szCs w:val="24"/>
              </w:rPr>
              <w:t>。</w:t>
            </w:r>
          </w:p>
          <w:p w14:paraId="315114ED">
            <w:pPr>
              <w:autoSpaceDE w:val="0"/>
              <w:autoSpaceDN w:val="0"/>
              <w:spacing w:line="360" w:lineRule="auto"/>
              <w:rPr>
                <w:rFonts w:ascii="仿宋" w:hAnsi="仿宋" w:eastAsia="仿宋" w:cs="仿宋"/>
                <w:b/>
                <w:spacing w:val="-4"/>
                <w:sz w:val="24"/>
                <w:szCs w:val="24"/>
              </w:rPr>
            </w:pPr>
            <w:r>
              <w:rPr>
                <w:rFonts w:hint="eastAsia" w:ascii="仿宋" w:hAnsi="仿宋" w:eastAsia="仿宋" w:cs="仿宋"/>
                <w:sz w:val="24"/>
                <w:szCs w:val="24"/>
              </w:rPr>
              <w:t xml:space="preserve">3.3.4 </w:t>
            </w:r>
            <w:r>
              <w:rPr>
                <w:rFonts w:hint="eastAsia" w:ascii="仿宋" w:hAnsi="仿宋" w:eastAsia="仿宋" w:cs="仿宋"/>
                <w:spacing w:val="-4"/>
                <w:sz w:val="24"/>
                <w:szCs w:val="24"/>
              </w:rPr>
              <w:t>本项目最高投标限价为：</w:t>
            </w:r>
            <w:r>
              <w:rPr>
                <w:rFonts w:hint="eastAsia" w:ascii="仿宋" w:hAnsi="仿宋" w:eastAsia="仿宋" w:cs="仿宋"/>
                <w:b/>
                <w:bCs/>
                <w:spacing w:val="-4"/>
                <w:sz w:val="24"/>
                <w:szCs w:val="24"/>
              </w:rPr>
              <w:t>最高投标限价折扣率</w:t>
            </w:r>
            <w:r>
              <w:rPr>
                <w:rFonts w:hint="eastAsia" w:ascii="仿宋" w:hAnsi="仿宋" w:eastAsia="仿宋" w:cs="仿宋"/>
                <w:b/>
                <w:bCs/>
                <w:spacing w:val="-4"/>
                <w:sz w:val="24"/>
                <w:szCs w:val="24"/>
                <w:u w:val="single"/>
              </w:rPr>
              <w:t>为100%</w:t>
            </w:r>
            <w:r>
              <w:rPr>
                <w:rFonts w:hint="eastAsia" w:ascii="仿宋" w:hAnsi="仿宋" w:eastAsia="仿宋" w:cs="仿宋"/>
                <w:b/>
                <w:bCs/>
                <w:spacing w:val="-4"/>
                <w:sz w:val="24"/>
                <w:szCs w:val="24"/>
              </w:rPr>
              <w:t>，</w:t>
            </w:r>
            <w:r>
              <w:rPr>
                <w:rFonts w:hint="eastAsia" w:ascii="仿宋" w:hAnsi="仿宋" w:eastAsia="仿宋" w:cs="仿宋"/>
                <w:spacing w:val="-4"/>
                <w:sz w:val="24"/>
                <w:szCs w:val="24"/>
              </w:rPr>
              <w:t>投标报价不得超过</w:t>
            </w:r>
            <w:r>
              <w:rPr>
                <w:rFonts w:hint="eastAsia" w:ascii="仿宋" w:hAnsi="仿宋" w:eastAsia="仿宋" w:cs="仿宋"/>
                <w:spacing w:val="-4"/>
                <w:sz w:val="24"/>
                <w:szCs w:val="24"/>
                <w:u w:val="single"/>
              </w:rPr>
              <w:t>最高投标限价，</w:t>
            </w:r>
            <w:r>
              <w:rPr>
                <w:rFonts w:hint="eastAsia" w:ascii="仿宋" w:hAnsi="仿宋" w:eastAsia="仿宋" w:cs="仿宋"/>
                <w:spacing w:val="-4"/>
                <w:sz w:val="24"/>
                <w:szCs w:val="24"/>
              </w:rPr>
              <w:t>投标报价也不得为</w:t>
            </w:r>
            <w:r>
              <w:rPr>
                <w:rFonts w:hint="eastAsia" w:ascii="仿宋" w:hAnsi="仿宋" w:eastAsia="仿宋" w:cs="仿宋"/>
                <w:spacing w:val="-4"/>
                <w:sz w:val="24"/>
                <w:szCs w:val="24"/>
                <w:u w:val="single"/>
              </w:rPr>
              <w:t>区间值（如90%-95%）</w:t>
            </w:r>
            <w:r>
              <w:rPr>
                <w:rFonts w:hint="eastAsia" w:ascii="仿宋" w:hAnsi="仿宋" w:eastAsia="仿宋" w:cs="仿宋"/>
                <w:spacing w:val="-4"/>
                <w:sz w:val="24"/>
                <w:szCs w:val="24"/>
              </w:rPr>
              <w:t>，</w:t>
            </w:r>
            <w:r>
              <w:rPr>
                <w:rFonts w:hint="eastAsia" w:ascii="仿宋" w:hAnsi="仿宋" w:eastAsia="仿宋" w:cs="仿宋"/>
                <w:b/>
                <w:bCs/>
                <w:spacing w:val="-4"/>
                <w:sz w:val="24"/>
                <w:szCs w:val="24"/>
              </w:rPr>
              <w:t>否则</w:t>
            </w:r>
            <w:r>
              <w:rPr>
                <w:rFonts w:hint="eastAsia" w:ascii="仿宋" w:hAnsi="仿宋" w:eastAsia="仿宋" w:cs="仿宋"/>
                <w:b/>
                <w:spacing w:val="-4"/>
                <w:sz w:val="24"/>
                <w:szCs w:val="24"/>
              </w:rPr>
              <w:t>投标将被否决。</w:t>
            </w:r>
          </w:p>
          <w:p w14:paraId="398C59D6">
            <w:pPr>
              <w:autoSpaceDE w:val="0"/>
              <w:autoSpaceDN w:val="0"/>
              <w:spacing w:line="360" w:lineRule="auto"/>
              <w:rPr>
                <w:rFonts w:ascii="仿宋" w:hAnsi="仿宋" w:eastAsia="仿宋" w:cs="仿宋"/>
                <w:b/>
                <w:sz w:val="24"/>
                <w:szCs w:val="24"/>
              </w:rPr>
            </w:pPr>
            <w:r>
              <w:rPr>
                <w:rFonts w:hint="eastAsia" w:ascii="仿宋" w:hAnsi="仿宋" w:eastAsia="仿宋" w:cs="仿宋"/>
                <w:sz w:val="24"/>
                <w:szCs w:val="24"/>
              </w:rPr>
              <w:t>3.3.5（2）投标人应根据技术规范书的要求并遵照“第六章 投标文件格式”给出的投标一览表、分项报价表进行报价，不得缺省或回避填写，</w:t>
            </w:r>
            <w:r>
              <w:rPr>
                <w:rFonts w:hint="eastAsia" w:ascii="仿宋" w:hAnsi="仿宋" w:eastAsia="仿宋" w:cs="仿宋"/>
                <w:b/>
                <w:sz w:val="24"/>
                <w:szCs w:val="24"/>
              </w:rPr>
              <w:t>否则视为非实质性响应，投标将被否决。</w:t>
            </w:r>
          </w:p>
          <w:p w14:paraId="1AE770A6">
            <w:pPr>
              <w:autoSpaceDE w:val="0"/>
              <w:autoSpaceDN w:val="0"/>
              <w:spacing w:line="360" w:lineRule="auto"/>
              <w:rPr>
                <w:rFonts w:ascii="仿宋" w:hAnsi="仿宋" w:eastAsia="仿宋" w:cs="仿宋"/>
                <w:b/>
                <w:sz w:val="24"/>
                <w:szCs w:val="24"/>
              </w:rPr>
            </w:pPr>
            <w:r>
              <w:rPr>
                <w:rFonts w:hint="eastAsia" w:ascii="仿宋" w:hAnsi="仿宋" w:eastAsia="仿宋" w:cs="仿宋"/>
                <w:sz w:val="24"/>
                <w:szCs w:val="24"/>
              </w:rPr>
              <w:t>3.4.1 投标人承诺的投标有效期必须不短于招标文件规定的投标有效期，</w:t>
            </w:r>
            <w:r>
              <w:rPr>
                <w:rFonts w:hint="eastAsia" w:ascii="仿宋" w:hAnsi="仿宋" w:eastAsia="仿宋" w:cs="仿宋"/>
                <w:b/>
                <w:sz w:val="24"/>
                <w:szCs w:val="24"/>
              </w:rPr>
              <w:t>否则将构成对招标文件的非实质性响应，投标将被否决。</w:t>
            </w:r>
          </w:p>
          <w:p w14:paraId="33795157">
            <w:pPr>
              <w:autoSpaceDE w:val="0"/>
              <w:autoSpaceDN w:val="0"/>
              <w:spacing w:line="360" w:lineRule="auto"/>
              <w:rPr>
                <w:rFonts w:ascii="仿宋" w:hAnsi="仿宋" w:eastAsia="仿宋" w:cs="仿宋"/>
                <w:bCs/>
                <w:sz w:val="24"/>
                <w:szCs w:val="24"/>
              </w:rPr>
            </w:pPr>
            <w:r>
              <w:rPr>
                <w:rFonts w:hint="eastAsia" w:ascii="仿宋" w:hAnsi="仿宋" w:eastAsia="仿宋" w:cs="仿宋"/>
                <w:bCs/>
                <w:sz w:val="24"/>
                <w:szCs w:val="24"/>
              </w:rPr>
              <w:t>3.5.1 投标保证金的金额及形式。</w:t>
            </w:r>
          </w:p>
          <w:p w14:paraId="38699BE6">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3.5.2（3）未在投标文件递交截止时间前提交投标保证金的或者提交的投标保证金有瑕疵的，</w:t>
            </w:r>
            <w:r>
              <w:rPr>
                <w:rFonts w:hint="eastAsia" w:ascii="仿宋" w:hAnsi="仿宋" w:eastAsia="仿宋" w:cs="仿宋"/>
                <w:b/>
                <w:sz w:val="24"/>
                <w:szCs w:val="24"/>
              </w:rPr>
              <w:t>投标将被否决</w:t>
            </w:r>
            <w:r>
              <w:rPr>
                <w:rFonts w:hint="eastAsia" w:ascii="仿宋" w:hAnsi="仿宋" w:eastAsia="仿宋" w:cs="仿宋"/>
                <w:sz w:val="24"/>
                <w:szCs w:val="24"/>
              </w:rPr>
              <w:t>。</w:t>
            </w:r>
          </w:p>
        </w:tc>
      </w:tr>
      <w:tr w14:paraId="03CFF0C3">
        <w:tblPrEx>
          <w:tblCellMar>
            <w:top w:w="0" w:type="dxa"/>
            <w:left w:w="108" w:type="dxa"/>
            <w:bottom w:w="0" w:type="dxa"/>
            <w:right w:w="108" w:type="dxa"/>
          </w:tblCellMar>
        </w:tblPrEx>
        <w:trPr>
          <w:jc w:val="center"/>
        </w:trPr>
        <w:tc>
          <w:tcPr>
            <w:tcW w:w="686" w:type="pct"/>
            <w:tcBorders>
              <w:top w:val="single" w:color="auto" w:sz="4" w:space="0"/>
              <w:left w:val="single" w:color="auto" w:sz="4" w:space="0"/>
              <w:bottom w:val="single" w:color="auto" w:sz="4" w:space="0"/>
              <w:right w:val="single" w:color="auto" w:sz="4" w:space="0"/>
            </w:tcBorders>
            <w:vAlign w:val="center"/>
          </w:tcPr>
          <w:p w14:paraId="2B700F90">
            <w:pPr>
              <w:adjustRightInd w:val="0"/>
              <w:spacing w:before="62" w:beforeLines="20" w:after="62" w:afterLines="20" w:line="360" w:lineRule="auto"/>
              <w:jc w:val="center"/>
              <w:rPr>
                <w:rFonts w:ascii="仿宋" w:hAnsi="仿宋" w:eastAsia="仿宋" w:cs="仿宋"/>
                <w:sz w:val="24"/>
                <w:szCs w:val="24"/>
              </w:rPr>
            </w:pPr>
            <w:r>
              <w:rPr>
                <w:rFonts w:hint="eastAsia" w:ascii="仿宋" w:hAnsi="仿宋" w:eastAsia="仿宋" w:cs="仿宋"/>
                <w:sz w:val="24"/>
                <w:szCs w:val="24"/>
              </w:rPr>
              <w:t>第三章</w:t>
            </w:r>
          </w:p>
        </w:tc>
        <w:tc>
          <w:tcPr>
            <w:tcW w:w="915" w:type="pct"/>
            <w:tcBorders>
              <w:top w:val="single" w:color="auto" w:sz="4" w:space="0"/>
              <w:left w:val="single" w:color="auto" w:sz="4" w:space="0"/>
              <w:bottom w:val="single" w:color="auto" w:sz="4" w:space="0"/>
              <w:right w:val="single" w:color="auto" w:sz="4" w:space="0"/>
            </w:tcBorders>
            <w:vAlign w:val="center"/>
          </w:tcPr>
          <w:p w14:paraId="2CF34C2B">
            <w:pPr>
              <w:adjustRightInd w:val="0"/>
              <w:spacing w:before="62" w:beforeLines="20" w:after="62" w:afterLines="20" w:line="360" w:lineRule="auto"/>
              <w:jc w:val="center"/>
              <w:rPr>
                <w:rFonts w:ascii="仿宋" w:hAnsi="仿宋" w:eastAsia="仿宋" w:cs="仿宋"/>
                <w:sz w:val="24"/>
                <w:szCs w:val="24"/>
              </w:rPr>
            </w:pPr>
            <w:r>
              <w:rPr>
                <w:rFonts w:hint="eastAsia" w:ascii="仿宋" w:hAnsi="仿宋" w:eastAsia="仿宋" w:cs="仿宋"/>
                <w:sz w:val="24"/>
                <w:szCs w:val="24"/>
              </w:rPr>
              <w:t>评标办法</w:t>
            </w:r>
          </w:p>
        </w:tc>
        <w:tc>
          <w:tcPr>
            <w:tcW w:w="3398" w:type="pct"/>
            <w:tcBorders>
              <w:top w:val="single" w:color="auto" w:sz="4" w:space="0"/>
              <w:left w:val="single" w:color="auto" w:sz="4" w:space="0"/>
              <w:bottom w:val="single" w:color="auto" w:sz="4" w:space="0"/>
              <w:right w:val="single" w:color="auto" w:sz="4" w:space="0"/>
            </w:tcBorders>
            <w:vAlign w:val="center"/>
          </w:tcPr>
          <w:p w14:paraId="534744A6">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3.1.1有一项不符合初步评审标准的，评标委员会</w:t>
            </w:r>
            <w:r>
              <w:rPr>
                <w:rFonts w:hint="eastAsia" w:ascii="仿宋" w:hAnsi="仿宋" w:eastAsia="仿宋" w:cs="仿宋"/>
                <w:b/>
                <w:bCs/>
                <w:sz w:val="24"/>
                <w:szCs w:val="24"/>
              </w:rPr>
              <w:t>应当否决其投标</w:t>
            </w:r>
            <w:r>
              <w:rPr>
                <w:rFonts w:hint="eastAsia" w:ascii="仿宋" w:hAnsi="仿宋" w:eastAsia="仿宋" w:cs="仿宋"/>
                <w:sz w:val="24"/>
                <w:szCs w:val="24"/>
              </w:rPr>
              <w:t>。</w:t>
            </w:r>
          </w:p>
          <w:p w14:paraId="0F2C256B">
            <w:pPr>
              <w:autoSpaceDE w:val="0"/>
              <w:autoSpaceDN w:val="0"/>
              <w:spacing w:line="360" w:lineRule="auto"/>
              <w:rPr>
                <w:rFonts w:ascii="仿宋" w:hAnsi="仿宋" w:eastAsia="仿宋" w:cs="仿宋"/>
                <w:sz w:val="24"/>
                <w:szCs w:val="24"/>
              </w:rPr>
            </w:pPr>
            <w:bookmarkStart w:id="835" w:name="_Toc71192015"/>
            <w:bookmarkStart w:id="836" w:name="_Toc109124292"/>
            <w:r>
              <w:rPr>
                <w:rFonts w:hint="eastAsia" w:ascii="仿宋" w:hAnsi="仿宋" w:eastAsia="仿宋" w:cs="仿宋"/>
                <w:sz w:val="24"/>
                <w:szCs w:val="24"/>
              </w:rPr>
              <w:t>3.1.2投标人有以下情形之一的，评标委员会</w:t>
            </w:r>
            <w:r>
              <w:rPr>
                <w:rFonts w:hint="eastAsia" w:ascii="仿宋" w:hAnsi="仿宋" w:eastAsia="仿宋" w:cs="仿宋"/>
                <w:b/>
                <w:bCs/>
                <w:sz w:val="24"/>
                <w:szCs w:val="24"/>
              </w:rPr>
              <w:t>应当否决其投标</w:t>
            </w:r>
            <w:r>
              <w:rPr>
                <w:rFonts w:hint="eastAsia" w:ascii="仿宋" w:hAnsi="仿宋" w:eastAsia="仿宋" w:cs="仿宋"/>
                <w:sz w:val="24"/>
                <w:szCs w:val="24"/>
              </w:rPr>
              <w:t>：</w:t>
            </w:r>
            <w:bookmarkEnd w:id="835"/>
            <w:bookmarkEnd w:id="836"/>
          </w:p>
          <w:p w14:paraId="04DB1855">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（1）按照招标公告要求已经递交电子投标文件，但未按时递交纸质投标文件；</w:t>
            </w:r>
          </w:p>
          <w:p w14:paraId="4490069E">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（2）投标文件未经投标单位盖章或单位负责人签字；</w:t>
            </w:r>
          </w:p>
          <w:p w14:paraId="013BAAFA">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（3）允许联合体投标的，投标联合体没有递交共同投标协议；</w:t>
            </w:r>
          </w:p>
          <w:p w14:paraId="4BBBB9DA">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（4）投标人不符合国家或者招标文件规定的资格条件；</w:t>
            </w:r>
          </w:p>
          <w:p w14:paraId="30DDD3C4">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（5）同一投标人提交两个以上不同的投标文件或者投标报价，但招标文件要求提交备选投标的除外；</w:t>
            </w:r>
          </w:p>
          <w:p w14:paraId="46430063">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（6）投标报价低于成本或者高于招标文件设定的最高投标限价；</w:t>
            </w:r>
          </w:p>
          <w:p w14:paraId="01174ECD">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 xml:space="preserve">（7）投标文件未对招标文件的实质性要求和条件作出响应； </w:t>
            </w:r>
          </w:p>
          <w:p w14:paraId="18B72288">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（8）投标人有串通投标、弄虚作假、行贿等违法行为；</w:t>
            </w:r>
          </w:p>
          <w:p w14:paraId="3B533548">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（9）不接受或不确认因算术性错误进行的价格修正；</w:t>
            </w:r>
          </w:p>
          <w:p w14:paraId="3961E22F">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（10）投标文件附有招标人不能接受的条件；</w:t>
            </w:r>
          </w:p>
          <w:p w14:paraId="799A5D51">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（11）不符合招标文件中规定的其他实质性要求。</w:t>
            </w:r>
          </w:p>
          <w:p w14:paraId="1A6DABBE">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3.1.3投标报价有算术错误的，评标委员会按照以下原则对投标报价进行修正，修正的价格经投标人书面确认后具有约束力。投标人不接受或不确认修正后价格的，</w:t>
            </w:r>
            <w:r>
              <w:rPr>
                <w:rFonts w:hint="eastAsia" w:ascii="仿宋" w:hAnsi="仿宋" w:eastAsia="仿宋" w:cs="仿宋"/>
                <w:b/>
                <w:bCs/>
                <w:sz w:val="24"/>
                <w:szCs w:val="24"/>
              </w:rPr>
              <w:t>评标委员会应当否决其投标。</w:t>
            </w:r>
          </w:p>
          <w:p w14:paraId="4955E919">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（1） 投标文件中的大写金额与小写金额不一致的，以大写金额为准；</w:t>
            </w:r>
          </w:p>
          <w:p w14:paraId="1316FC63">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（2） 总价金额与根据单价计算出的结果不一致的，以单价金额为准修正总价，但单价金额小数点有明显错误的除外。</w:t>
            </w:r>
          </w:p>
          <w:p w14:paraId="63376647">
            <w:pPr>
              <w:pStyle w:val="14"/>
              <w:spacing w:line="360" w:lineRule="auto"/>
              <w:rPr>
                <w:rFonts w:ascii="仿宋" w:hAnsi="仿宋" w:eastAsia="仿宋" w:cs="仿宋"/>
                <w:sz w:val="24"/>
                <w:szCs w:val="24"/>
              </w:rPr>
            </w:pPr>
            <w:r>
              <w:rPr>
                <w:rFonts w:hint="eastAsia" w:ascii="仿宋" w:hAnsi="仿宋" w:eastAsia="仿宋" w:cs="仿宋"/>
                <w:sz w:val="24"/>
                <w:szCs w:val="24"/>
              </w:rPr>
              <w:t>3.1.4在评标过程中，评标委员会发现投标人的报价明显低于其他投标报价或者在设有标底时明显低于标底，使得其投标报价可能低于其个别成本的，应当要求该投标人作出书面说明并提供相关证明材料。投标人不能合理说明或者不能提供相关证明材料的，由评标委员会认定该投标人以低于成本报价竞标，</w:t>
            </w:r>
            <w:r>
              <w:rPr>
                <w:rFonts w:hint="eastAsia" w:ascii="仿宋" w:hAnsi="仿宋" w:eastAsia="仿宋" w:cs="仿宋"/>
                <w:b/>
                <w:bCs/>
                <w:sz w:val="24"/>
                <w:szCs w:val="24"/>
              </w:rPr>
              <w:t>应当否决其投标。</w:t>
            </w:r>
          </w:p>
          <w:p w14:paraId="38F4EE9F">
            <w:pPr>
              <w:pStyle w:val="14"/>
              <w:spacing w:line="360" w:lineRule="auto"/>
              <w:rPr>
                <w:rFonts w:ascii="仿宋" w:hAnsi="仿宋" w:eastAsia="仿宋" w:cs="仿宋"/>
                <w:sz w:val="24"/>
                <w:szCs w:val="24"/>
              </w:rPr>
            </w:pPr>
            <w:r>
              <w:rPr>
                <w:rFonts w:hint="eastAsia" w:ascii="仿宋" w:hAnsi="仿宋" w:eastAsia="仿宋" w:cs="仿宋"/>
                <w:sz w:val="24"/>
                <w:szCs w:val="24"/>
              </w:rPr>
              <w:t>3.1.5 中标人为1家的项目，如果有效投标人少于3家（不含本数），评标委员会</w:t>
            </w:r>
            <w:r>
              <w:rPr>
                <w:rFonts w:hint="eastAsia" w:ascii="仿宋" w:hAnsi="仿宋" w:eastAsia="仿宋" w:cs="仿宋"/>
                <w:b/>
                <w:bCs/>
                <w:sz w:val="24"/>
                <w:szCs w:val="24"/>
              </w:rPr>
              <w:t>将否决全部投标</w:t>
            </w:r>
            <w:r>
              <w:rPr>
                <w:rFonts w:hint="eastAsia" w:ascii="仿宋" w:hAnsi="仿宋" w:eastAsia="仿宋" w:cs="仿宋"/>
                <w:sz w:val="24"/>
                <w:szCs w:val="24"/>
              </w:rPr>
              <w:t>。中标人为N家（1＜N≤3）的项目，如果有效投标人少于2N家（不含本数），评标委员会</w:t>
            </w:r>
            <w:r>
              <w:rPr>
                <w:rFonts w:hint="eastAsia" w:ascii="仿宋" w:hAnsi="仿宋" w:eastAsia="仿宋" w:cs="仿宋"/>
                <w:b/>
                <w:bCs/>
                <w:sz w:val="24"/>
                <w:szCs w:val="24"/>
              </w:rPr>
              <w:t>将否决全部投标</w:t>
            </w:r>
            <w:r>
              <w:rPr>
                <w:rFonts w:hint="eastAsia" w:ascii="仿宋" w:hAnsi="仿宋" w:eastAsia="仿宋" w:cs="仿宋"/>
                <w:sz w:val="24"/>
                <w:szCs w:val="24"/>
              </w:rPr>
              <w:t>。中标人为N家（N＞3）的项目，如果有效投标人少于1.5N家（不含本数），评标委员会</w:t>
            </w:r>
            <w:r>
              <w:rPr>
                <w:rFonts w:hint="eastAsia" w:ascii="仿宋" w:hAnsi="仿宋" w:eastAsia="仿宋" w:cs="仿宋"/>
                <w:b/>
                <w:bCs/>
                <w:sz w:val="24"/>
                <w:szCs w:val="24"/>
              </w:rPr>
              <w:t>将否决全部投标</w:t>
            </w:r>
            <w:r>
              <w:rPr>
                <w:rFonts w:hint="eastAsia" w:ascii="仿宋" w:hAnsi="仿宋" w:eastAsia="仿宋" w:cs="仿宋"/>
                <w:sz w:val="24"/>
                <w:szCs w:val="24"/>
              </w:rPr>
              <w:t>。</w:t>
            </w:r>
          </w:p>
          <w:p w14:paraId="12495949">
            <w:pPr>
              <w:pStyle w:val="14"/>
              <w:spacing w:line="360" w:lineRule="auto"/>
              <w:rPr>
                <w:rFonts w:ascii="仿宋" w:hAnsi="仿宋" w:eastAsia="仿宋" w:cs="仿宋"/>
                <w:b/>
                <w:bCs/>
                <w:sz w:val="24"/>
                <w:szCs w:val="24"/>
              </w:rPr>
            </w:pPr>
            <w:r>
              <w:rPr>
                <w:rFonts w:hint="eastAsia" w:ascii="仿宋" w:hAnsi="仿宋" w:eastAsia="仿宋" w:cs="仿宋"/>
                <w:sz w:val="24"/>
                <w:szCs w:val="24"/>
              </w:rPr>
              <w:t>3.3.3 投标人的澄清、说明和补正应当采用书面形式，并不得超出投标文件的范围或者改变投标文件的实质性内容（算术性错误修正的除外），投标人的书面澄清、说明和补正属于投标文件的组成部分。拒不按照要求对投标文件进行澄清、说明或补正的，</w:t>
            </w:r>
            <w:r>
              <w:rPr>
                <w:rFonts w:hint="eastAsia" w:ascii="仿宋" w:hAnsi="仿宋" w:eastAsia="仿宋" w:cs="仿宋"/>
                <w:b/>
                <w:bCs/>
                <w:sz w:val="24"/>
                <w:szCs w:val="24"/>
              </w:rPr>
              <w:t>评标委员会可以否决其投标。</w:t>
            </w:r>
          </w:p>
          <w:p w14:paraId="414E57D4">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3.3.5 评标委员会必要时可以要求投标人提交有关证明和证件的原件，以便核验。拒不按照要求提供原件的，</w:t>
            </w:r>
            <w:r>
              <w:rPr>
                <w:rFonts w:hint="eastAsia" w:ascii="仿宋" w:hAnsi="仿宋" w:eastAsia="仿宋" w:cs="仿宋"/>
                <w:b/>
                <w:bCs/>
                <w:sz w:val="24"/>
                <w:szCs w:val="24"/>
              </w:rPr>
              <w:t>评标委员会可以否决其投标。</w:t>
            </w:r>
          </w:p>
        </w:tc>
      </w:tr>
      <w:tr w14:paraId="57F93C2F">
        <w:tblPrEx>
          <w:tblCellMar>
            <w:top w:w="0" w:type="dxa"/>
            <w:left w:w="108" w:type="dxa"/>
            <w:bottom w:w="0" w:type="dxa"/>
            <w:right w:w="108" w:type="dxa"/>
          </w:tblCellMar>
        </w:tblPrEx>
        <w:trPr>
          <w:jc w:val="center"/>
        </w:trPr>
        <w:tc>
          <w:tcPr>
            <w:tcW w:w="686" w:type="pct"/>
            <w:tcBorders>
              <w:top w:val="single" w:color="auto" w:sz="4" w:space="0"/>
              <w:left w:val="single" w:color="auto" w:sz="4" w:space="0"/>
              <w:bottom w:val="single" w:color="auto" w:sz="4" w:space="0"/>
              <w:right w:val="single" w:color="auto" w:sz="4" w:space="0"/>
            </w:tcBorders>
            <w:vAlign w:val="center"/>
          </w:tcPr>
          <w:p w14:paraId="0418F283">
            <w:pPr>
              <w:adjustRightInd w:val="0"/>
              <w:spacing w:before="62" w:beforeLines="20" w:after="62" w:afterLines="20" w:line="360" w:lineRule="auto"/>
              <w:jc w:val="center"/>
              <w:rPr>
                <w:rFonts w:ascii="仿宋" w:hAnsi="仿宋" w:eastAsia="仿宋" w:cs="仿宋"/>
                <w:sz w:val="24"/>
                <w:szCs w:val="24"/>
              </w:rPr>
            </w:pPr>
            <w:r>
              <w:rPr>
                <w:rFonts w:hint="eastAsia" w:ascii="仿宋" w:hAnsi="仿宋" w:eastAsia="仿宋" w:cs="仿宋"/>
                <w:sz w:val="24"/>
                <w:szCs w:val="24"/>
              </w:rPr>
              <w:t>第五章</w:t>
            </w:r>
          </w:p>
        </w:tc>
        <w:tc>
          <w:tcPr>
            <w:tcW w:w="915" w:type="pct"/>
            <w:tcBorders>
              <w:top w:val="single" w:color="auto" w:sz="4" w:space="0"/>
              <w:left w:val="single" w:color="auto" w:sz="4" w:space="0"/>
              <w:bottom w:val="single" w:color="auto" w:sz="4" w:space="0"/>
              <w:right w:val="single" w:color="auto" w:sz="4" w:space="0"/>
            </w:tcBorders>
            <w:vAlign w:val="center"/>
          </w:tcPr>
          <w:p w14:paraId="78D774C5">
            <w:pPr>
              <w:adjustRightInd w:val="0"/>
              <w:spacing w:before="62" w:beforeLines="20" w:after="62" w:afterLines="20" w:line="360" w:lineRule="auto"/>
              <w:jc w:val="center"/>
              <w:rPr>
                <w:rFonts w:ascii="仿宋" w:hAnsi="仿宋" w:eastAsia="仿宋" w:cs="仿宋"/>
                <w:sz w:val="24"/>
                <w:szCs w:val="24"/>
              </w:rPr>
            </w:pPr>
            <w:r>
              <w:rPr>
                <w:rFonts w:hint="eastAsia" w:ascii="仿宋" w:hAnsi="仿宋" w:eastAsia="仿宋" w:cs="仿宋"/>
                <w:sz w:val="24"/>
                <w:szCs w:val="24"/>
              </w:rPr>
              <w:t>技术规范书</w:t>
            </w:r>
          </w:p>
        </w:tc>
        <w:tc>
          <w:tcPr>
            <w:tcW w:w="3398" w:type="pct"/>
            <w:tcBorders>
              <w:top w:val="single" w:color="auto" w:sz="4" w:space="0"/>
              <w:left w:val="single" w:color="auto" w:sz="4" w:space="0"/>
              <w:bottom w:val="single" w:color="auto" w:sz="4" w:space="0"/>
              <w:right w:val="single" w:color="auto" w:sz="4" w:space="0"/>
            </w:tcBorders>
            <w:vAlign w:val="center"/>
          </w:tcPr>
          <w:p w14:paraId="524BF6BD">
            <w:pPr>
              <w:autoSpaceDE w:val="0"/>
              <w:autoSpaceDN w:val="0"/>
              <w:spacing w:line="360" w:lineRule="auto"/>
              <w:rPr>
                <w:rFonts w:ascii="仿宋" w:hAnsi="仿宋" w:eastAsia="仿宋" w:cs="仿宋"/>
                <w:sz w:val="24"/>
                <w:szCs w:val="24"/>
              </w:rPr>
            </w:pPr>
            <w:r>
              <w:rPr>
                <w:rFonts w:hint="eastAsia" w:ascii="仿宋" w:hAnsi="仿宋" w:eastAsia="仿宋" w:cs="仿宋"/>
                <w:sz w:val="24"/>
                <w:szCs w:val="24"/>
              </w:rPr>
              <w:t>未能完全响应任意一项★号条款的投标将被否决。</w:t>
            </w:r>
          </w:p>
        </w:tc>
      </w:tr>
    </w:tbl>
    <w:p w14:paraId="27C69303">
      <w:pPr>
        <w:pStyle w:val="10"/>
        <w:spacing w:line="360" w:lineRule="auto"/>
        <w:rPr>
          <w:rFonts w:ascii="仿宋" w:hAnsi="仿宋" w:eastAsia="仿宋" w:cs="仿宋"/>
          <w:b/>
          <w:sz w:val="24"/>
          <w:szCs w:val="24"/>
        </w:rPr>
        <w:sectPr>
          <w:headerReference r:id="rId9" w:type="first"/>
          <w:footerReference r:id="rId11" w:type="first"/>
          <w:footerReference r:id="rId10" w:type="default"/>
          <w:pgSz w:w="11906" w:h="16838"/>
          <w:pgMar w:top="1417" w:right="1134" w:bottom="1134" w:left="1134" w:header="851" w:footer="992" w:gutter="0"/>
          <w:pgNumType w:start="1"/>
          <w:cols w:space="720" w:num="1"/>
          <w:titlePg/>
          <w:docGrid w:type="lines" w:linePitch="312" w:charSpace="0"/>
        </w:sectPr>
      </w:pPr>
    </w:p>
    <w:p w14:paraId="3A5BE423">
      <w:pPr>
        <w:pStyle w:val="5"/>
        <w:numPr>
          <w:ilvl w:val="0"/>
          <w:numId w:val="5"/>
        </w:numPr>
        <w:spacing w:line="360" w:lineRule="auto"/>
        <w:rPr>
          <w:rFonts w:hint="default" w:ascii="仿宋" w:hAnsi="仿宋" w:cs="仿宋"/>
          <w:szCs w:val="24"/>
        </w:rPr>
      </w:pPr>
      <w:bookmarkStart w:id="837" w:name="_Toc28112"/>
      <w:bookmarkStart w:id="838" w:name="_Toc13938"/>
      <w:bookmarkStart w:id="839" w:name="_Toc65682983"/>
      <w:bookmarkStart w:id="840" w:name="_Toc109124308"/>
      <w:bookmarkStart w:id="841" w:name="_Toc32577"/>
      <w:bookmarkStart w:id="842" w:name="_Toc6684"/>
      <w:bookmarkStart w:id="843" w:name="_Toc18549"/>
      <w:bookmarkStart w:id="844" w:name="_Toc30164"/>
      <w:r>
        <w:rPr>
          <w:rFonts w:ascii="仿宋" w:hAnsi="仿宋" w:cs="仿宋"/>
          <w:szCs w:val="24"/>
        </w:rPr>
        <w:t>详细评审标准</w:t>
      </w:r>
      <w:bookmarkEnd w:id="837"/>
      <w:bookmarkEnd w:id="838"/>
      <w:bookmarkEnd w:id="839"/>
      <w:bookmarkEnd w:id="840"/>
      <w:bookmarkEnd w:id="841"/>
      <w:bookmarkEnd w:id="842"/>
      <w:bookmarkEnd w:id="843"/>
      <w:bookmarkEnd w:id="844"/>
    </w:p>
    <w:tbl>
      <w:tblPr>
        <w:tblStyle w:val="33"/>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727"/>
        <w:gridCol w:w="1535"/>
        <w:gridCol w:w="2571"/>
        <w:gridCol w:w="4832"/>
      </w:tblGrid>
      <w:tr w14:paraId="4F986B0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2262" w:type="dxa"/>
            <w:gridSpan w:val="2"/>
            <w:vAlign w:val="center"/>
          </w:tcPr>
          <w:p w14:paraId="124FD414">
            <w:pPr>
              <w:widowControl/>
              <w:snapToGrid w:val="0"/>
              <w:spacing w:line="360" w:lineRule="auto"/>
              <w:jc w:val="center"/>
              <w:rPr>
                <w:rFonts w:ascii="仿宋" w:hAnsi="仿宋" w:eastAsia="仿宋" w:cs="仿宋"/>
                <w:b/>
                <w:kern w:val="0"/>
                <w:sz w:val="24"/>
                <w:szCs w:val="24"/>
              </w:rPr>
            </w:pPr>
            <w:r>
              <w:rPr>
                <w:rFonts w:hint="eastAsia" w:ascii="仿宋" w:hAnsi="仿宋" w:eastAsia="仿宋" w:cs="仿宋"/>
                <w:b/>
                <w:kern w:val="0"/>
                <w:sz w:val="24"/>
                <w:szCs w:val="24"/>
              </w:rPr>
              <w:t>条款号</w:t>
            </w:r>
          </w:p>
        </w:tc>
        <w:tc>
          <w:tcPr>
            <w:tcW w:w="2571" w:type="dxa"/>
            <w:vAlign w:val="center"/>
          </w:tcPr>
          <w:p w14:paraId="57BF5623">
            <w:pPr>
              <w:widowControl/>
              <w:snapToGrid w:val="0"/>
              <w:spacing w:line="360" w:lineRule="auto"/>
              <w:jc w:val="center"/>
              <w:rPr>
                <w:rFonts w:ascii="仿宋" w:hAnsi="仿宋" w:eastAsia="仿宋" w:cs="仿宋"/>
                <w:b/>
                <w:kern w:val="0"/>
                <w:sz w:val="24"/>
                <w:szCs w:val="24"/>
              </w:rPr>
            </w:pPr>
            <w:r>
              <w:rPr>
                <w:rFonts w:hint="eastAsia" w:ascii="仿宋" w:hAnsi="仿宋" w:eastAsia="仿宋" w:cs="仿宋"/>
                <w:b/>
                <w:kern w:val="0"/>
                <w:sz w:val="24"/>
                <w:szCs w:val="24"/>
              </w:rPr>
              <w:t>评审因素</w:t>
            </w:r>
          </w:p>
        </w:tc>
        <w:tc>
          <w:tcPr>
            <w:tcW w:w="4832" w:type="dxa"/>
            <w:vAlign w:val="center"/>
          </w:tcPr>
          <w:p w14:paraId="570798C3">
            <w:pPr>
              <w:widowControl/>
              <w:snapToGrid w:val="0"/>
              <w:spacing w:line="360" w:lineRule="auto"/>
              <w:jc w:val="center"/>
              <w:rPr>
                <w:rFonts w:ascii="仿宋" w:hAnsi="仿宋" w:eastAsia="仿宋" w:cs="仿宋"/>
                <w:b/>
                <w:kern w:val="0"/>
                <w:sz w:val="24"/>
                <w:szCs w:val="24"/>
              </w:rPr>
            </w:pPr>
            <w:r>
              <w:rPr>
                <w:rFonts w:hint="eastAsia" w:ascii="仿宋" w:hAnsi="仿宋" w:eastAsia="仿宋" w:cs="仿宋"/>
                <w:b/>
                <w:kern w:val="0"/>
                <w:sz w:val="24"/>
                <w:szCs w:val="24"/>
              </w:rPr>
              <w:t>评审标准</w:t>
            </w:r>
          </w:p>
        </w:tc>
      </w:tr>
      <w:tr w14:paraId="65F31B6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27" w:type="dxa"/>
            <w:vAlign w:val="center"/>
          </w:tcPr>
          <w:p w14:paraId="1B8FE2CF">
            <w:pPr>
              <w:snapToGrid w:val="0"/>
              <w:spacing w:line="360" w:lineRule="auto"/>
              <w:jc w:val="center"/>
              <w:rPr>
                <w:rFonts w:ascii="仿宋" w:hAnsi="仿宋" w:eastAsia="仿宋" w:cs="仿宋"/>
                <w:kern w:val="0"/>
                <w:sz w:val="24"/>
                <w:szCs w:val="24"/>
              </w:rPr>
            </w:pPr>
            <w:bookmarkStart w:id="845" w:name="_Toc31765"/>
            <w:bookmarkStart w:id="846" w:name="_Toc65682984"/>
            <w:bookmarkStart w:id="847" w:name="_Toc18545"/>
            <w:bookmarkStart w:id="848" w:name="_Toc109124309"/>
            <w:r>
              <w:rPr>
                <w:rFonts w:hint="eastAsia" w:ascii="仿宋" w:hAnsi="仿宋" w:eastAsia="仿宋" w:cs="仿宋"/>
                <w:sz w:val="24"/>
                <w:szCs w:val="24"/>
              </w:rPr>
              <w:t>2.2</w:t>
            </w:r>
          </w:p>
        </w:tc>
        <w:tc>
          <w:tcPr>
            <w:tcW w:w="1535" w:type="dxa"/>
            <w:vAlign w:val="center"/>
          </w:tcPr>
          <w:p w14:paraId="4AF77C1C">
            <w:pPr>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详细评审标准</w:t>
            </w:r>
          </w:p>
        </w:tc>
        <w:tc>
          <w:tcPr>
            <w:tcW w:w="7403" w:type="dxa"/>
            <w:gridSpan w:val="2"/>
            <w:vAlign w:val="center"/>
          </w:tcPr>
          <w:p w14:paraId="223FA0ED">
            <w:pPr>
              <w:widowControl/>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综合得分=商务得分+技术得分+价格得分。</w:t>
            </w:r>
          </w:p>
          <w:p w14:paraId="66688091">
            <w:pPr>
              <w:snapToGrid w:val="0"/>
              <w:spacing w:line="360" w:lineRule="auto"/>
              <w:rPr>
                <w:rFonts w:ascii="仿宋" w:hAnsi="仿宋" w:eastAsia="仿宋" w:cs="仿宋"/>
                <w:sz w:val="24"/>
                <w:szCs w:val="24"/>
                <w:u w:val="single"/>
              </w:rPr>
            </w:pPr>
            <w:r>
              <w:rPr>
                <w:rFonts w:hint="eastAsia" w:ascii="仿宋" w:hAnsi="仿宋" w:eastAsia="仿宋" w:cs="仿宋"/>
                <w:kern w:val="0"/>
                <w:sz w:val="24"/>
                <w:szCs w:val="24"/>
              </w:rPr>
              <w:t>商务部分标准详见附表1，技术部分标准详见附表2，价格评分标准详见附表3。</w:t>
            </w:r>
          </w:p>
        </w:tc>
      </w:tr>
      <w:tr w14:paraId="46CDF27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727" w:type="dxa"/>
            <w:vAlign w:val="center"/>
          </w:tcPr>
          <w:p w14:paraId="49B51D2A">
            <w:pPr>
              <w:snapToGrid w:val="0"/>
              <w:spacing w:line="360" w:lineRule="auto"/>
              <w:jc w:val="center"/>
              <w:rPr>
                <w:rFonts w:ascii="仿宋" w:hAnsi="仿宋" w:eastAsia="仿宋" w:cs="仿宋"/>
                <w:sz w:val="24"/>
                <w:szCs w:val="24"/>
              </w:rPr>
            </w:pPr>
            <w:r>
              <w:rPr>
                <w:rFonts w:hint="eastAsia" w:ascii="仿宋" w:hAnsi="仿宋" w:eastAsia="仿宋" w:cs="仿宋"/>
                <w:kern w:val="0"/>
                <w:sz w:val="24"/>
                <w:szCs w:val="24"/>
              </w:rPr>
              <w:t>2.2</w:t>
            </w:r>
          </w:p>
        </w:tc>
        <w:tc>
          <w:tcPr>
            <w:tcW w:w="1535" w:type="dxa"/>
          </w:tcPr>
          <w:p w14:paraId="7B85B849">
            <w:pPr>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评分计算原则</w:t>
            </w:r>
          </w:p>
        </w:tc>
        <w:tc>
          <w:tcPr>
            <w:tcW w:w="7403" w:type="dxa"/>
            <w:gridSpan w:val="2"/>
            <w:vAlign w:val="center"/>
          </w:tcPr>
          <w:p w14:paraId="3D6DABDD">
            <w:pPr>
              <w:snapToGrid w:val="0"/>
              <w:spacing w:line="360" w:lineRule="auto"/>
              <w:rPr>
                <w:rFonts w:ascii="仿宋" w:hAnsi="仿宋" w:eastAsia="仿宋" w:cs="仿宋"/>
                <w:kern w:val="0"/>
                <w:sz w:val="24"/>
                <w:szCs w:val="24"/>
              </w:rPr>
            </w:pPr>
            <w:r>
              <w:rPr>
                <w:rFonts w:hint="eastAsia" w:ascii="仿宋" w:hAnsi="仿宋" w:eastAsia="仿宋" w:cs="仿宋"/>
                <w:sz w:val="24"/>
                <w:szCs w:val="24"/>
              </w:rPr>
              <w:t>评分分值计算保留小数点后两位，小数点后第三位“四舍五入”。</w:t>
            </w:r>
          </w:p>
        </w:tc>
      </w:tr>
      <w:tr w14:paraId="3C3D14E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27" w:type="dxa"/>
            <w:vAlign w:val="center"/>
          </w:tcPr>
          <w:p w14:paraId="4F1BBFE0">
            <w:pPr>
              <w:snapToGrid w:val="0"/>
              <w:spacing w:line="360" w:lineRule="auto"/>
              <w:jc w:val="center"/>
              <w:rPr>
                <w:rFonts w:ascii="仿宋" w:hAnsi="仿宋" w:eastAsia="仿宋" w:cs="仿宋"/>
                <w:sz w:val="24"/>
                <w:szCs w:val="24"/>
              </w:rPr>
            </w:pPr>
            <w:r>
              <w:rPr>
                <w:rFonts w:hint="eastAsia" w:ascii="仿宋" w:hAnsi="仿宋" w:eastAsia="仿宋" w:cs="仿宋"/>
                <w:kern w:val="0"/>
                <w:sz w:val="24"/>
                <w:szCs w:val="24"/>
              </w:rPr>
              <w:t>3.4.2</w:t>
            </w:r>
          </w:p>
        </w:tc>
        <w:tc>
          <w:tcPr>
            <w:tcW w:w="1535" w:type="dxa"/>
            <w:vAlign w:val="center"/>
          </w:tcPr>
          <w:p w14:paraId="467F50FA">
            <w:pPr>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中标候选人推荐原则</w:t>
            </w:r>
          </w:p>
        </w:tc>
        <w:tc>
          <w:tcPr>
            <w:tcW w:w="7403" w:type="dxa"/>
            <w:gridSpan w:val="2"/>
            <w:vAlign w:val="center"/>
          </w:tcPr>
          <w:p w14:paraId="6DBE4EA6">
            <w:pPr>
              <w:snapToGrid w:val="0"/>
              <w:spacing w:line="360" w:lineRule="auto"/>
              <w:rPr>
                <w:rFonts w:ascii="仿宋" w:hAnsi="仿宋" w:eastAsia="仿宋" w:cs="仿宋"/>
                <w:sz w:val="24"/>
                <w:szCs w:val="24"/>
              </w:rPr>
            </w:pPr>
            <w:r>
              <w:rPr>
                <w:rFonts w:hint="eastAsia" w:ascii="仿宋" w:hAnsi="仿宋" w:eastAsia="仿宋" w:cs="仿宋"/>
                <w:sz w:val="24"/>
                <w:szCs w:val="24"/>
              </w:rPr>
              <w:t>评标委员会按照招标文件规定的评分标准进行打分，评分均四舍五入保留小数点后两位，按综合得分高低次序排出名次，并推荐不超过N+2个中标候选人。</w:t>
            </w:r>
          </w:p>
          <w:p w14:paraId="325FBE54">
            <w:pPr>
              <w:autoSpaceDE w:val="0"/>
              <w:autoSpaceDN w:val="0"/>
              <w:snapToGrid w:val="0"/>
              <w:spacing w:line="360" w:lineRule="auto"/>
              <w:rPr>
                <w:rFonts w:ascii="仿宋" w:hAnsi="仿宋" w:eastAsia="仿宋" w:cs="仿宋"/>
                <w:kern w:val="0"/>
                <w:sz w:val="24"/>
                <w:szCs w:val="24"/>
              </w:rPr>
            </w:pPr>
            <w:r>
              <w:rPr>
                <w:rFonts w:hint="eastAsia" w:ascii="仿宋" w:hAnsi="仿宋" w:eastAsia="仿宋" w:cs="仿宋"/>
                <w:sz w:val="24"/>
                <w:szCs w:val="24"/>
              </w:rPr>
              <w:t>其中综合得分（综合得分由高到低的顺序排名）排名第一的投标人将被推荐为第一中标候选人，综合得分排名第二的投标人推荐为第二中标候选人，以此类推。综合得分相同时，价格得分高者排名优先；价格得分也相同时，以技术得分高者排名优先。如中标人放弃中标的，则按评标委员会推荐的中标候选人排名依次递补，或重新招标。</w:t>
            </w:r>
          </w:p>
        </w:tc>
      </w:tr>
    </w:tbl>
    <w:p w14:paraId="76872E00">
      <w:pPr>
        <w:spacing w:line="360" w:lineRule="auto"/>
        <w:rPr>
          <w:rFonts w:ascii="仿宋" w:hAnsi="仿宋" w:eastAsia="仿宋" w:cs="仿宋"/>
          <w:b/>
          <w:sz w:val="24"/>
          <w:szCs w:val="24"/>
        </w:rPr>
      </w:pPr>
    </w:p>
    <w:p w14:paraId="123972C0">
      <w:pPr>
        <w:spacing w:line="360" w:lineRule="auto"/>
        <w:rPr>
          <w:rFonts w:ascii="仿宋" w:hAnsi="仿宋" w:eastAsia="仿宋" w:cs="仿宋"/>
          <w:b/>
          <w:sz w:val="24"/>
          <w:szCs w:val="24"/>
        </w:rPr>
      </w:pPr>
      <w:r>
        <w:rPr>
          <w:rFonts w:hint="eastAsia" w:ascii="仿宋" w:hAnsi="仿宋" w:eastAsia="仿宋" w:cs="仿宋"/>
          <w:b/>
          <w:sz w:val="24"/>
          <w:szCs w:val="24"/>
        </w:rPr>
        <w:br w:type="page"/>
      </w:r>
    </w:p>
    <w:bookmarkEnd w:id="845"/>
    <w:p w14:paraId="48A4D462">
      <w:pPr>
        <w:spacing w:line="360" w:lineRule="auto"/>
        <w:rPr>
          <w:rFonts w:ascii="仿宋" w:hAnsi="仿宋" w:eastAsia="仿宋" w:cs="仿宋"/>
          <w:b/>
          <w:sz w:val="24"/>
          <w:szCs w:val="24"/>
        </w:rPr>
      </w:pPr>
      <w:bookmarkStart w:id="849" w:name="_Toc20021"/>
      <w:bookmarkStart w:id="850" w:name="_Toc14102"/>
      <w:bookmarkStart w:id="851" w:name="_Toc24673"/>
      <w:r>
        <w:rPr>
          <w:rFonts w:hint="eastAsia" w:ascii="仿宋" w:hAnsi="仿宋" w:eastAsia="仿宋" w:cs="仿宋"/>
          <w:b/>
          <w:sz w:val="24"/>
          <w:szCs w:val="24"/>
        </w:rPr>
        <w:t xml:space="preserve">附表1：商务部分评分标准                                                                 </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12"/>
        <w:gridCol w:w="1392"/>
        <w:gridCol w:w="7232"/>
        <w:gridCol w:w="718"/>
      </w:tblGrid>
      <w:tr w14:paraId="1AB407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60" w:type="pct"/>
            <w:tcBorders>
              <w:tl2br w:val="nil"/>
              <w:tr2bl w:val="nil"/>
            </w:tcBorders>
            <w:shd w:val="clear" w:color="000000" w:fill="F1F1F1" w:themeFill="background1" w:themeFillShade="F2"/>
            <w:vAlign w:val="center"/>
          </w:tcPr>
          <w:p w14:paraId="3B6DCA50">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706" w:type="pct"/>
            <w:tcBorders>
              <w:tl2br w:val="nil"/>
              <w:tr2bl w:val="nil"/>
            </w:tcBorders>
            <w:shd w:val="clear" w:color="000000" w:fill="F1F1F1" w:themeFill="background1" w:themeFillShade="F2"/>
            <w:vAlign w:val="center"/>
          </w:tcPr>
          <w:p w14:paraId="385FF4E4">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评审项目</w:t>
            </w:r>
          </w:p>
        </w:tc>
        <w:tc>
          <w:tcPr>
            <w:tcW w:w="3668" w:type="pct"/>
            <w:tcBorders>
              <w:tl2br w:val="nil"/>
              <w:tr2bl w:val="nil"/>
            </w:tcBorders>
            <w:shd w:val="clear" w:color="000000" w:fill="F1F1F1" w:themeFill="background1" w:themeFillShade="F2"/>
            <w:vAlign w:val="center"/>
          </w:tcPr>
          <w:p w14:paraId="25B069C5">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评分范围</w:t>
            </w:r>
          </w:p>
        </w:tc>
        <w:tc>
          <w:tcPr>
            <w:tcW w:w="364" w:type="pct"/>
            <w:tcBorders>
              <w:tl2br w:val="nil"/>
              <w:tr2bl w:val="nil"/>
            </w:tcBorders>
            <w:shd w:val="clear" w:color="000000" w:fill="F1F1F1" w:themeFill="background1" w:themeFillShade="F2"/>
            <w:vAlign w:val="center"/>
          </w:tcPr>
          <w:p w14:paraId="0E441C8A">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最高</w:t>
            </w:r>
          </w:p>
          <w:p w14:paraId="6806DE28">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分值</w:t>
            </w:r>
          </w:p>
        </w:tc>
      </w:tr>
      <w:tr w14:paraId="41ECDC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60" w:type="pct"/>
            <w:tcBorders>
              <w:tl2br w:val="nil"/>
              <w:tr2bl w:val="nil"/>
            </w:tcBorders>
            <w:shd w:val="clear" w:color="auto" w:fill="auto"/>
            <w:vAlign w:val="center"/>
          </w:tcPr>
          <w:p w14:paraId="30052410">
            <w:pPr>
              <w:widowControl/>
              <w:adjustRightInd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1</w:t>
            </w:r>
          </w:p>
        </w:tc>
        <w:tc>
          <w:tcPr>
            <w:tcW w:w="706" w:type="pct"/>
            <w:tcBorders>
              <w:tl2br w:val="nil"/>
              <w:tr2bl w:val="nil"/>
            </w:tcBorders>
            <w:shd w:val="clear" w:color="auto" w:fill="auto"/>
            <w:vAlign w:val="center"/>
          </w:tcPr>
          <w:p w14:paraId="0D2EB4AC">
            <w:pPr>
              <w:widowControl/>
              <w:adjustRightInd w:val="0"/>
              <w:snapToGrid w:val="0"/>
              <w:spacing w:line="360" w:lineRule="auto"/>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资质证书</w:t>
            </w:r>
          </w:p>
        </w:tc>
        <w:tc>
          <w:tcPr>
            <w:tcW w:w="3668" w:type="pct"/>
            <w:tcBorders>
              <w:tl2br w:val="nil"/>
              <w:tr2bl w:val="nil"/>
            </w:tcBorders>
            <w:shd w:val="clear" w:color="auto" w:fill="auto"/>
            <w:vAlign w:val="center"/>
          </w:tcPr>
          <w:p w14:paraId="51C93910">
            <w:pPr>
              <w:widowControl/>
              <w:jc w:val="left"/>
              <w:textAlignment w:val="center"/>
              <w:rPr>
                <w:rFonts w:ascii="仿宋" w:hAnsi="仿宋" w:eastAsia="仿宋" w:cs="仿宋"/>
                <w:color w:val="000000"/>
                <w:kern w:val="0"/>
                <w:sz w:val="24"/>
                <w:szCs w:val="24"/>
                <w:lang w:bidi="ar"/>
              </w:rPr>
            </w:pPr>
            <w:r>
              <w:rPr>
                <w:rFonts w:hint="eastAsia" w:ascii="仿宋" w:hAnsi="仿宋" w:eastAsia="仿宋" w:cs="仿宋"/>
                <w:sz w:val="24"/>
                <w:szCs w:val="24"/>
              </w:rPr>
              <w:t>投标人获得洗涤行业相关荣誉证书或者资质证书，每个得1分，最高得5分：</w:t>
            </w:r>
          </w:p>
          <w:p w14:paraId="2C2AA144">
            <w:pPr>
              <w:pStyle w:val="24"/>
              <w:rPr>
                <w:rFonts w:ascii="仿宋" w:hAnsi="仿宋" w:eastAsia="仿宋" w:cs="仿宋"/>
                <w:sz w:val="24"/>
                <w:szCs w:val="24"/>
              </w:rPr>
            </w:pPr>
            <w:r>
              <w:rPr>
                <w:rFonts w:hint="eastAsia" w:ascii="仿宋" w:hAnsi="仿宋" w:eastAsia="仿宋" w:cs="仿宋"/>
                <w:sz w:val="24"/>
                <w:szCs w:val="24"/>
              </w:rPr>
              <w:t>注：提供相关证书复印件。</w:t>
            </w:r>
          </w:p>
        </w:tc>
        <w:tc>
          <w:tcPr>
            <w:tcW w:w="364" w:type="pct"/>
            <w:tcBorders>
              <w:tl2br w:val="nil"/>
              <w:tr2bl w:val="nil"/>
            </w:tcBorders>
            <w:shd w:val="clear" w:color="auto" w:fill="auto"/>
            <w:vAlign w:val="center"/>
          </w:tcPr>
          <w:p w14:paraId="06AC2337">
            <w:pPr>
              <w:widowControl/>
              <w:adjustRightInd w:val="0"/>
              <w:snapToGrid w:val="0"/>
              <w:spacing w:line="360" w:lineRule="auto"/>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5</w:t>
            </w:r>
          </w:p>
        </w:tc>
      </w:tr>
      <w:tr w14:paraId="535B7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60" w:type="pct"/>
            <w:tcBorders>
              <w:tl2br w:val="nil"/>
              <w:tr2bl w:val="nil"/>
            </w:tcBorders>
            <w:shd w:val="clear" w:color="auto" w:fill="auto"/>
            <w:vAlign w:val="center"/>
          </w:tcPr>
          <w:p w14:paraId="3D9D041E">
            <w:pPr>
              <w:widowControl/>
              <w:adjustRightInd w:val="0"/>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706" w:type="pct"/>
            <w:tcBorders>
              <w:tl2br w:val="nil"/>
              <w:tr2bl w:val="nil"/>
            </w:tcBorders>
            <w:shd w:val="clear" w:color="auto" w:fill="auto"/>
            <w:vAlign w:val="center"/>
          </w:tcPr>
          <w:p w14:paraId="5572E5F4">
            <w:pPr>
              <w:pStyle w:val="145"/>
              <w:spacing w:line="360" w:lineRule="auto"/>
              <w:jc w:val="center"/>
              <w:rPr>
                <w:rFonts w:hint="default" w:ascii="仿宋" w:hAnsi="仿宋" w:eastAsia="仿宋" w:cs="仿宋"/>
                <w:sz w:val="24"/>
                <w:szCs w:val="24"/>
              </w:rPr>
            </w:pPr>
            <w:r>
              <w:rPr>
                <w:rFonts w:ascii="仿宋" w:hAnsi="仿宋" w:eastAsia="仿宋" w:cs="仿宋"/>
                <w:sz w:val="24"/>
                <w:szCs w:val="24"/>
              </w:rPr>
              <w:t>同类业绩经验</w:t>
            </w:r>
          </w:p>
        </w:tc>
        <w:tc>
          <w:tcPr>
            <w:tcW w:w="3668" w:type="pct"/>
            <w:tcBorders>
              <w:tl2br w:val="nil"/>
              <w:tr2bl w:val="nil"/>
            </w:tcBorders>
            <w:shd w:val="clear" w:color="auto" w:fill="auto"/>
            <w:vAlign w:val="center"/>
          </w:tcPr>
          <w:p w14:paraId="3296FDEE">
            <w:pPr>
              <w:adjustRightInd w:val="0"/>
              <w:snapToGrid w:val="0"/>
              <w:spacing w:line="360" w:lineRule="auto"/>
              <w:jc w:val="left"/>
              <w:rPr>
                <w:rFonts w:ascii="仿宋" w:hAnsi="仿宋" w:eastAsia="仿宋" w:cs="仿宋"/>
                <w:sz w:val="24"/>
                <w:szCs w:val="24"/>
              </w:rPr>
            </w:pPr>
            <w:r>
              <w:rPr>
                <w:rFonts w:hint="eastAsia" w:ascii="仿宋" w:hAnsi="仿宋" w:eastAsia="仿宋" w:cs="仿宋"/>
                <w:sz w:val="24"/>
                <w:szCs w:val="24"/>
              </w:rPr>
              <w:t>2022年1月1日至今（以合同签订日期为准），投标人承接过的同类项目业绩每个</w:t>
            </w:r>
            <w:r>
              <w:rPr>
                <w:rFonts w:hint="eastAsia" w:ascii="仿宋" w:hAnsi="仿宋" w:eastAsia="仿宋" w:cs="仿宋"/>
                <w:kern w:val="0"/>
                <w:sz w:val="24"/>
                <w:szCs w:val="24"/>
              </w:rPr>
              <w:t>得</w:t>
            </w:r>
            <w:r>
              <w:rPr>
                <w:rFonts w:hint="eastAsia" w:ascii="仿宋" w:hAnsi="仿宋" w:eastAsia="仿宋" w:cs="仿宋"/>
                <w:sz w:val="24"/>
                <w:szCs w:val="24"/>
              </w:rPr>
              <w:t>1分，最高得5分。</w:t>
            </w:r>
          </w:p>
          <w:p w14:paraId="17F3FC9B">
            <w:pPr>
              <w:pStyle w:val="145"/>
              <w:spacing w:line="360" w:lineRule="auto"/>
              <w:rPr>
                <w:rFonts w:hint="default" w:ascii="仿宋" w:hAnsi="仿宋" w:eastAsia="仿宋" w:cs="仿宋"/>
                <w:sz w:val="24"/>
                <w:szCs w:val="24"/>
              </w:rPr>
            </w:pPr>
            <w:r>
              <w:rPr>
                <w:rFonts w:ascii="仿宋" w:hAnsi="仿宋" w:eastAsia="仿宋" w:cs="仿宋"/>
                <w:sz w:val="24"/>
                <w:szCs w:val="24"/>
              </w:rPr>
              <w:t>注：提供合同关键页（包括但不限于合同封面页、关键服务内容页、合同期限、签字盖章页等），未按要求提供相关证明材料的不得分。</w:t>
            </w:r>
          </w:p>
        </w:tc>
        <w:tc>
          <w:tcPr>
            <w:tcW w:w="364" w:type="pct"/>
            <w:tcBorders>
              <w:tl2br w:val="nil"/>
              <w:tr2bl w:val="nil"/>
            </w:tcBorders>
            <w:shd w:val="clear" w:color="auto" w:fill="auto"/>
            <w:vAlign w:val="center"/>
          </w:tcPr>
          <w:p w14:paraId="66BF5E3A">
            <w:pPr>
              <w:widowControl/>
              <w:adjustRightInd w:val="0"/>
              <w:snapToGrid w:val="0"/>
              <w:spacing w:line="360" w:lineRule="auto"/>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5</w:t>
            </w:r>
          </w:p>
        </w:tc>
      </w:tr>
      <w:tr w14:paraId="026019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635" w:type="pct"/>
            <w:gridSpan w:val="3"/>
            <w:tcBorders>
              <w:tl2br w:val="nil"/>
              <w:tr2bl w:val="nil"/>
            </w:tcBorders>
            <w:shd w:val="clear" w:color="auto" w:fill="auto"/>
            <w:vAlign w:val="center"/>
          </w:tcPr>
          <w:p w14:paraId="01760143">
            <w:pPr>
              <w:adjustRightInd w:val="0"/>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总分</w:t>
            </w:r>
          </w:p>
        </w:tc>
        <w:tc>
          <w:tcPr>
            <w:tcW w:w="364" w:type="pct"/>
            <w:tcBorders>
              <w:tl2br w:val="nil"/>
              <w:tr2bl w:val="nil"/>
            </w:tcBorders>
            <w:shd w:val="clear" w:color="auto" w:fill="auto"/>
            <w:vAlign w:val="center"/>
          </w:tcPr>
          <w:p w14:paraId="02DC020F">
            <w:pPr>
              <w:adjustRightInd w:val="0"/>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10</w:t>
            </w:r>
          </w:p>
        </w:tc>
      </w:tr>
    </w:tbl>
    <w:p w14:paraId="107912C3">
      <w:pPr>
        <w:spacing w:line="360" w:lineRule="auto"/>
        <w:rPr>
          <w:rFonts w:ascii="仿宋" w:hAnsi="仿宋" w:eastAsia="仿宋" w:cs="仿宋"/>
          <w:b/>
          <w:sz w:val="24"/>
          <w:szCs w:val="24"/>
        </w:rPr>
      </w:pPr>
      <w:r>
        <w:rPr>
          <w:rFonts w:hint="eastAsia" w:ascii="仿宋" w:hAnsi="仿宋" w:eastAsia="仿宋" w:cs="仿宋"/>
          <w:b/>
          <w:sz w:val="24"/>
          <w:szCs w:val="24"/>
        </w:rPr>
        <w:t xml:space="preserve">附表2：技术部分评分标准                                                                 </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57"/>
        <w:gridCol w:w="1406"/>
        <w:gridCol w:w="7246"/>
        <w:gridCol w:w="745"/>
      </w:tblGrid>
      <w:tr w14:paraId="2CC16D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1" w:type="pct"/>
            <w:tcBorders>
              <w:tl2br w:val="nil"/>
              <w:tr2bl w:val="nil"/>
            </w:tcBorders>
            <w:shd w:val="clear" w:color="000000" w:fill="F1F1F1" w:themeFill="background1" w:themeFillShade="F2"/>
            <w:vAlign w:val="center"/>
          </w:tcPr>
          <w:p w14:paraId="5DBF943A">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714" w:type="pct"/>
            <w:tcBorders>
              <w:tl2br w:val="nil"/>
              <w:tr2bl w:val="nil"/>
            </w:tcBorders>
            <w:shd w:val="clear" w:color="000000" w:fill="F1F1F1" w:themeFill="background1" w:themeFillShade="F2"/>
            <w:vAlign w:val="center"/>
          </w:tcPr>
          <w:p w14:paraId="6A100848">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评审项目</w:t>
            </w:r>
          </w:p>
        </w:tc>
        <w:tc>
          <w:tcPr>
            <w:tcW w:w="3675" w:type="pct"/>
            <w:tcBorders>
              <w:tl2br w:val="nil"/>
              <w:tr2bl w:val="nil"/>
            </w:tcBorders>
            <w:shd w:val="clear" w:color="000000" w:fill="F1F1F1" w:themeFill="background1" w:themeFillShade="F2"/>
            <w:vAlign w:val="center"/>
          </w:tcPr>
          <w:p w14:paraId="07EB7B39">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评分范围</w:t>
            </w:r>
          </w:p>
        </w:tc>
        <w:tc>
          <w:tcPr>
            <w:tcW w:w="378" w:type="pct"/>
            <w:tcBorders>
              <w:tl2br w:val="nil"/>
              <w:tr2bl w:val="nil"/>
            </w:tcBorders>
            <w:shd w:val="clear" w:color="000000" w:fill="F1F1F1" w:themeFill="background1" w:themeFillShade="F2"/>
            <w:vAlign w:val="center"/>
          </w:tcPr>
          <w:p w14:paraId="0B1FA854">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最高</w:t>
            </w:r>
          </w:p>
          <w:p w14:paraId="270E02AB">
            <w:pPr>
              <w:widowControl/>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4"/>
                <w:szCs w:val="24"/>
              </w:rPr>
              <w:t>分值</w:t>
            </w:r>
          </w:p>
        </w:tc>
      </w:tr>
      <w:tr w14:paraId="6911CA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1" w:type="pct"/>
            <w:tcBorders>
              <w:tl2br w:val="nil"/>
              <w:tr2bl w:val="nil"/>
            </w:tcBorders>
            <w:shd w:val="clear" w:color="auto" w:fill="auto"/>
            <w:vAlign w:val="center"/>
          </w:tcPr>
          <w:p w14:paraId="6096A15E">
            <w:pPr>
              <w:pStyle w:val="14"/>
              <w:adjustRightInd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1</w:t>
            </w:r>
          </w:p>
        </w:tc>
        <w:tc>
          <w:tcPr>
            <w:tcW w:w="714" w:type="pct"/>
            <w:tcBorders>
              <w:tl2br w:val="nil"/>
              <w:tr2bl w:val="nil"/>
            </w:tcBorders>
            <w:shd w:val="clear" w:color="auto" w:fill="auto"/>
            <w:vAlign w:val="center"/>
          </w:tcPr>
          <w:p w14:paraId="3CC2456C">
            <w:pPr>
              <w:widowControl/>
              <w:adjustRightInd w:val="0"/>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项目团队成员</w:t>
            </w:r>
          </w:p>
        </w:tc>
        <w:tc>
          <w:tcPr>
            <w:tcW w:w="3675" w:type="pct"/>
            <w:tcBorders>
              <w:tl2br w:val="nil"/>
              <w:tr2bl w:val="nil"/>
            </w:tcBorders>
            <w:shd w:val="clear" w:color="auto" w:fill="auto"/>
            <w:vAlign w:val="center"/>
          </w:tcPr>
          <w:p w14:paraId="5E8FD31E">
            <w:pPr>
              <w:pStyle w:val="14"/>
              <w:adjustRightInd w:val="0"/>
              <w:snapToGrid w:val="0"/>
              <w:spacing w:after="0" w:line="360" w:lineRule="auto"/>
              <w:jc w:val="left"/>
              <w:rPr>
                <w:rFonts w:ascii="仿宋" w:hAnsi="仿宋" w:eastAsia="仿宋" w:cs="仿宋"/>
                <w:sz w:val="24"/>
                <w:szCs w:val="24"/>
              </w:rPr>
            </w:pPr>
            <w:r>
              <w:rPr>
                <w:rFonts w:hint="eastAsia" w:ascii="仿宋" w:hAnsi="仿宋" w:eastAsia="仿宋" w:cs="仿宋"/>
                <w:sz w:val="24"/>
                <w:szCs w:val="24"/>
              </w:rPr>
              <w:t>1.客服经理（1人）：具备本科及以上学历得2分，大专学历得1分。</w:t>
            </w:r>
          </w:p>
          <w:p w14:paraId="0144311D">
            <w:pPr>
              <w:pStyle w:val="14"/>
              <w:spacing w:after="0" w:line="360" w:lineRule="auto"/>
              <w:rPr>
                <w:rFonts w:ascii="仿宋" w:hAnsi="仿宋" w:eastAsia="仿宋" w:cs="仿宋"/>
                <w:sz w:val="24"/>
                <w:szCs w:val="24"/>
              </w:rPr>
            </w:pPr>
            <w:r>
              <w:rPr>
                <w:rFonts w:hint="eastAsia" w:ascii="仿宋" w:hAnsi="仿宋" w:eastAsia="仿宋" w:cs="仿宋"/>
                <w:sz w:val="24"/>
                <w:szCs w:val="24"/>
              </w:rPr>
              <w:t>2.洗涤技术人员</w:t>
            </w:r>
            <w:r>
              <w:rPr>
                <w:rFonts w:hint="eastAsia" w:ascii="仿宋" w:hAnsi="仿宋" w:eastAsia="仿宋" w:cs="仿宋"/>
                <w:kern w:val="0"/>
                <w:sz w:val="24"/>
                <w:szCs w:val="24"/>
              </w:rPr>
              <w:t>：</w:t>
            </w:r>
            <w:r>
              <w:rPr>
                <w:rFonts w:hint="eastAsia" w:ascii="仿宋" w:hAnsi="仿宋" w:eastAsia="仿宋" w:cs="仿宋"/>
                <w:sz w:val="24"/>
                <w:szCs w:val="24"/>
              </w:rPr>
              <w:t>具备洗涤行业相关资质/资格认证的，每人得1分，最高得3分。</w:t>
            </w:r>
          </w:p>
          <w:p w14:paraId="5D5CC715">
            <w:pPr>
              <w:pStyle w:val="14"/>
              <w:numPr>
                <w:ilvl w:val="255"/>
                <w:numId w:val="0"/>
              </w:numPr>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注：提供学历、资质证书复印件、社保部门盖章出具的开标当月前三个月内任意1个月投标人为其缴纳的社保证明材料或者聘请合同。</w:t>
            </w:r>
          </w:p>
        </w:tc>
        <w:tc>
          <w:tcPr>
            <w:tcW w:w="378" w:type="pct"/>
            <w:tcBorders>
              <w:tl2br w:val="nil"/>
              <w:tr2bl w:val="nil"/>
            </w:tcBorders>
            <w:shd w:val="clear" w:color="auto" w:fill="auto"/>
            <w:vAlign w:val="center"/>
          </w:tcPr>
          <w:p w14:paraId="4D67B38A">
            <w:pPr>
              <w:adjustRightInd w:val="0"/>
              <w:snapToGrid w:val="0"/>
              <w:spacing w:line="360" w:lineRule="auto"/>
              <w:jc w:val="center"/>
              <w:rPr>
                <w:rFonts w:ascii="仿宋" w:hAnsi="仿宋" w:eastAsia="仿宋" w:cs="仿宋"/>
                <w:sz w:val="24"/>
                <w:szCs w:val="24"/>
              </w:rPr>
            </w:pPr>
            <w:r>
              <w:rPr>
                <w:rFonts w:hint="eastAsia" w:ascii="仿宋" w:hAnsi="仿宋" w:eastAsia="仿宋" w:cs="仿宋"/>
                <w:kern w:val="0"/>
                <w:sz w:val="24"/>
                <w:szCs w:val="24"/>
              </w:rPr>
              <w:t>5</w:t>
            </w:r>
          </w:p>
        </w:tc>
      </w:tr>
      <w:tr w14:paraId="0E504B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1" w:type="pct"/>
            <w:tcBorders>
              <w:tl2br w:val="nil"/>
              <w:tr2bl w:val="nil"/>
            </w:tcBorders>
            <w:shd w:val="clear" w:color="auto" w:fill="auto"/>
            <w:vAlign w:val="center"/>
          </w:tcPr>
          <w:p w14:paraId="6B870DD7">
            <w:pPr>
              <w:pStyle w:val="14"/>
              <w:adjustRightInd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2</w:t>
            </w:r>
          </w:p>
        </w:tc>
        <w:tc>
          <w:tcPr>
            <w:tcW w:w="714" w:type="pct"/>
            <w:tcBorders>
              <w:tl2br w:val="nil"/>
              <w:tr2bl w:val="nil"/>
            </w:tcBorders>
            <w:shd w:val="clear" w:color="auto" w:fill="auto"/>
            <w:vAlign w:val="center"/>
          </w:tcPr>
          <w:p w14:paraId="22B576D1">
            <w:pPr>
              <w:widowControl/>
              <w:adjustRightInd w:val="0"/>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配送车辆</w:t>
            </w:r>
          </w:p>
        </w:tc>
        <w:tc>
          <w:tcPr>
            <w:tcW w:w="3675" w:type="pct"/>
            <w:tcBorders>
              <w:tl2br w:val="nil"/>
              <w:tr2bl w:val="nil"/>
            </w:tcBorders>
            <w:shd w:val="clear" w:color="auto" w:fill="auto"/>
            <w:vAlign w:val="center"/>
          </w:tcPr>
          <w:p w14:paraId="11A83EBA">
            <w:pPr>
              <w:snapToGrid w:val="0"/>
              <w:spacing w:line="440" w:lineRule="exact"/>
              <w:jc w:val="left"/>
              <w:rPr>
                <w:rFonts w:ascii="仿宋" w:hAnsi="仿宋" w:eastAsia="仿宋" w:cs="仿宋"/>
                <w:sz w:val="24"/>
                <w:szCs w:val="24"/>
              </w:rPr>
            </w:pPr>
            <w:r>
              <w:rPr>
                <w:rFonts w:hint="eastAsia" w:ascii="仿宋" w:hAnsi="仿宋" w:eastAsia="仿宋" w:cs="仿宋"/>
                <w:sz w:val="24"/>
                <w:szCs w:val="24"/>
              </w:rPr>
              <w:t>为保证配送服务效率，根据投标人为本项目投入的运输车辆进行评分，投标人自有的车辆，每台得2分，最高得4分。</w:t>
            </w:r>
          </w:p>
          <w:p w14:paraId="5740BE28">
            <w:pPr>
              <w:snapToGrid w:val="0"/>
              <w:spacing w:line="440" w:lineRule="exact"/>
              <w:jc w:val="left"/>
              <w:rPr>
                <w:rFonts w:ascii="仿宋" w:hAnsi="仿宋" w:eastAsia="仿宋" w:cs="仿宋"/>
                <w:kern w:val="0"/>
                <w:sz w:val="24"/>
                <w:szCs w:val="24"/>
              </w:rPr>
            </w:pPr>
            <w:r>
              <w:rPr>
                <w:rFonts w:hint="eastAsia" w:ascii="仿宋" w:hAnsi="仿宋" w:eastAsia="仿宋" w:cs="仿宋"/>
                <w:b/>
                <w:bCs/>
                <w:sz w:val="24"/>
                <w:szCs w:val="24"/>
              </w:rPr>
              <w:t>注：</w:t>
            </w:r>
            <w:r>
              <w:rPr>
                <w:rFonts w:hint="eastAsia" w:ascii="仿宋" w:hAnsi="仿宋" w:eastAsia="仿宋" w:cs="仿宋"/>
                <w:sz w:val="24"/>
                <w:szCs w:val="24"/>
              </w:rPr>
              <w:t>1、须提供有效期内的车辆行驶证复印件，车辆所有人须为投标人或投标人法定代表人。2、每辆车需提供有效车辆的正面、侧面、背面照片（照片必须显示到车牌号码），不提供不得分。</w:t>
            </w:r>
          </w:p>
        </w:tc>
        <w:tc>
          <w:tcPr>
            <w:tcW w:w="378" w:type="pct"/>
            <w:tcBorders>
              <w:tl2br w:val="nil"/>
              <w:tr2bl w:val="nil"/>
            </w:tcBorders>
            <w:shd w:val="clear" w:color="auto" w:fill="auto"/>
            <w:vAlign w:val="center"/>
          </w:tcPr>
          <w:p w14:paraId="6844051B">
            <w:pPr>
              <w:adjustRightInd w:val="0"/>
              <w:snapToGrid w:val="0"/>
              <w:spacing w:line="360" w:lineRule="auto"/>
              <w:jc w:val="center"/>
              <w:rPr>
                <w:rFonts w:ascii="仿宋" w:hAnsi="仿宋" w:eastAsia="仿宋" w:cs="仿宋"/>
                <w:sz w:val="24"/>
                <w:szCs w:val="24"/>
              </w:rPr>
            </w:pPr>
            <w:r>
              <w:rPr>
                <w:rFonts w:hint="eastAsia" w:ascii="仿宋" w:hAnsi="仿宋" w:eastAsia="仿宋" w:cs="仿宋"/>
                <w:kern w:val="0"/>
                <w:sz w:val="24"/>
                <w:szCs w:val="24"/>
              </w:rPr>
              <w:t>4</w:t>
            </w:r>
          </w:p>
        </w:tc>
      </w:tr>
      <w:tr w14:paraId="7DB098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1" w:type="pct"/>
            <w:tcBorders>
              <w:tl2br w:val="nil"/>
              <w:tr2bl w:val="nil"/>
            </w:tcBorders>
            <w:shd w:val="clear" w:color="auto" w:fill="auto"/>
            <w:vAlign w:val="center"/>
          </w:tcPr>
          <w:p w14:paraId="08857C10">
            <w:pPr>
              <w:pStyle w:val="14"/>
              <w:adjustRightInd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3</w:t>
            </w:r>
          </w:p>
        </w:tc>
        <w:tc>
          <w:tcPr>
            <w:tcW w:w="714" w:type="pct"/>
            <w:tcBorders>
              <w:tl2br w:val="nil"/>
              <w:tr2bl w:val="nil"/>
            </w:tcBorders>
            <w:shd w:val="clear" w:color="auto" w:fill="auto"/>
            <w:vAlign w:val="center"/>
          </w:tcPr>
          <w:p w14:paraId="76D5D459">
            <w:pPr>
              <w:widowControl/>
              <w:adjustRightInd w:val="0"/>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洗涤设备</w:t>
            </w:r>
          </w:p>
        </w:tc>
        <w:tc>
          <w:tcPr>
            <w:tcW w:w="3675" w:type="pct"/>
            <w:tcBorders>
              <w:tl2br w:val="nil"/>
              <w:tr2bl w:val="nil"/>
            </w:tcBorders>
            <w:shd w:val="clear" w:color="auto" w:fill="auto"/>
            <w:vAlign w:val="center"/>
          </w:tcPr>
          <w:p w14:paraId="4487FEB8">
            <w:pPr>
              <w:pStyle w:val="14"/>
              <w:numPr>
                <w:ilvl w:val="255"/>
                <w:numId w:val="0"/>
              </w:numPr>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color w:val="000000"/>
                <w:kern w:val="0"/>
                <w:sz w:val="24"/>
                <w:szCs w:val="24"/>
                <w:lang w:bidi="ar"/>
              </w:rPr>
              <w:t>根据投标人为</w:t>
            </w:r>
            <w:r>
              <w:rPr>
                <w:rFonts w:hint="eastAsia" w:ascii="仿宋" w:hAnsi="仿宋" w:eastAsia="仿宋" w:cs="仿宋"/>
                <w:sz w:val="24"/>
                <w:szCs w:val="24"/>
              </w:rPr>
              <w:t>本项目投入的</w:t>
            </w:r>
            <w:r>
              <w:rPr>
                <w:rFonts w:hint="eastAsia" w:ascii="仿宋" w:hAnsi="仿宋" w:eastAsia="仿宋" w:cs="仿宋"/>
                <w:kern w:val="0"/>
                <w:sz w:val="24"/>
                <w:szCs w:val="24"/>
              </w:rPr>
              <w:t>洗涤设备（包括但不限于</w:t>
            </w:r>
            <w:r>
              <w:rPr>
                <w:rFonts w:hint="eastAsia" w:ascii="仿宋" w:hAnsi="仿宋" w:eastAsia="仿宋" w:cs="仿宋"/>
                <w:sz w:val="24"/>
                <w:szCs w:val="24"/>
              </w:rPr>
              <w:t>干洗机、水洗、烘干及熨烫设备</w:t>
            </w:r>
            <w:r>
              <w:rPr>
                <w:rFonts w:hint="eastAsia" w:ascii="仿宋" w:hAnsi="仿宋" w:eastAsia="仿宋" w:cs="仿宋"/>
                <w:kern w:val="0"/>
                <w:sz w:val="24"/>
                <w:szCs w:val="24"/>
              </w:rPr>
              <w:t>）</w:t>
            </w:r>
            <w:r>
              <w:rPr>
                <w:rFonts w:hint="eastAsia" w:ascii="仿宋" w:hAnsi="仿宋" w:eastAsia="仿宋" w:cs="仿宋"/>
                <w:sz w:val="24"/>
                <w:szCs w:val="24"/>
              </w:rPr>
              <w:t>，从设备的新旧程度、设备的先进性等方面评分</w:t>
            </w:r>
            <w:r>
              <w:rPr>
                <w:rFonts w:hint="eastAsia" w:ascii="仿宋" w:hAnsi="仿宋" w:eastAsia="仿宋" w:cs="仿宋"/>
                <w:color w:val="000000"/>
                <w:kern w:val="0"/>
                <w:sz w:val="24"/>
                <w:szCs w:val="24"/>
                <w:lang w:bidi="ar"/>
              </w:rPr>
              <w:t>：优良8-10分，较好5-7分，一般0-4分。</w:t>
            </w:r>
          </w:p>
          <w:p w14:paraId="56EEBE70">
            <w:pPr>
              <w:pStyle w:val="14"/>
              <w:numPr>
                <w:ilvl w:val="255"/>
                <w:numId w:val="0"/>
              </w:numPr>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注：提供设备照片（</w:t>
            </w:r>
            <w:r>
              <w:rPr>
                <w:rFonts w:hint="eastAsia" w:ascii="仿宋" w:hAnsi="仿宋" w:eastAsia="仿宋" w:cs="仿宋"/>
                <w:sz w:val="24"/>
                <w:szCs w:val="24"/>
              </w:rPr>
              <w:t>正面、侧面、背面照片</w:t>
            </w:r>
            <w:r>
              <w:rPr>
                <w:rFonts w:hint="eastAsia" w:ascii="仿宋" w:hAnsi="仿宋" w:eastAsia="仿宋" w:cs="仿宋"/>
                <w:kern w:val="0"/>
                <w:sz w:val="24"/>
                <w:szCs w:val="24"/>
              </w:rPr>
              <w:t>）、购买合同或者发票复印件、设备说明书或宣传册。</w:t>
            </w:r>
          </w:p>
        </w:tc>
        <w:tc>
          <w:tcPr>
            <w:tcW w:w="378" w:type="pct"/>
            <w:tcBorders>
              <w:tl2br w:val="nil"/>
              <w:tr2bl w:val="nil"/>
            </w:tcBorders>
            <w:shd w:val="clear" w:color="auto" w:fill="auto"/>
            <w:vAlign w:val="center"/>
          </w:tcPr>
          <w:p w14:paraId="442C31AA">
            <w:pPr>
              <w:adjustRightInd w:val="0"/>
              <w:snapToGrid w:val="0"/>
              <w:spacing w:line="360" w:lineRule="auto"/>
              <w:jc w:val="center"/>
              <w:rPr>
                <w:rFonts w:ascii="仿宋" w:hAnsi="仿宋" w:eastAsia="仿宋" w:cs="仿宋"/>
                <w:sz w:val="24"/>
                <w:szCs w:val="24"/>
              </w:rPr>
            </w:pPr>
            <w:r>
              <w:rPr>
                <w:rFonts w:hint="eastAsia" w:ascii="仿宋" w:hAnsi="仿宋" w:eastAsia="仿宋" w:cs="仿宋"/>
                <w:kern w:val="0"/>
                <w:sz w:val="24"/>
                <w:szCs w:val="24"/>
              </w:rPr>
              <w:t>10</w:t>
            </w:r>
          </w:p>
        </w:tc>
      </w:tr>
      <w:tr w14:paraId="566347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1" w:type="pct"/>
            <w:tcBorders>
              <w:tl2br w:val="nil"/>
              <w:tr2bl w:val="nil"/>
            </w:tcBorders>
            <w:shd w:val="clear" w:color="auto" w:fill="auto"/>
            <w:vAlign w:val="center"/>
          </w:tcPr>
          <w:p w14:paraId="13C5B632">
            <w:pPr>
              <w:pStyle w:val="14"/>
              <w:adjustRightInd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4</w:t>
            </w:r>
          </w:p>
        </w:tc>
        <w:tc>
          <w:tcPr>
            <w:tcW w:w="714" w:type="pct"/>
            <w:tcBorders>
              <w:tl2br w:val="nil"/>
              <w:tr2bl w:val="nil"/>
            </w:tcBorders>
            <w:shd w:val="clear" w:color="auto" w:fill="auto"/>
            <w:vAlign w:val="center"/>
          </w:tcPr>
          <w:p w14:paraId="4B7BD1F0">
            <w:pPr>
              <w:widowControl/>
              <w:adjustRightInd w:val="0"/>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项目服务方案</w:t>
            </w:r>
          </w:p>
        </w:tc>
        <w:tc>
          <w:tcPr>
            <w:tcW w:w="3675" w:type="pct"/>
            <w:tcBorders>
              <w:tl2br w:val="nil"/>
              <w:tr2bl w:val="nil"/>
            </w:tcBorders>
            <w:shd w:val="clear" w:color="auto" w:fill="auto"/>
            <w:vAlign w:val="center"/>
          </w:tcPr>
          <w:p w14:paraId="5476612F">
            <w:pPr>
              <w:widowControl/>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根据投标人制定的本项目服务方案（内容包括但不限于服务目标、人员安排、配送时效、意外特发事件处理预案（如衣服洗坏、衣服丢失、配送错误等）进行综合评审：</w:t>
            </w:r>
          </w:p>
          <w:p w14:paraId="48A5CF1A">
            <w:pPr>
              <w:widowControl/>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1.内容非常完整，较好地满足用户服务需求，配送时效和处理预案保证措施非常合理，得9-10分；</w:t>
            </w:r>
          </w:p>
          <w:p w14:paraId="4D5A05F3">
            <w:pPr>
              <w:widowControl/>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2.内容完整，符合用户需求，配送时效和处理预案保证措施合理可行，得6-8分；</w:t>
            </w:r>
          </w:p>
          <w:p w14:paraId="011E56F5">
            <w:pPr>
              <w:widowControl/>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3.内容基本完整，基本符合用户需求，配送时效和处理预案保证措施保证措施基本可行，得3-5分；</w:t>
            </w:r>
          </w:p>
          <w:p w14:paraId="174CFAC5">
            <w:pPr>
              <w:widowControl/>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4.缺少内容、实用性差、可行性差或无提供，得0-2分</w:t>
            </w:r>
            <w:r>
              <w:rPr>
                <w:rFonts w:hint="eastAsia" w:ascii="仿宋" w:hAnsi="仿宋" w:eastAsia="仿宋" w:cs="仿宋"/>
                <w:sz w:val="24"/>
                <w:szCs w:val="24"/>
              </w:rPr>
              <w:t>。</w:t>
            </w:r>
          </w:p>
        </w:tc>
        <w:tc>
          <w:tcPr>
            <w:tcW w:w="378" w:type="pct"/>
            <w:tcBorders>
              <w:tl2br w:val="nil"/>
              <w:tr2bl w:val="nil"/>
            </w:tcBorders>
            <w:shd w:val="clear" w:color="auto" w:fill="auto"/>
            <w:vAlign w:val="center"/>
          </w:tcPr>
          <w:p w14:paraId="56A04C53">
            <w:pPr>
              <w:pStyle w:val="12"/>
              <w:wordWrap w:val="0"/>
              <w:spacing w:before="0" w:line="360" w:lineRule="auto"/>
              <w:jc w:val="center"/>
              <w:rPr>
                <w:rFonts w:ascii="仿宋" w:hAnsi="仿宋" w:eastAsia="仿宋" w:cs="仿宋"/>
                <w:kern w:val="2"/>
                <w:szCs w:val="24"/>
              </w:rPr>
            </w:pPr>
            <w:r>
              <w:rPr>
                <w:rFonts w:hint="eastAsia" w:ascii="仿宋" w:hAnsi="仿宋" w:eastAsia="仿宋" w:cs="仿宋"/>
                <w:kern w:val="2"/>
                <w:szCs w:val="24"/>
              </w:rPr>
              <w:t>10</w:t>
            </w:r>
          </w:p>
        </w:tc>
      </w:tr>
      <w:tr w14:paraId="17B4A5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1" w:type="pct"/>
            <w:tcBorders>
              <w:tl2br w:val="nil"/>
              <w:tr2bl w:val="nil"/>
            </w:tcBorders>
            <w:shd w:val="clear" w:color="auto" w:fill="auto"/>
            <w:vAlign w:val="center"/>
          </w:tcPr>
          <w:p w14:paraId="71665012">
            <w:pPr>
              <w:pStyle w:val="14"/>
              <w:adjustRightInd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5</w:t>
            </w:r>
          </w:p>
        </w:tc>
        <w:tc>
          <w:tcPr>
            <w:tcW w:w="714" w:type="pct"/>
            <w:tcBorders>
              <w:tl2br w:val="nil"/>
              <w:tr2bl w:val="nil"/>
            </w:tcBorders>
            <w:shd w:val="clear" w:color="auto" w:fill="auto"/>
            <w:vAlign w:val="center"/>
          </w:tcPr>
          <w:p w14:paraId="14CDE302">
            <w:pPr>
              <w:widowControl/>
              <w:adjustRightInd w:val="0"/>
              <w:snapToGri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洗衣质量保证方案</w:t>
            </w:r>
          </w:p>
        </w:tc>
        <w:tc>
          <w:tcPr>
            <w:tcW w:w="3675" w:type="pct"/>
            <w:tcBorders>
              <w:tl2br w:val="nil"/>
              <w:tr2bl w:val="nil"/>
            </w:tcBorders>
            <w:shd w:val="clear" w:color="auto" w:fill="auto"/>
            <w:vAlign w:val="center"/>
          </w:tcPr>
          <w:p w14:paraId="79CACF6F">
            <w:pPr>
              <w:widowControl/>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根据投标人制定的洗衣质量保证方案及内控检查制度及流程进行综合评审：</w:t>
            </w:r>
          </w:p>
          <w:p w14:paraId="2F94B6A2">
            <w:pPr>
              <w:widowControl/>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1.内容非常完整，较好地满足用户需求，保证措施非常合理，得6-7分；</w:t>
            </w:r>
          </w:p>
          <w:p w14:paraId="3DB1671C">
            <w:pPr>
              <w:widowControl/>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2.内容完整，符合用户需求，保证措施合理可行，得4-5分；</w:t>
            </w:r>
          </w:p>
          <w:p w14:paraId="2A4C3067">
            <w:pPr>
              <w:widowControl/>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3.内容基本完整，基本符合用户需求，保证措施基本可行，得2-3分；</w:t>
            </w:r>
          </w:p>
          <w:p w14:paraId="12B18E0D">
            <w:pPr>
              <w:widowControl/>
              <w:adjustRightInd w:val="0"/>
              <w:snapToGrid w:val="0"/>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4.缺少内容、实用性差、可行性差或无提供，得0-1分</w:t>
            </w:r>
            <w:r>
              <w:rPr>
                <w:rFonts w:hint="eastAsia" w:ascii="仿宋" w:hAnsi="仿宋" w:eastAsia="仿宋" w:cs="仿宋"/>
                <w:sz w:val="24"/>
                <w:szCs w:val="24"/>
              </w:rPr>
              <w:t>。</w:t>
            </w:r>
          </w:p>
        </w:tc>
        <w:tc>
          <w:tcPr>
            <w:tcW w:w="378" w:type="pct"/>
            <w:tcBorders>
              <w:tl2br w:val="nil"/>
              <w:tr2bl w:val="nil"/>
            </w:tcBorders>
            <w:shd w:val="clear" w:color="auto" w:fill="auto"/>
            <w:vAlign w:val="center"/>
          </w:tcPr>
          <w:p w14:paraId="68D08E95">
            <w:pPr>
              <w:pStyle w:val="12"/>
              <w:wordWrap w:val="0"/>
              <w:spacing w:before="0" w:line="360" w:lineRule="auto"/>
              <w:jc w:val="center"/>
              <w:rPr>
                <w:rFonts w:ascii="仿宋" w:hAnsi="仿宋" w:eastAsia="仿宋" w:cs="仿宋"/>
                <w:kern w:val="2"/>
                <w:szCs w:val="24"/>
              </w:rPr>
            </w:pPr>
            <w:r>
              <w:rPr>
                <w:rFonts w:hint="eastAsia" w:ascii="仿宋" w:hAnsi="仿宋" w:eastAsia="仿宋" w:cs="仿宋"/>
                <w:kern w:val="2"/>
                <w:szCs w:val="24"/>
              </w:rPr>
              <w:t>7</w:t>
            </w:r>
          </w:p>
        </w:tc>
      </w:tr>
      <w:tr w14:paraId="3A724E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1" w:type="pct"/>
            <w:tcBorders>
              <w:tl2br w:val="nil"/>
              <w:tr2bl w:val="nil"/>
            </w:tcBorders>
            <w:shd w:val="clear" w:color="auto" w:fill="auto"/>
            <w:vAlign w:val="center"/>
          </w:tcPr>
          <w:p w14:paraId="7FECD74D">
            <w:pPr>
              <w:pStyle w:val="14"/>
              <w:adjustRightInd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6</w:t>
            </w:r>
          </w:p>
        </w:tc>
        <w:tc>
          <w:tcPr>
            <w:tcW w:w="714" w:type="pct"/>
            <w:tcBorders>
              <w:tl2br w:val="nil"/>
              <w:tr2bl w:val="nil"/>
            </w:tcBorders>
            <w:shd w:val="clear" w:color="auto" w:fill="auto"/>
            <w:vAlign w:val="center"/>
          </w:tcPr>
          <w:p w14:paraId="13639142">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增值服务</w:t>
            </w:r>
          </w:p>
        </w:tc>
        <w:tc>
          <w:tcPr>
            <w:tcW w:w="3675" w:type="pct"/>
            <w:tcBorders>
              <w:tl2br w:val="nil"/>
              <w:tr2bl w:val="nil"/>
            </w:tcBorders>
            <w:shd w:val="clear" w:color="auto" w:fill="auto"/>
            <w:vAlign w:val="bottom"/>
          </w:tcPr>
          <w:p w14:paraId="7860691C">
            <w:pPr>
              <w:widowControl/>
              <w:jc w:val="left"/>
              <w:textAlignment w:val="bottom"/>
              <w:rPr>
                <w:rFonts w:ascii="仿宋" w:hAnsi="仿宋" w:eastAsia="仿宋" w:cs="仿宋"/>
                <w:sz w:val="24"/>
                <w:szCs w:val="24"/>
              </w:rPr>
            </w:pPr>
            <w:r>
              <w:rPr>
                <w:rFonts w:hint="eastAsia" w:ascii="仿宋" w:hAnsi="仿宋" w:eastAsia="仿宋" w:cs="仿宋"/>
                <w:kern w:val="0"/>
                <w:sz w:val="24"/>
                <w:szCs w:val="24"/>
                <w:lang w:bidi="ar"/>
              </w:rPr>
              <w:t>投标人根据对项目需求的理解，提供增值服务方案，对增值服务与本项目需求契合度，方案完整性等方面进行评价，优良4分，较好2-3分，一般0-1分。</w:t>
            </w:r>
          </w:p>
        </w:tc>
        <w:tc>
          <w:tcPr>
            <w:tcW w:w="378" w:type="pct"/>
            <w:tcBorders>
              <w:tl2br w:val="nil"/>
              <w:tr2bl w:val="nil"/>
            </w:tcBorders>
            <w:shd w:val="clear" w:color="auto" w:fill="auto"/>
            <w:vAlign w:val="center"/>
          </w:tcPr>
          <w:p w14:paraId="39CCFFB3">
            <w:pPr>
              <w:widowControl/>
              <w:jc w:val="center"/>
              <w:textAlignment w:val="center"/>
              <w:rPr>
                <w:rFonts w:ascii="仿宋" w:hAnsi="仿宋" w:eastAsia="仿宋" w:cs="仿宋"/>
                <w:sz w:val="24"/>
                <w:szCs w:val="24"/>
              </w:rPr>
            </w:pPr>
            <w:r>
              <w:rPr>
                <w:rFonts w:hint="eastAsia" w:ascii="仿宋" w:hAnsi="仿宋" w:eastAsia="仿宋" w:cs="仿宋"/>
                <w:sz w:val="24"/>
                <w:szCs w:val="24"/>
              </w:rPr>
              <w:t>4</w:t>
            </w:r>
          </w:p>
        </w:tc>
      </w:tr>
      <w:tr w14:paraId="33EBC2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621" w:type="pct"/>
            <w:gridSpan w:val="3"/>
            <w:tcBorders>
              <w:tl2br w:val="nil"/>
              <w:tr2bl w:val="nil"/>
            </w:tcBorders>
            <w:shd w:val="clear" w:color="auto" w:fill="auto"/>
            <w:vAlign w:val="center"/>
          </w:tcPr>
          <w:p w14:paraId="2BBD82AF">
            <w:pPr>
              <w:adjustRightInd w:val="0"/>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总分</w:t>
            </w:r>
          </w:p>
        </w:tc>
        <w:tc>
          <w:tcPr>
            <w:tcW w:w="378" w:type="pct"/>
            <w:tcBorders>
              <w:tl2br w:val="nil"/>
              <w:tr2bl w:val="nil"/>
            </w:tcBorders>
            <w:shd w:val="clear" w:color="auto" w:fill="auto"/>
            <w:vAlign w:val="center"/>
          </w:tcPr>
          <w:p w14:paraId="7555EA16">
            <w:pPr>
              <w:adjustRightInd w:val="0"/>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40</w:t>
            </w:r>
          </w:p>
        </w:tc>
      </w:tr>
    </w:tbl>
    <w:p w14:paraId="4ECC9E48">
      <w:pPr>
        <w:keepLines/>
        <w:wordWrap w:val="0"/>
        <w:spacing w:line="360" w:lineRule="auto"/>
        <w:rPr>
          <w:rFonts w:ascii="仿宋" w:hAnsi="仿宋" w:eastAsia="仿宋" w:cs="仿宋"/>
          <w:b/>
          <w:sz w:val="24"/>
          <w:szCs w:val="24"/>
        </w:rPr>
      </w:pPr>
    </w:p>
    <w:p w14:paraId="51326DE9">
      <w:pPr>
        <w:keepLines/>
        <w:wordWrap w:val="0"/>
        <w:spacing w:line="360" w:lineRule="auto"/>
        <w:rPr>
          <w:rFonts w:ascii="仿宋" w:hAnsi="仿宋" w:eastAsia="仿宋" w:cs="仿宋"/>
          <w:b/>
          <w:sz w:val="24"/>
          <w:szCs w:val="24"/>
        </w:rPr>
      </w:pPr>
    </w:p>
    <w:p w14:paraId="0FD1E9D5">
      <w:pPr>
        <w:keepLines/>
        <w:wordWrap w:val="0"/>
        <w:spacing w:line="360" w:lineRule="auto"/>
        <w:rPr>
          <w:rFonts w:ascii="仿宋" w:hAnsi="仿宋" w:eastAsia="仿宋" w:cs="仿宋"/>
          <w:b/>
          <w:sz w:val="24"/>
          <w:szCs w:val="24"/>
        </w:rPr>
      </w:pPr>
    </w:p>
    <w:p w14:paraId="5D3C9F98">
      <w:pPr>
        <w:keepLines/>
        <w:wordWrap w:val="0"/>
        <w:spacing w:line="360" w:lineRule="auto"/>
        <w:rPr>
          <w:rFonts w:ascii="仿宋" w:hAnsi="仿宋" w:eastAsia="仿宋" w:cs="仿宋"/>
          <w:b/>
          <w:sz w:val="24"/>
          <w:szCs w:val="24"/>
        </w:rPr>
      </w:pPr>
    </w:p>
    <w:p w14:paraId="76A289A5">
      <w:pPr>
        <w:keepLines/>
        <w:wordWrap w:val="0"/>
        <w:spacing w:line="360" w:lineRule="auto"/>
        <w:rPr>
          <w:rFonts w:ascii="仿宋" w:hAnsi="仿宋" w:eastAsia="仿宋" w:cs="仿宋"/>
          <w:b/>
          <w:sz w:val="24"/>
          <w:szCs w:val="24"/>
        </w:rPr>
      </w:pPr>
    </w:p>
    <w:p w14:paraId="736429C5">
      <w:pPr>
        <w:keepLines/>
        <w:wordWrap w:val="0"/>
        <w:spacing w:line="360" w:lineRule="auto"/>
        <w:rPr>
          <w:rFonts w:ascii="仿宋" w:hAnsi="仿宋" w:eastAsia="仿宋" w:cs="仿宋"/>
          <w:b/>
          <w:sz w:val="24"/>
          <w:szCs w:val="24"/>
        </w:rPr>
      </w:pPr>
    </w:p>
    <w:p w14:paraId="7D491024">
      <w:pPr>
        <w:keepLines/>
        <w:wordWrap w:val="0"/>
        <w:spacing w:line="360" w:lineRule="auto"/>
        <w:rPr>
          <w:rFonts w:ascii="仿宋" w:hAnsi="仿宋" w:eastAsia="仿宋" w:cs="仿宋"/>
          <w:b/>
          <w:sz w:val="24"/>
          <w:szCs w:val="24"/>
        </w:rPr>
      </w:pPr>
      <w:r>
        <w:rPr>
          <w:rFonts w:hint="eastAsia" w:ascii="仿宋" w:hAnsi="仿宋" w:eastAsia="仿宋" w:cs="仿宋"/>
          <w:b/>
          <w:sz w:val="24"/>
          <w:szCs w:val="24"/>
        </w:rPr>
        <w:t>附表3：价格部分评分标准</w:t>
      </w:r>
    </w:p>
    <w:tbl>
      <w:tblPr>
        <w:tblStyle w:val="33"/>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26"/>
        <w:gridCol w:w="8520"/>
      </w:tblGrid>
      <w:tr w14:paraId="06D1E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73" w:type="pct"/>
            <w:shd w:val="clear" w:color="auto" w:fill="EAEAEA"/>
            <w:vAlign w:val="center"/>
          </w:tcPr>
          <w:p w14:paraId="6441EE5D">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评分项目</w:t>
            </w:r>
          </w:p>
        </w:tc>
        <w:tc>
          <w:tcPr>
            <w:tcW w:w="4326" w:type="pct"/>
            <w:shd w:val="clear" w:color="auto" w:fill="EAEAEA"/>
            <w:vAlign w:val="center"/>
          </w:tcPr>
          <w:p w14:paraId="2ECF3B75">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评分标准</w:t>
            </w:r>
          </w:p>
        </w:tc>
      </w:tr>
      <w:tr w14:paraId="0B622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73" w:type="pct"/>
            <w:vAlign w:val="center"/>
          </w:tcPr>
          <w:p w14:paraId="30A06FEA">
            <w:pPr>
              <w:spacing w:line="360" w:lineRule="auto"/>
              <w:jc w:val="center"/>
              <w:rPr>
                <w:rFonts w:ascii="仿宋" w:hAnsi="仿宋" w:eastAsia="仿宋" w:cs="仿宋"/>
                <w:sz w:val="24"/>
                <w:szCs w:val="24"/>
              </w:rPr>
            </w:pPr>
            <w:r>
              <w:rPr>
                <w:rFonts w:hint="eastAsia" w:ascii="仿宋" w:hAnsi="仿宋" w:eastAsia="仿宋" w:cs="仿宋"/>
                <w:sz w:val="24"/>
                <w:szCs w:val="24"/>
              </w:rPr>
              <w:t>价格评审</w:t>
            </w:r>
          </w:p>
        </w:tc>
        <w:tc>
          <w:tcPr>
            <w:tcW w:w="4326" w:type="pct"/>
            <w:tcBorders>
              <w:bottom w:val="single" w:color="auto" w:sz="4" w:space="0"/>
            </w:tcBorders>
            <w:shd w:val="clear" w:color="auto" w:fill="auto"/>
            <w:vAlign w:val="center"/>
          </w:tcPr>
          <w:p w14:paraId="04591CAF">
            <w:pPr>
              <w:widowControl/>
              <w:spacing w:line="360" w:lineRule="auto"/>
              <w:rPr>
                <w:rFonts w:ascii="仿宋" w:hAnsi="仿宋" w:eastAsia="仿宋" w:cs="仿宋"/>
                <w:b/>
                <w:bCs/>
                <w:kern w:val="0"/>
                <w:sz w:val="24"/>
                <w:szCs w:val="24"/>
              </w:rPr>
            </w:pPr>
            <w:r>
              <w:rPr>
                <w:rFonts w:hint="eastAsia" w:ascii="仿宋" w:hAnsi="仿宋" w:eastAsia="仿宋" w:cs="仿宋"/>
                <w:b/>
                <w:bCs/>
                <w:kern w:val="0"/>
                <w:sz w:val="24"/>
                <w:szCs w:val="24"/>
              </w:rPr>
              <w:t>低价优先法：</w:t>
            </w:r>
          </w:p>
          <w:p w14:paraId="0BE33F29">
            <w:pPr>
              <w:widowControl/>
              <w:spacing w:line="360" w:lineRule="auto"/>
              <w:rPr>
                <w:rFonts w:ascii="仿宋" w:hAnsi="仿宋" w:eastAsia="仿宋" w:cs="仿宋"/>
                <w:color w:val="FF0000"/>
                <w:kern w:val="0"/>
                <w:sz w:val="24"/>
                <w:szCs w:val="24"/>
              </w:rPr>
            </w:pPr>
            <w:r>
              <w:rPr>
                <w:rFonts w:hint="eastAsia" w:ascii="仿宋" w:hAnsi="仿宋" w:eastAsia="仿宋" w:cs="仿宋"/>
                <w:kern w:val="0"/>
                <w:sz w:val="24"/>
                <w:szCs w:val="24"/>
              </w:rPr>
              <w:t>1）评标价：各有效投标人的折扣率。</w:t>
            </w:r>
          </w:p>
          <w:p w14:paraId="5866EF07">
            <w:pPr>
              <w:widowControl/>
              <w:spacing w:line="360" w:lineRule="auto"/>
              <w:rPr>
                <w:rFonts w:ascii="仿宋" w:hAnsi="仿宋" w:eastAsia="仿宋" w:cs="仿宋"/>
                <w:kern w:val="0"/>
                <w:sz w:val="24"/>
                <w:szCs w:val="24"/>
              </w:rPr>
            </w:pPr>
            <w:r>
              <w:rPr>
                <w:rFonts w:hint="eastAsia" w:ascii="仿宋" w:hAnsi="仿宋" w:eastAsia="仿宋" w:cs="仿宋"/>
                <w:kern w:val="0"/>
                <w:sz w:val="24"/>
                <w:szCs w:val="24"/>
              </w:rPr>
              <w:t>2）评标基准价：满足招标文件要求且最低的有效评标价。</w:t>
            </w:r>
          </w:p>
          <w:p w14:paraId="363B0E14">
            <w:pPr>
              <w:widowControl/>
              <w:spacing w:line="360" w:lineRule="auto"/>
              <w:rPr>
                <w:rFonts w:ascii="仿宋" w:hAnsi="仿宋" w:eastAsia="仿宋" w:cs="仿宋"/>
                <w:kern w:val="0"/>
                <w:sz w:val="24"/>
                <w:szCs w:val="24"/>
              </w:rPr>
            </w:pPr>
            <w:r>
              <w:rPr>
                <w:rFonts w:hint="eastAsia" w:ascii="仿宋" w:hAnsi="仿宋" w:eastAsia="仿宋" w:cs="仿宋"/>
                <w:kern w:val="0"/>
                <w:sz w:val="24"/>
                <w:szCs w:val="24"/>
              </w:rPr>
              <w:t>3）价格分计算：有效投标人的评标价=评标基准价的价格分得满分；其他投标人的价格分按照以下公式计算，并精确到小数点后两位：</w:t>
            </w:r>
          </w:p>
          <w:p w14:paraId="05247D98">
            <w:pPr>
              <w:widowControl/>
              <w:spacing w:line="360" w:lineRule="auto"/>
              <w:jc w:val="left"/>
              <w:rPr>
                <w:rFonts w:ascii="仿宋" w:hAnsi="仿宋" w:eastAsia="仿宋" w:cs="仿宋"/>
                <w:kern w:val="0"/>
                <w:sz w:val="24"/>
                <w:szCs w:val="24"/>
                <w:lang w:val="zh-CN"/>
              </w:rPr>
            </w:pPr>
            <w:r>
              <w:rPr>
                <w:rFonts w:hint="eastAsia" w:ascii="仿宋" w:hAnsi="仿宋" w:eastAsia="仿宋" w:cs="仿宋"/>
                <w:b/>
                <w:bCs/>
                <w:kern w:val="0"/>
                <w:sz w:val="24"/>
                <w:szCs w:val="24"/>
              </w:rPr>
              <w:t>价格得分=（评标基准价/该投标人的评标价）*50</w:t>
            </w:r>
          </w:p>
        </w:tc>
      </w:tr>
    </w:tbl>
    <w:p w14:paraId="4C8C42F7">
      <w:pPr>
        <w:spacing w:line="360" w:lineRule="auto"/>
        <w:rPr>
          <w:rFonts w:ascii="仿宋" w:hAnsi="仿宋" w:eastAsia="仿宋" w:cs="仿宋"/>
          <w:sz w:val="24"/>
          <w:szCs w:val="24"/>
        </w:rPr>
      </w:pPr>
      <w:r>
        <w:rPr>
          <w:rFonts w:hint="eastAsia" w:ascii="仿宋" w:hAnsi="仿宋" w:eastAsia="仿宋" w:cs="仿宋"/>
          <w:sz w:val="24"/>
          <w:szCs w:val="24"/>
        </w:rPr>
        <w:br w:type="page"/>
      </w:r>
    </w:p>
    <w:bookmarkEnd w:id="849"/>
    <w:bookmarkEnd w:id="850"/>
    <w:bookmarkEnd w:id="851"/>
    <w:p w14:paraId="525A2886">
      <w:pPr>
        <w:pStyle w:val="4"/>
        <w:rPr>
          <w:rFonts w:ascii="仿宋" w:hAnsi="仿宋" w:cs="仿宋"/>
          <w:szCs w:val="24"/>
        </w:rPr>
      </w:pPr>
      <w:bookmarkStart w:id="852" w:name="_Toc6583"/>
      <w:bookmarkStart w:id="853" w:name="_Toc20900"/>
      <w:r>
        <w:rPr>
          <w:rFonts w:hint="eastAsia" w:ascii="仿宋" w:hAnsi="仿宋" w:cs="仿宋"/>
          <w:szCs w:val="24"/>
        </w:rPr>
        <w:t>一、评标方法</w:t>
      </w:r>
      <w:bookmarkEnd w:id="846"/>
      <w:bookmarkEnd w:id="847"/>
      <w:bookmarkEnd w:id="848"/>
      <w:bookmarkEnd w:id="852"/>
      <w:bookmarkEnd w:id="853"/>
    </w:p>
    <w:p w14:paraId="1F76920E">
      <w:pPr>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本招标项目评标采用综合评分法。评标委员会对满足招标文件实质性要求的投标文件，按照本章第2.2款规定的评审因素和评审标准进行评分，并按照综合得分由高到低的顺序推荐中标候选人，或者根据招标人授权直接确定中标人，但投标报价低于成本的除外。</w:t>
      </w:r>
    </w:p>
    <w:p w14:paraId="2DE7BFE5">
      <w:pPr>
        <w:pStyle w:val="4"/>
        <w:rPr>
          <w:rFonts w:ascii="仿宋" w:hAnsi="仿宋" w:cs="仿宋"/>
          <w:szCs w:val="24"/>
        </w:rPr>
      </w:pPr>
      <w:bookmarkStart w:id="854" w:name="_Toc109124310"/>
      <w:bookmarkStart w:id="855" w:name="_Toc11746"/>
      <w:bookmarkStart w:id="856" w:name="_Toc18381"/>
      <w:bookmarkStart w:id="857" w:name="_Toc65682985"/>
      <w:bookmarkStart w:id="858" w:name="_Toc28028"/>
      <w:r>
        <w:rPr>
          <w:rFonts w:hint="eastAsia" w:ascii="仿宋" w:hAnsi="仿宋" w:cs="仿宋"/>
          <w:szCs w:val="24"/>
        </w:rPr>
        <w:t>二、评审标准</w:t>
      </w:r>
      <w:bookmarkEnd w:id="854"/>
      <w:bookmarkEnd w:id="855"/>
      <w:bookmarkEnd w:id="856"/>
      <w:bookmarkEnd w:id="857"/>
      <w:bookmarkEnd w:id="858"/>
    </w:p>
    <w:p w14:paraId="4BB5F764">
      <w:pPr>
        <w:spacing w:line="360" w:lineRule="auto"/>
        <w:ind w:firstLine="480" w:firstLineChars="200"/>
        <w:rPr>
          <w:rFonts w:ascii="仿宋" w:hAnsi="仿宋" w:eastAsia="仿宋" w:cs="仿宋"/>
          <w:sz w:val="24"/>
          <w:szCs w:val="24"/>
        </w:rPr>
      </w:pPr>
      <w:bookmarkStart w:id="859" w:name="_Toc11677"/>
      <w:bookmarkStart w:id="860" w:name="_Toc65682986"/>
      <w:r>
        <w:rPr>
          <w:rFonts w:hint="eastAsia" w:ascii="仿宋" w:hAnsi="仿宋" w:eastAsia="仿宋" w:cs="仿宋"/>
          <w:sz w:val="24"/>
          <w:szCs w:val="24"/>
        </w:rPr>
        <w:t>2.1 初步评审标准：见评标办法前附表。</w:t>
      </w:r>
    </w:p>
    <w:p w14:paraId="1BFDF90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2.2 详细评审标准：见评标办法前附表。</w:t>
      </w:r>
    </w:p>
    <w:p w14:paraId="7B67C117">
      <w:pPr>
        <w:pStyle w:val="4"/>
        <w:rPr>
          <w:rFonts w:ascii="仿宋" w:hAnsi="仿宋" w:cs="仿宋"/>
          <w:szCs w:val="24"/>
        </w:rPr>
      </w:pPr>
      <w:bookmarkStart w:id="861" w:name="_Toc109124311"/>
      <w:bookmarkStart w:id="862" w:name="_Toc4855"/>
      <w:bookmarkStart w:id="863" w:name="_Toc11212"/>
      <w:r>
        <w:rPr>
          <w:rFonts w:hint="eastAsia" w:ascii="仿宋" w:hAnsi="仿宋" w:cs="仿宋"/>
          <w:szCs w:val="24"/>
        </w:rPr>
        <w:t>三、评标程序</w:t>
      </w:r>
      <w:bookmarkEnd w:id="859"/>
      <w:bookmarkEnd w:id="860"/>
      <w:bookmarkEnd w:id="861"/>
      <w:bookmarkEnd w:id="862"/>
      <w:bookmarkEnd w:id="863"/>
    </w:p>
    <w:p w14:paraId="73490D81">
      <w:pPr>
        <w:pStyle w:val="5"/>
        <w:spacing w:line="360" w:lineRule="auto"/>
        <w:rPr>
          <w:rFonts w:hint="default" w:ascii="仿宋" w:hAnsi="仿宋" w:cs="仿宋"/>
        </w:rPr>
      </w:pPr>
      <w:bookmarkStart w:id="864" w:name="_Toc140"/>
      <w:bookmarkStart w:id="865" w:name="_Toc18467"/>
      <w:bookmarkStart w:id="866" w:name="_Toc20986"/>
      <w:bookmarkStart w:id="867" w:name="_Toc6378"/>
      <w:bookmarkStart w:id="868" w:name="_Toc4910"/>
      <w:r>
        <w:rPr>
          <w:rFonts w:ascii="仿宋" w:hAnsi="仿宋" w:cs="仿宋"/>
        </w:rPr>
        <w:t>3.1初步评审</w:t>
      </w:r>
      <w:bookmarkEnd w:id="864"/>
      <w:bookmarkEnd w:id="865"/>
      <w:bookmarkEnd w:id="866"/>
      <w:bookmarkEnd w:id="867"/>
      <w:bookmarkEnd w:id="868"/>
    </w:p>
    <w:p w14:paraId="7F556A8F">
      <w:pPr>
        <w:widowControl/>
        <w:topLinePunct/>
        <w:spacing w:line="360" w:lineRule="auto"/>
        <w:ind w:firstLine="480" w:firstLineChars="200"/>
        <w:rPr>
          <w:rFonts w:ascii="仿宋" w:hAnsi="仿宋" w:eastAsia="仿宋" w:cs="仿宋"/>
          <w:b/>
          <w:bCs/>
          <w:kern w:val="0"/>
          <w:sz w:val="24"/>
          <w:szCs w:val="24"/>
        </w:rPr>
      </w:pPr>
      <w:r>
        <w:rPr>
          <w:rFonts w:hint="eastAsia" w:ascii="仿宋" w:hAnsi="仿宋" w:eastAsia="仿宋" w:cs="仿宋"/>
          <w:kern w:val="0"/>
          <w:sz w:val="24"/>
          <w:szCs w:val="24"/>
        </w:rPr>
        <w:t>3.1.1评标委员会根据本章第2.1条规定的标准对投标文件进行初步评审。有一项不符合初步评审标准的，</w:t>
      </w:r>
      <w:r>
        <w:rPr>
          <w:rFonts w:hint="eastAsia" w:ascii="仿宋" w:hAnsi="仿宋" w:eastAsia="仿宋" w:cs="仿宋"/>
          <w:b/>
          <w:bCs/>
          <w:kern w:val="0"/>
          <w:sz w:val="24"/>
          <w:szCs w:val="24"/>
        </w:rPr>
        <w:t xml:space="preserve">评标委员会应当否决其投标。 </w:t>
      </w:r>
    </w:p>
    <w:p w14:paraId="39A405EA">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3.1.2投标人有以下情形之一的，</w:t>
      </w:r>
      <w:r>
        <w:rPr>
          <w:rFonts w:hint="eastAsia" w:ascii="仿宋" w:hAnsi="仿宋" w:eastAsia="仿宋" w:cs="仿宋"/>
          <w:b/>
          <w:bCs/>
          <w:kern w:val="0"/>
          <w:sz w:val="24"/>
          <w:szCs w:val="24"/>
        </w:rPr>
        <w:t>评标委员会应当否决其投标</w:t>
      </w:r>
      <w:r>
        <w:rPr>
          <w:rFonts w:hint="eastAsia" w:ascii="仿宋" w:hAnsi="仿宋" w:eastAsia="仿宋" w:cs="仿宋"/>
          <w:kern w:val="0"/>
          <w:sz w:val="24"/>
          <w:szCs w:val="24"/>
        </w:rPr>
        <w:t>：</w:t>
      </w:r>
    </w:p>
    <w:p w14:paraId="5D5B7595">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（1）按照招标公告要求已经递交电子投标文件，但未按时递交纸质投标文件；</w:t>
      </w:r>
    </w:p>
    <w:p w14:paraId="1709D7B5">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（2）投标文件未经投标单位盖章或单位负责人签字；</w:t>
      </w:r>
    </w:p>
    <w:p w14:paraId="42392DA0">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（3）允许联合体投标的，投标联合体没有递交共同投标协议；</w:t>
      </w:r>
    </w:p>
    <w:p w14:paraId="7267EB24">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（4）投标人不符合国家或者招标文件规定的资格条件；</w:t>
      </w:r>
    </w:p>
    <w:p w14:paraId="0970C83A">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（5）同一投标人提交两个以上不同的投标文件或者投标报价，但招标文件要求提交备选投标的除外；</w:t>
      </w:r>
    </w:p>
    <w:p w14:paraId="6F16F2DA">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（6）投标报价低于成本或者高于招标文件设定的最高投标限价；</w:t>
      </w:r>
    </w:p>
    <w:p w14:paraId="109E4120">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（7）投标文件未对招标文件的实质性要求和条件作出响应； </w:t>
      </w:r>
    </w:p>
    <w:p w14:paraId="29E24436">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（8）投标人有串通投标、弄虚作假、行贿等违法行为；</w:t>
      </w:r>
    </w:p>
    <w:p w14:paraId="7A002FBD">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（9）不接受或不确认因算术性错误进行的价格修正；</w:t>
      </w:r>
    </w:p>
    <w:p w14:paraId="43A16BF0">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（10）投标文件附有招标人不能接受的条件；</w:t>
      </w:r>
    </w:p>
    <w:p w14:paraId="6CBAC084">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（11）不符合招标文件中规定的其他实质性要求。</w:t>
      </w:r>
    </w:p>
    <w:p w14:paraId="5D7C2C17">
      <w:pPr>
        <w:widowControl/>
        <w:topLinePunct/>
        <w:spacing w:line="360" w:lineRule="auto"/>
        <w:ind w:firstLine="480" w:firstLineChars="200"/>
        <w:rPr>
          <w:rFonts w:ascii="仿宋" w:hAnsi="仿宋" w:eastAsia="仿宋" w:cs="仿宋"/>
          <w:b/>
          <w:bCs/>
          <w:kern w:val="0"/>
          <w:sz w:val="24"/>
          <w:szCs w:val="24"/>
        </w:rPr>
      </w:pPr>
      <w:r>
        <w:rPr>
          <w:rFonts w:hint="eastAsia" w:ascii="仿宋" w:hAnsi="仿宋" w:eastAsia="仿宋" w:cs="仿宋"/>
          <w:kern w:val="0"/>
          <w:sz w:val="24"/>
          <w:szCs w:val="24"/>
        </w:rPr>
        <w:t>3.1.3投标报价有算术错误的，评标委员会按照以下原则对投标报价进行修正，修正的价格经投标人书面确认后具有约束力。投标人不接受或不确认修正后价格的，</w:t>
      </w:r>
      <w:r>
        <w:rPr>
          <w:rFonts w:hint="eastAsia" w:ascii="仿宋" w:hAnsi="仿宋" w:eastAsia="仿宋" w:cs="仿宋"/>
          <w:b/>
          <w:bCs/>
          <w:kern w:val="0"/>
          <w:sz w:val="24"/>
          <w:szCs w:val="24"/>
        </w:rPr>
        <w:t>评标委员会应当否决其投标。</w:t>
      </w:r>
    </w:p>
    <w:p w14:paraId="189E85D3">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 投标文件中的大写金额与小写金额不一致的，以大写金额为准；</w:t>
      </w:r>
    </w:p>
    <w:p w14:paraId="28049109">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 总价金额与根据单价计算出的结果不一致的，以单价金额为准修正总价，但单价金额小数点有明显错误的除外。</w:t>
      </w:r>
    </w:p>
    <w:p w14:paraId="4F95A3F0">
      <w:pPr>
        <w:widowControl/>
        <w:topLinePunct/>
        <w:spacing w:line="360" w:lineRule="auto"/>
        <w:ind w:firstLine="480" w:firstLineChars="200"/>
        <w:rPr>
          <w:rFonts w:ascii="仿宋" w:hAnsi="仿宋" w:eastAsia="仿宋" w:cs="仿宋"/>
          <w:b/>
          <w:bCs/>
          <w:kern w:val="0"/>
          <w:sz w:val="24"/>
          <w:szCs w:val="24"/>
        </w:rPr>
      </w:pPr>
      <w:r>
        <w:rPr>
          <w:rFonts w:hint="eastAsia" w:ascii="仿宋" w:hAnsi="仿宋" w:eastAsia="仿宋" w:cs="仿宋"/>
          <w:kern w:val="0"/>
          <w:sz w:val="24"/>
          <w:szCs w:val="24"/>
        </w:rPr>
        <w:t>3.1.4在评标过程中，评标委员会发现投标人的报价明显低于其他投标报价或者在设有标底时明显低于标底，使得其投标报价可能低于其个别成本的，应当要求该投标人作出书面说明并提供相关证明材料。投标人不能合理说明或者不能提供相关证明材料的，由评标委员会认定该投标人以低于成本报价竞标，</w:t>
      </w:r>
      <w:r>
        <w:rPr>
          <w:rFonts w:hint="eastAsia" w:ascii="仿宋" w:hAnsi="仿宋" w:eastAsia="仿宋" w:cs="仿宋"/>
          <w:b/>
          <w:bCs/>
          <w:kern w:val="0"/>
          <w:sz w:val="24"/>
          <w:szCs w:val="24"/>
        </w:rPr>
        <w:t>应当否决其投标。</w:t>
      </w:r>
    </w:p>
    <w:p w14:paraId="6775A07F">
      <w:pPr>
        <w:widowControl/>
        <w:topLinePunct/>
        <w:spacing w:line="360" w:lineRule="auto"/>
        <w:ind w:firstLine="480" w:firstLineChars="200"/>
        <w:rPr>
          <w:rFonts w:ascii="仿宋" w:hAnsi="仿宋" w:eastAsia="仿宋" w:cs="仿宋"/>
          <w:b/>
          <w:bCs/>
          <w:kern w:val="0"/>
          <w:sz w:val="24"/>
          <w:szCs w:val="24"/>
        </w:rPr>
      </w:pPr>
      <w:r>
        <w:rPr>
          <w:rFonts w:hint="eastAsia" w:ascii="仿宋" w:hAnsi="仿宋" w:eastAsia="仿宋" w:cs="仿宋"/>
          <w:kern w:val="0"/>
          <w:sz w:val="24"/>
          <w:szCs w:val="24"/>
        </w:rPr>
        <w:t>3.1.5 中标人为1家的项目，如果有效投标人少于3家（不含本数），</w:t>
      </w:r>
      <w:r>
        <w:rPr>
          <w:rFonts w:hint="eastAsia" w:ascii="仿宋" w:hAnsi="仿宋" w:eastAsia="仿宋" w:cs="仿宋"/>
          <w:b/>
          <w:bCs/>
          <w:kern w:val="0"/>
          <w:sz w:val="24"/>
          <w:szCs w:val="24"/>
        </w:rPr>
        <w:t>评标委员会将否决全部投标。</w:t>
      </w:r>
      <w:r>
        <w:rPr>
          <w:rFonts w:hint="eastAsia" w:ascii="仿宋" w:hAnsi="仿宋" w:eastAsia="仿宋" w:cs="仿宋"/>
          <w:kern w:val="0"/>
          <w:sz w:val="24"/>
          <w:szCs w:val="24"/>
        </w:rPr>
        <w:t>中标人为N家（1&lt;N≤3）的项目，如果有效投标人少于2N家（不含本数），评标委员会</w:t>
      </w:r>
      <w:r>
        <w:rPr>
          <w:rFonts w:hint="eastAsia" w:ascii="仿宋" w:hAnsi="仿宋" w:eastAsia="仿宋" w:cs="仿宋"/>
          <w:b/>
          <w:bCs/>
          <w:kern w:val="0"/>
          <w:sz w:val="24"/>
          <w:szCs w:val="24"/>
        </w:rPr>
        <w:t>将否决全部投标</w:t>
      </w:r>
      <w:r>
        <w:rPr>
          <w:rFonts w:hint="eastAsia" w:ascii="仿宋" w:hAnsi="仿宋" w:eastAsia="仿宋" w:cs="仿宋"/>
          <w:kern w:val="0"/>
          <w:sz w:val="24"/>
          <w:szCs w:val="24"/>
        </w:rPr>
        <w:t>。中标人为N家（N＞3）的项目，如果有效投标人少于1.5N家（不含本数），评标委员会</w:t>
      </w:r>
      <w:r>
        <w:rPr>
          <w:rFonts w:hint="eastAsia" w:ascii="仿宋" w:hAnsi="仿宋" w:eastAsia="仿宋" w:cs="仿宋"/>
          <w:b/>
          <w:bCs/>
          <w:kern w:val="0"/>
          <w:sz w:val="24"/>
          <w:szCs w:val="24"/>
        </w:rPr>
        <w:t>将否决全部投标。</w:t>
      </w:r>
    </w:p>
    <w:p w14:paraId="396DB860">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3.1.6 对不同文字文本投标文件的解释发生异议的，以中文文本为准。</w:t>
      </w:r>
    </w:p>
    <w:p w14:paraId="273D9813">
      <w:pPr>
        <w:pStyle w:val="5"/>
        <w:spacing w:line="360" w:lineRule="auto"/>
        <w:rPr>
          <w:rFonts w:hint="default" w:ascii="仿宋" w:hAnsi="仿宋" w:cs="仿宋"/>
        </w:rPr>
      </w:pPr>
      <w:bookmarkStart w:id="869" w:name="_Toc14213"/>
      <w:bookmarkStart w:id="870" w:name="_Toc28038"/>
      <w:bookmarkStart w:id="871" w:name="_Toc24984"/>
      <w:bookmarkStart w:id="872" w:name="_Toc5970"/>
      <w:bookmarkStart w:id="873" w:name="_Toc10220"/>
      <w:r>
        <w:rPr>
          <w:rFonts w:ascii="仿宋" w:hAnsi="仿宋" w:cs="仿宋"/>
        </w:rPr>
        <w:t>3.2 详细评审</w:t>
      </w:r>
      <w:bookmarkEnd w:id="869"/>
      <w:bookmarkEnd w:id="870"/>
      <w:bookmarkEnd w:id="871"/>
      <w:bookmarkEnd w:id="872"/>
      <w:bookmarkEnd w:id="873"/>
    </w:p>
    <w:p w14:paraId="3180E85A">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3.2.1 评标委员会按照本章第2.2款规定的评审因素和量化标准进行评分，并计算出综合评估得分。</w:t>
      </w:r>
    </w:p>
    <w:p w14:paraId="61E99518">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3.2.2 评分分值计算原则上保留小数点后两位，小数点后第三位“四舍五入”。</w:t>
      </w:r>
    </w:p>
    <w:p w14:paraId="37B059BF">
      <w:pPr>
        <w:pStyle w:val="5"/>
        <w:spacing w:line="360" w:lineRule="auto"/>
        <w:rPr>
          <w:rFonts w:hint="default" w:ascii="仿宋" w:hAnsi="仿宋" w:cs="仿宋"/>
        </w:rPr>
      </w:pPr>
      <w:bookmarkStart w:id="874" w:name="_Toc21006"/>
      <w:bookmarkStart w:id="875" w:name="_Toc4079"/>
      <w:bookmarkStart w:id="876" w:name="_Toc20704"/>
      <w:bookmarkStart w:id="877" w:name="_Toc1719"/>
      <w:bookmarkStart w:id="878" w:name="_Toc18355"/>
      <w:r>
        <w:rPr>
          <w:rFonts w:ascii="仿宋" w:hAnsi="仿宋" w:cs="仿宋"/>
        </w:rPr>
        <w:t>3.3 投标文件的澄清、说明</w:t>
      </w:r>
      <w:bookmarkEnd w:id="874"/>
      <w:bookmarkEnd w:id="875"/>
      <w:bookmarkEnd w:id="876"/>
      <w:bookmarkEnd w:id="877"/>
      <w:bookmarkEnd w:id="878"/>
    </w:p>
    <w:p w14:paraId="516B6911">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3.3.1 投标文件中有含义不明确的内容、明显文字或者计算错误、对同类问题表述不一致的，评标委员会认为需要投标人作出必要澄清、说明或者补正的，应当以书面形式通知该投标人。</w:t>
      </w:r>
      <w:bookmarkStart w:id="879" w:name="_Hlk142926906"/>
      <w:r>
        <w:rPr>
          <w:rFonts w:hint="eastAsia" w:ascii="仿宋" w:hAnsi="仿宋" w:eastAsia="仿宋" w:cs="仿宋"/>
          <w:kern w:val="0"/>
          <w:sz w:val="24"/>
          <w:szCs w:val="24"/>
        </w:rPr>
        <w:t>评标委员会不得暗示或者诱导投标人作出澄清、说明或补正，不得接受投标人主动提出的澄清、说明或补正。</w:t>
      </w:r>
    </w:p>
    <w:bookmarkEnd w:id="879"/>
    <w:p w14:paraId="6EEA5B22">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3.3.2 细微偏差是指投标文件在实质上响应招标文件要求，但在个别地方存在漏项或者提供了不完整的技术信息和数据等情况，并且补正这些遗漏或者不完整不会对其他投标人造成不公平的结果。细微偏差不影响投标文件的有效性。</w:t>
      </w:r>
    </w:p>
    <w:p w14:paraId="1D0F98F3">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3.3.3 投标人的澄清、说明和补正应当采用书面形式，并不得超出投标文件的范围或者改变投标文件的实质性内容（算术性错误修正的除外），投标人的书面澄清、说明和补正属于投标文件的组成部分。</w:t>
      </w:r>
      <w:bookmarkStart w:id="880" w:name="_Hlk142926929"/>
      <w:r>
        <w:rPr>
          <w:rFonts w:hint="eastAsia" w:ascii="仿宋" w:hAnsi="仿宋" w:eastAsia="仿宋" w:cs="仿宋"/>
          <w:kern w:val="0"/>
          <w:sz w:val="24"/>
          <w:szCs w:val="24"/>
        </w:rPr>
        <w:t>拒不按照要求对投标文件进行澄清、说明或补正的，评标委员会</w:t>
      </w:r>
      <w:r>
        <w:rPr>
          <w:rFonts w:hint="eastAsia" w:ascii="仿宋" w:hAnsi="仿宋" w:eastAsia="仿宋" w:cs="仿宋"/>
          <w:b/>
          <w:bCs/>
          <w:kern w:val="0"/>
          <w:sz w:val="24"/>
          <w:szCs w:val="24"/>
        </w:rPr>
        <w:t>可以否决其投标</w:t>
      </w:r>
      <w:r>
        <w:rPr>
          <w:rFonts w:hint="eastAsia" w:ascii="仿宋" w:hAnsi="仿宋" w:eastAsia="仿宋" w:cs="仿宋"/>
          <w:kern w:val="0"/>
          <w:sz w:val="24"/>
          <w:szCs w:val="24"/>
        </w:rPr>
        <w:t>。</w:t>
      </w:r>
    </w:p>
    <w:bookmarkEnd w:id="880"/>
    <w:p w14:paraId="1725295F">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3.3.4 评标委员会对投标人递交的澄清、说明或补正有疑问的，可以要求投标人进一步澄清、说明或者补正，直至满足评标委员会的要求。</w:t>
      </w:r>
    </w:p>
    <w:p w14:paraId="54023849">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3.3.5 评标委员会必要时可以要求投标人提交有关证明和证件的原件，以便核验。</w:t>
      </w:r>
      <w:bookmarkStart w:id="881" w:name="_Hlk142926937"/>
      <w:r>
        <w:rPr>
          <w:rFonts w:hint="eastAsia" w:ascii="仿宋" w:hAnsi="仿宋" w:eastAsia="仿宋" w:cs="仿宋"/>
          <w:kern w:val="0"/>
          <w:sz w:val="24"/>
          <w:szCs w:val="24"/>
        </w:rPr>
        <w:t>拒不按照要求提供原件的，评标委员会</w:t>
      </w:r>
      <w:r>
        <w:rPr>
          <w:rFonts w:hint="eastAsia" w:ascii="仿宋" w:hAnsi="仿宋" w:eastAsia="仿宋" w:cs="仿宋"/>
          <w:b/>
          <w:bCs/>
          <w:kern w:val="0"/>
          <w:sz w:val="24"/>
          <w:szCs w:val="24"/>
        </w:rPr>
        <w:t>可以否决其投标。</w:t>
      </w:r>
    </w:p>
    <w:bookmarkEnd w:id="881"/>
    <w:p w14:paraId="1D47C0C5">
      <w:pPr>
        <w:pStyle w:val="5"/>
        <w:spacing w:line="360" w:lineRule="auto"/>
        <w:rPr>
          <w:rFonts w:hint="default" w:ascii="仿宋" w:hAnsi="仿宋" w:cs="仿宋"/>
        </w:rPr>
      </w:pPr>
      <w:bookmarkStart w:id="882" w:name="_Toc1469"/>
      <w:bookmarkStart w:id="883" w:name="_Toc18947"/>
      <w:bookmarkStart w:id="884" w:name="_Toc24620"/>
      <w:bookmarkStart w:id="885" w:name="_Toc22553"/>
      <w:bookmarkStart w:id="886" w:name="_Toc22247"/>
      <w:r>
        <w:rPr>
          <w:rFonts w:ascii="仿宋" w:hAnsi="仿宋" w:cs="仿宋"/>
        </w:rPr>
        <w:t>3.4 中标候选人推荐原则</w:t>
      </w:r>
      <w:bookmarkEnd w:id="882"/>
      <w:bookmarkEnd w:id="883"/>
      <w:bookmarkEnd w:id="884"/>
      <w:bookmarkEnd w:id="885"/>
      <w:bookmarkEnd w:id="886"/>
    </w:p>
    <w:p w14:paraId="5F24234C">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3.4.1 除第二章“投标人须知前附表”第7.2.1条授权评标委员会直接确定中标人外，评标委员会应按照投标人综合得分由高到低的顺序推荐中标候选人。综合得分相同时的处理情形见</w:t>
      </w:r>
      <w:r>
        <w:rPr>
          <w:rFonts w:hint="eastAsia" w:ascii="仿宋" w:hAnsi="仿宋" w:eastAsia="仿宋" w:cs="仿宋"/>
          <w:spacing w:val="4"/>
          <w:kern w:val="0"/>
          <w:sz w:val="24"/>
          <w:szCs w:val="24"/>
        </w:rPr>
        <w:t>第二章“投标人须知前附表”第6.4条</w:t>
      </w:r>
      <w:r>
        <w:rPr>
          <w:rFonts w:hint="eastAsia" w:ascii="仿宋" w:hAnsi="仿宋" w:eastAsia="仿宋" w:cs="仿宋"/>
          <w:kern w:val="0"/>
          <w:sz w:val="24"/>
          <w:szCs w:val="24"/>
        </w:rPr>
        <w:t>。</w:t>
      </w:r>
    </w:p>
    <w:p w14:paraId="20A68F60">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3.4.2 中标候选人推荐原则</w:t>
      </w:r>
      <w:r>
        <w:rPr>
          <w:rFonts w:hint="eastAsia" w:ascii="仿宋" w:hAnsi="仿宋" w:eastAsia="仿宋" w:cs="仿宋"/>
          <w:spacing w:val="4"/>
          <w:kern w:val="0"/>
          <w:sz w:val="24"/>
          <w:szCs w:val="24"/>
        </w:rPr>
        <w:t>与第二章“投标人须知前附表”第6.4条一致</w:t>
      </w:r>
      <w:r>
        <w:rPr>
          <w:rFonts w:hint="eastAsia" w:ascii="仿宋" w:hAnsi="仿宋" w:eastAsia="仿宋" w:cs="仿宋"/>
          <w:kern w:val="0"/>
          <w:sz w:val="24"/>
          <w:szCs w:val="24"/>
        </w:rPr>
        <w:t>。</w:t>
      </w:r>
    </w:p>
    <w:p w14:paraId="31A3BA79">
      <w:pPr>
        <w:pStyle w:val="5"/>
        <w:spacing w:line="360" w:lineRule="auto"/>
        <w:rPr>
          <w:rFonts w:hint="default" w:ascii="仿宋" w:hAnsi="仿宋" w:cs="仿宋"/>
        </w:rPr>
      </w:pPr>
      <w:bookmarkStart w:id="887" w:name="_Toc20196"/>
      <w:bookmarkStart w:id="888" w:name="_Toc5572"/>
      <w:bookmarkStart w:id="889" w:name="_Toc23265"/>
      <w:bookmarkStart w:id="890" w:name="_Toc11504"/>
      <w:bookmarkStart w:id="891" w:name="_Toc15219"/>
      <w:r>
        <w:rPr>
          <w:rFonts w:ascii="仿宋" w:hAnsi="仿宋" w:cs="仿宋"/>
        </w:rPr>
        <w:t>3.5 评标结果</w:t>
      </w:r>
      <w:bookmarkEnd w:id="887"/>
      <w:bookmarkEnd w:id="888"/>
      <w:bookmarkEnd w:id="889"/>
      <w:bookmarkEnd w:id="890"/>
      <w:bookmarkEnd w:id="891"/>
    </w:p>
    <w:p w14:paraId="1F90BA16">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3.5.1 评标委员会完成评标后，应当向招标人递交书面评标报告。评标委员会分组评审的，应当形成统一、完整的评标报告。</w:t>
      </w:r>
    </w:p>
    <w:p w14:paraId="207183AB">
      <w:pPr>
        <w:widowControl/>
        <w:topLinePunct/>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3.5.2 评标报告应当包括下列内容：</w:t>
      </w:r>
    </w:p>
    <w:p w14:paraId="56E301BE">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（1）项目简况；</w:t>
      </w:r>
    </w:p>
    <w:p w14:paraId="3744C7DB">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（2）开标情况；</w:t>
      </w:r>
    </w:p>
    <w:p w14:paraId="59B1E7A7">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（3）评标方法、评分标准；</w:t>
      </w:r>
    </w:p>
    <w:p w14:paraId="3FF2E2B1">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（4）初步评审情况；</w:t>
      </w:r>
    </w:p>
    <w:p w14:paraId="507E2B61">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（5）否决投标的情况说明；</w:t>
      </w:r>
    </w:p>
    <w:p w14:paraId="207789D8">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（6）详细评审情况；</w:t>
      </w:r>
    </w:p>
    <w:p w14:paraId="22A12323">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（7）评标委员会意见；</w:t>
      </w:r>
    </w:p>
    <w:p w14:paraId="18AA1267">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（8）合同签订注意事项；</w:t>
      </w:r>
    </w:p>
    <w:p w14:paraId="267F5E9E">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（9）澄清、说明及补正事项；</w:t>
      </w:r>
    </w:p>
    <w:p w14:paraId="161A99A5">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（10）附件（《开标记录表》《评审专家签到表》《初步审查表》《评标专家个人评分表》《价格评分汇总表》《综合得分汇总表》）；</w:t>
      </w:r>
    </w:p>
    <w:p w14:paraId="7BA75639">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（11）拒绝在评标报告上签字的评标委员会成员名单及其陈述的不同意见和理由；</w:t>
      </w:r>
    </w:p>
    <w:p w14:paraId="1D0193CA">
      <w:pPr>
        <w:widowControl/>
        <w:topLinePunct/>
        <w:spacing w:line="360" w:lineRule="auto"/>
        <w:ind w:left="283" w:leftChars="135" w:firstLine="480" w:firstLineChars="200"/>
        <w:rPr>
          <w:rFonts w:ascii="仿宋" w:hAnsi="仿宋" w:eastAsia="仿宋" w:cs="仿宋"/>
          <w:kern w:val="0"/>
          <w:sz w:val="24"/>
          <w:szCs w:val="24"/>
        </w:rPr>
      </w:pPr>
      <w:r>
        <w:rPr>
          <w:rFonts w:hint="eastAsia" w:ascii="仿宋" w:hAnsi="仿宋" w:eastAsia="仿宋" w:cs="仿宋"/>
          <w:kern w:val="0"/>
          <w:sz w:val="24"/>
          <w:szCs w:val="24"/>
        </w:rPr>
        <w:t>（12）其他。</w:t>
      </w:r>
    </w:p>
    <w:p w14:paraId="5A290CF8">
      <w:pPr>
        <w:spacing w:line="360" w:lineRule="auto"/>
        <w:rPr>
          <w:rFonts w:ascii="仿宋" w:hAnsi="仿宋" w:eastAsia="仿宋" w:cs="仿宋"/>
        </w:rPr>
      </w:pPr>
    </w:p>
    <w:p w14:paraId="38BDBD39">
      <w:pPr>
        <w:spacing w:line="360" w:lineRule="auto"/>
        <w:rPr>
          <w:rFonts w:ascii="仿宋" w:hAnsi="仿宋" w:eastAsia="仿宋" w:cs="仿宋"/>
        </w:rPr>
      </w:pPr>
    </w:p>
    <w:p w14:paraId="2B2B3A22">
      <w:pPr>
        <w:pStyle w:val="3"/>
        <w:numPr>
          <w:ilvl w:val="0"/>
          <w:numId w:val="6"/>
        </w:numPr>
        <w:spacing w:line="360" w:lineRule="auto"/>
        <w:ind w:firstLine="562" w:firstLineChars="200"/>
        <w:rPr>
          <w:rFonts w:ascii="仿宋" w:hAnsi="仿宋" w:cs="仿宋"/>
          <w:sz w:val="32"/>
          <w:szCs w:val="32"/>
        </w:rPr>
      </w:pPr>
      <w:r>
        <w:rPr>
          <w:rFonts w:hint="eastAsia" w:ascii="仿宋" w:hAnsi="仿宋" w:cs="仿宋"/>
        </w:rPr>
        <w:br w:type="page"/>
      </w:r>
      <w:bookmarkStart w:id="892" w:name="_Toc20727"/>
      <w:bookmarkStart w:id="893" w:name="_Toc65682987"/>
      <w:bookmarkStart w:id="894" w:name="_Toc109124312"/>
      <w:r>
        <w:rPr>
          <w:rFonts w:hint="eastAsia" w:ascii="仿宋" w:hAnsi="仿宋" w:cs="仿宋"/>
        </w:rPr>
        <w:t xml:space="preserve"> </w:t>
      </w:r>
      <w:bookmarkStart w:id="895" w:name="_Toc31830"/>
      <w:r>
        <w:rPr>
          <w:rFonts w:hint="eastAsia" w:ascii="仿宋" w:hAnsi="仿宋" w:cs="仿宋"/>
          <w:sz w:val="32"/>
          <w:szCs w:val="32"/>
        </w:rPr>
        <w:t>合同条款</w:t>
      </w:r>
      <w:bookmarkEnd w:id="892"/>
      <w:bookmarkEnd w:id="893"/>
      <w:bookmarkEnd w:id="894"/>
      <w:bookmarkEnd w:id="895"/>
    </w:p>
    <w:p w14:paraId="7AAA8A3F">
      <w:pPr>
        <w:widowControl/>
        <w:spacing w:beforeAutospacing="1" w:afterAutospacing="1" w:line="360" w:lineRule="auto"/>
        <w:jc w:val="center"/>
        <w:outlineLvl w:val="1"/>
        <w:rPr>
          <w:rFonts w:ascii="仿宋" w:hAnsi="仿宋" w:eastAsia="仿宋" w:cs="仿宋"/>
          <w:kern w:val="0"/>
          <w:sz w:val="24"/>
          <w:szCs w:val="24"/>
        </w:rPr>
      </w:pPr>
      <w:r>
        <w:rPr>
          <w:rFonts w:hint="eastAsia" w:ascii="仿宋" w:hAnsi="仿宋" w:eastAsia="仿宋" w:cs="仿宋"/>
          <w:b/>
          <w:bCs/>
          <w:kern w:val="0"/>
          <w:sz w:val="24"/>
          <w:szCs w:val="24"/>
          <w:lang w:bidi="ar"/>
        </w:rPr>
        <w:t>商务部分</w:t>
      </w:r>
    </w:p>
    <w:p w14:paraId="5076DD7C">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第一条</w:t>
      </w:r>
      <w:r>
        <w:rPr>
          <w:rFonts w:hint="eastAsia" w:ascii="仿宋" w:hAnsi="仿宋" w:eastAsia="仿宋" w:cs="仿宋"/>
          <w:kern w:val="0"/>
          <w:sz w:val="24"/>
          <w:szCs w:val="24"/>
          <w:lang w:bidi="ar"/>
        </w:rPr>
        <w:t xml:space="preserve"> 项目内容及要求</w:t>
      </w:r>
      <w:r>
        <w:rPr>
          <w:rFonts w:hint="eastAsia" w:ascii="仿宋" w:hAnsi="仿宋" w:eastAsia="仿宋" w:cs="仿宋"/>
          <w:kern w:val="0"/>
          <w:sz w:val="24"/>
          <w:szCs w:val="24"/>
          <w:lang w:bidi="ar"/>
        </w:rPr>
        <w:br w:type="textWrapping"/>
      </w:r>
      <w:r>
        <w:rPr>
          <w:rFonts w:hint="eastAsia" w:ascii="仿宋" w:hAnsi="仿宋" w:eastAsia="仿宋" w:cs="仿宋"/>
          <w:b/>
          <w:bCs/>
          <w:kern w:val="0"/>
          <w:sz w:val="24"/>
          <w:szCs w:val="24"/>
          <w:lang w:bidi="ar"/>
        </w:rPr>
        <w:t>项目内容及要求</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本合同项下甲乙双方约定的项目内容及要求见本合同【附件】。</w:t>
      </w:r>
    </w:p>
    <w:p w14:paraId="55A81BD0">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第二条</w:t>
      </w:r>
      <w:r>
        <w:rPr>
          <w:rFonts w:hint="eastAsia" w:ascii="仿宋" w:hAnsi="仿宋" w:eastAsia="仿宋" w:cs="仿宋"/>
          <w:kern w:val="0"/>
          <w:sz w:val="24"/>
          <w:szCs w:val="24"/>
          <w:lang w:bidi="ar"/>
        </w:rPr>
        <w:t xml:space="preserve"> </w:t>
      </w:r>
      <w:r>
        <w:rPr>
          <w:rFonts w:hint="eastAsia" w:ascii="仿宋" w:hAnsi="仿宋" w:eastAsia="仿宋" w:cs="仿宋"/>
          <w:b/>
          <w:bCs/>
          <w:kern w:val="0"/>
          <w:sz w:val="24"/>
          <w:szCs w:val="24"/>
          <w:lang w:bidi="ar"/>
        </w:rPr>
        <w:t>合同价格</w:t>
      </w:r>
    </w:p>
    <w:p w14:paraId="76D34401">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（一） 本合同</w:t>
      </w:r>
      <w:r>
        <w:rPr>
          <w:rFonts w:hint="eastAsia" w:ascii="仿宋" w:hAnsi="仿宋" w:eastAsia="仿宋" w:cs="仿宋"/>
          <w:b/>
          <w:bCs/>
          <w:kern w:val="0"/>
          <w:sz w:val="24"/>
          <w:szCs w:val="24"/>
          <w:lang w:bidi="ar"/>
        </w:rPr>
        <w:t>总价款上限</w:t>
      </w:r>
      <w:r>
        <w:rPr>
          <w:rFonts w:hint="eastAsia" w:ascii="仿宋" w:hAnsi="仿宋" w:eastAsia="仿宋" w:cs="仿宋"/>
          <w:kern w:val="0"/>
          <w:sz w:val="24"/>
          <w:szCs w:val="24"/>
          <w:lang w:bidi="ar"/>
        </w:rPr>
        <w:t>为RMB960000元（大写玖拾陆万元整）。合同价格明细见【附件】。</w:t>
      </w:r>
    </w:p>
    <w:p w14:paraId="47279F6F">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（二） 本合同服务费用总额包括但不限于乙方向甲方提供服务所收取的劳务费、乙方按照法律规定应当缴纳的税款等因本合同而发生的费用。除服务费用总额外，甲方无须就本合同项下乙方的任何义务支付任何额外费用。</w:t>
      </w:r>
    </w:p>
    <w:p w14:paraId="282D33B7">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（三） 本合同付款安排见【附件】。</w:t>
      </w:r>
    </w:p>
    <w:p w14:paraId="44218E4B">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（四） 由于乙方未提供或未及时提供足额有效的增值税专用发票，或乙方变更账户信息但未提前通知甲方而导致的付款迟延，甲方不承担任何责任。</w:t>
      </w:r>
    </w:p>
    <w:p w14:paraId="703BF387">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第三条</w:t>
      </w:r>
      <w:r>
        <w:rPr>
          <w:rFonts w:hint="eastAsia" w:ascii="仿宋" w:hAnsi="仿宋" w:eastAsia="仿宋" w:cs="仿宋"/>
          <w:kern w:val="0"/>
          <w:sz w:val="24"/>
          <w:szCs w:val="24"/>
          <w:lang w:bidi="ar"/>
        </w:rPr>
        <w:t xml:space="preserve"> 双方的权利和义务</w:t>
      </w:r>
      <w:r>
        <w:rPr>
          <w:rFonts w:hint="eastAsia" w:ascii="仿宋" w:hAnsi="仿宋" w:eastAsia="仿宋" w:cs="仿宋"/>
          <w:kern w:val="0"/>
          <w:sz w:val="24"/>
          <w:szCs w:val="24"/>
          <w:lang w:bidi="ar"/>
        </w:rPr>
        <w:br w:type="textWrapping"/>
      </w:r>
      <w:r>
        <w:rPr>
          <w:rFonts w:hint="eastAsia" w:ascii="仿宋" w:hAnsi="仿宋" w:eastAsia="仿宋" w:cs="仿宋"/>
          <w:b/>
          <w:bCs/>
          <w:kern w:val="0"/>
          <w:sz w:val="24"/>
          <w:szCs w:val="24"/>
          <w:lang w:bidi="ar"/>
        </w:rPr>
        <w:t>双方的权利和义务</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除本合同通用部分约定的双方的权利义务外，甲乙双方在本合同项下的其他权利和义务见【附件】的约定。</w:t>
      </w:r>
    </w:p>
    <w:p w14:paraId="05F2267E">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第四条</w:t>
      </w:r>
      <w:r>
        <w:rPr>
          <w:rFonts w:hint="eastAsia" w:ascii="仿宋" w:hAnsi="仿宋" w:eastAsia="仿宋" w:cs="仿宋"/>
          <w:kern w:val="0"/>
          <w:sz w:val="24"/>
          <w:szCs w:val="24"/>
          <w:lang w:bidi="ar"/>
        </w:rPr>
        <w:t xml:space="preserve"> 违约责任</w:t>
      </w:r>
      <w:r>
        <w:rPr>
          <w:rFonts w:hint="eastAsia" w:ascii="仿宋" w:hAnsi="仿宋" w:eastAsia="仿宋" w:cs="仿宋"/>
          <w:kern w:val="0"/>
          <w:sz w:val="24"/>
          <w:szCs w:val="24"/>
          <w:lang w:bidi="ar"/>
        </w:rPr>
        <w:br w:type="textWrapping"/>
      </w:r>
      <w:r>
        <w:rPr>
          <w:rFonts w:hint="eastAsia" w:ascii="仿宋" w:hAnsi="仿宋" w:eastAsia="仿宋" w:cs="仿宋"/>
          <w:b/>
          <w:bCs/>
          <w:kern w:val="0"/>
          <w:sz w:val="24"/>
          <w:szCs w:val="24"/>
          <w:lang w:bidi="ar"/>
        </w:rPr>
        <w:t>违约责任</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甲、乙任一方或双方违约的，违约一方应当向相对方承担相应的违约责任。违约责任的具体约定见【附件】。</w:t>
      </w:r>
    </w:p>
    <w:p w14:paraId="30D1B373">
      <w:pPr>
        <w:widowControl/>
        <w:spacing w:beforeAutospacing="1" w:afterAutospacing="1" w:line="360" w:lineRule="auto"/>
        <w:jc w:val="center"/>
        <w:outlineLvl w:val="1"/>
        <w:rPr>
          <w:rFonts w:ascii="仿宋" w:hAnsi="仿宋" w:eastAsia="仿宋" w:cs="仿宋"/>
          <w:kern w:val="0"/>
          <w:sz w:val="24"/>
          <w:szCs w:val="24"/>
        </w:rPr>
      </w:pPr>
      <w:r>
        <w:rPr>
          <w:rFonts w:hint="eastAsia" w:ascii="仿宋" w:hAnsi="仿宋" w:eastAsia="仿宋" w:cs="仿宋"/>
          <w:b/>
          <w:bCs/>
          <w:kern w:val="0"/>
          <w:sz w:val="24"/>
          <w:szCs w:val="24"/>
          <w:lang w:bidi="ar"/>
        </w:rPr>
        <w:t>通用部分</w:t>
      </w:r>
    </w:p>
    <w:p w14:paraId="157B96DF">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第五条</w:t>
      </w:r>
      <w:r>
        <w:rPr>
          <w:rFonts w:hint="eastAsia" w:ascii="仿宋" w:hAnsi="仿宋" w:eastAsia="仿宋" w:cs="仿宋"/>
          <w:kern w:val="0"/>
          <w:sz w:val="24"/>
          <w:szCs w:val="24"/>
          <w:lang w:bidi="ar"/>
        </w:rPr>
        <w:t xml:space="preserve"> </w:t>
      </w:r>
      <w:r>
        <w:rPr>
          <w:rFonts w:hint="eastAsia" w:ascii="仿宋" w:hAnsi="仿宋" w:eastAsia="仿宋" w:cs="仿宋"/>
          <w:b/>
          <w:bCs/>
          <w:kern w:val="0"/>
          <w:sz w:val="24"/>
          <w:szCs w:val="24"/>
          <w:lang w:bidi="ar"/>
        </w:rPr>
        <w:t>双方的权利和义务</w:t>
      </w:r>
    </w:p>
    <w:p w14:paraId="0DB719CC">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（一） 甲方的权利和义务</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（1）甲方有权获得本合同项下乙方应提供的全部合格的服务；</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（2）甲方有权在合同期内对乙方的产品及服务进行监督；</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（3）乙方未按照合同约定履行义务的，甲方有权采取相应的措施；</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（4）甲方应按照合同约定向乙方支付合同价款；</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（5）甲方享有其它双方约定的权利、承担其它双方约定的义务。</w:t>
      </w:r>
    </w:p>
    <w:p w14:paraId="3F4BAE18">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（二） 乙方的权利和义务</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（1）乙方有权获得甲方支付的合同价款；</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（2）乙方应按照合同约定向甲方提供全部合格的服务；</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（3）乙方应当按照合同约定的期限及要求完成项目内容；</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4）乙方应保证项目中主要人员的稳定性，如因乙方人员流失导致项目无法按照约定的计划正常进行，乙方应在甲方书面同意的情况下提供同等或相似资历和背景的工作人员；如双方未能就该等工作人员的替换达成一致的，甲方有权终止合同并扣除乙方未实施服务部分所对应的合同款项；</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（5）乙方享有其它双方约定的权利、承担其它双方约定的义务。</w:t>
      </w:r>
    </w:p>
    <w:p w14:paraId="1C0D4C2B">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第六条</w:t>
      </w:r>
      <w:r>
        <w:rPr>
          <w:rFonts w:hint="eastAsia" w:ascii="仿宋" w:hAnsi="仿宋" w:eastAsia="仿宋" w:cs="仿宋"/>
          <w:kern w:val="0"/>
          <w:sz w:val="24"/>
          <w:szCs w:val="24"/>
          <w:lang w:bidi="ar"/>
        </w:rPr>
        <w:t xml:space="preserve"> 禁止转让</w:t>
      </w:r>
      <w:r>
        <w:rPr>
          <w:rFonts w:hint="eastAsia" w:ascii="仿宋" w:hAnsi="仿宋" w:eastAsia="仿宋" w:cs="仿宋"/>
          <w:kern w:val="0"/>
          <w:sz w:val="24"/>
          <w:szCs w:val="24"/>
          <w:lang w:bidi="ar"/>
        </w:rPr>
        <w:br w:type="textWrapping"/>
      </w:r>
      <w:r>
        <w:rPr>
          <w:rFonts w:hint="eastAsia" w:ascii="仿宋" w:hAnsi="仿宋" w:eastAsia="仿宋" w:cs="仿宋"/>
          <w:b/>
          <w:bCs/>
          <w:kern w:val="0"/>
          <w:sz w:val="24"/>
          <w:szCs w:val="24"/>
          <w:lang w:bidi="ar"/>
        </w:rPr>
        <w:t>禁止转让</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未经甲方事先书面同意，乙方不得将其本合同项下之全部义务或其中一部分义务转让给第三方执行。</w:t>
      </w:r>
    </w:p>
    <w:p w14:paraId="70EC8A06">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第七条</w:t>
      </w:r>
      <w:r>
        <w:rPr>
          <w:rFonts w:hint="eastAsia" w:ascii="仿宋" w:hAnsi="仿宋" w:eastAsia="仿宋" w:cs="仿宋"/>
          <w:kern w:val="0"/>
          <w:sz w:val="24"/>
          <w:szCs w:val="24"/>
          <w:lang w:bidi="ar"/>
        </w:rPr>
        <w:t xml:space="preserve"> 权利保证</w:t>
      </w:r>
      <w:r>
        <w:rPr>
          <w:rFonts w:hint="eastAsia" w:ascii="仿宋" w:hAnsi="仿宋" w:eastAsia="仿宋" w:cs="仿宋"/>
          <w:kern w:val="0"/>
          <w:sz w:val="24"/>
          <w:szCs w:val="24"/>
          <w:lang w:bidi="ar"/>
        </w:rPr>
        <w:br w:type="textWrapping"/>
      </w:r>
      <w:r>
        <w:rPr>
          <w:rFonts w:hint="eastAsia" w:ascii="仿宋" w:hAnsi="仿宋" w:eastAsia="仿宋" w:cs="仿宋"/>
          <w:b/>
          <w:bCs/>
          <w:kern w:val="0"/>
          <w:sz w:val="24"/>
          <w:szCs w:val="24"/>
          <w:lang w:bidi="ar"/>
        </w:rPr>
        <w:t>权利保证</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乙方确保甲方不因签署本合同、接受或使用本合同中约定的事项侵犯甲方或任何第三方权利。如乙方违反本保证，导致第三方主张权利或者甲方遭受索赔，乙方应负责解决并应当赔偿甲方为此而支付的一切费用以及因此而给甲方造成的全部损失（包括但不限于甲方支出的律师费、仲裁费、诉讼费以及向第三方支付的赔偿金）。</w:t>
      </w:r>
    </w:p>
    <w:p w14:paraId="6F89EB17">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第八条</w:t>
      </w:r>
      <w:r>
        <w:rPr>
          <w:rFonts w:hint="eastAsia" w:ascii="仿宋" w:hAnsi="仿宋" w:eastAsia="仿宋" w:cs="仿宋"/>
          <w:kern w:val="0"/>
          <w:sz w:val="24"/>
          <w:szCs w:val="24"/>
          <w:lang w:bidi="ar"/>
        </w:rPr>
        <w:t xml:space="preserve"> </w:t>
      </w:r>
      <w:r>
        <w:rPr>
          <w:rFonts w:hint="eastAsia" w:ascii="仿宋" w:hAnsi="仿宋" w:eastAsia="仿宋" w:cs="仿宋"/>
          <w:b/>
          <w:bCs/>
          <w:kern w:val="0"/>
          <w:sz w:val="24"/>
          <w:szCs w:val="24"/>
          <w:lang w:bidi="ar"/>
        </w:rPr>
        <w:t>违约责任</w:t>
      </w:r>
    </w:p>
    <w:p w14:paraId="05DD8DAE">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（一） 由于甲方原因不能按合同约定时间付款的，每延迟10个工作日，甲方按合同应付金额的</w:t>
      </w:r>
      <w:r>
        <w:rPr>
          <w:rFonts w:hint="eastAsia" w:ascii="仿宋" w:hAnsi="仿宋" w:eastAsia="仿宋" w:cs="仿宋"/>
          <w:kern w:val="0"/>
          <w:sz w:val="24"/>
          <w:szCs w:val="24"/>
          <w:u w:val="single"/>
          <w:lang w:bidi="ar"/>
        </w:rPr>
        <w:t>0.05%</w:t>
      </w:r>
      <w:r>
        <w:rPr>
          <w:rFonts w:hint="eastAsia" w:ascii="仿宋" w:hAnsi="仿宋" w:eastAsia="仿宋" w:cs="仿宋"/>
          <w:kern w:val="0"/>
          <w:sz w:val="24"/>
          <w:szCs w:val="24"/>
          <w:lang w:bidi="ar"/>
        </w:rPr>
        <w:t>向乙方支付违约金。</w:t>
      </w:r>
    </w:p>
    <w:p w14:paraId="28FE5748">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（二） 乙方延迟交付的违约责任</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（1）由于乙方原因造成项目延迟的，每延迟10个工作日，乙方向甲方支付违约金为合同服务费用总额的</w:t>
      </w:r>
      <w:r>
        <w:rPr>
          <w:rFonts w:hint="eastAsia" w:ascii="仿宋" w:hAnsi="仿宋" w:eastAsia="仿宋" w:cs="仿宋"/>
          <w:kern w:val="0"/>
          <w:sz w:val="24"/>
          <w:szCs w:val="24"/>
          <w:u w:val="single"/>
          <w:lang w:bidi="ar"/>
        </w:rPr>
        <w:t>0.05%</w:t>
      </w:r>
      <w:r>
        <w:rPr>
          <w:rFonts w:hint="eastAsia" w:ascii="仿宋" w:hAnsi="仿宋" w:eastAsia="仿宋" w:cs="仿宋"/>
          <w:kern w:val="0"/>
          <w:sz w:val="24"/>
          <w:szCs w:val="24"/>
          <w:lang w:bidi="ar"/>
        </w:rPr>
        <w:t>。</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（2）由于乙方原因造成项目迟延，经甲方催促后乙方继续延误的，甲方有权单方面解除合同，乙方应按照合同服务费用总额的</w:t>
      </w:r>
      <w:r>
        <w:rPr>
          <w:rFonts w:hint="eastAsia" w:ascii="仿宋" w:hAnsi="仿宋" w:eastAsia="仿宋" w:cs="仿宋"/>
          <w:kern w:val="0"/>
          <w:sz w:val="24"/>
          <w:szCs w:val="24"/>
          <w:u w:val="single"/>
          <w:lang w:bidi="ar"/>
        </w:rPr>
        <w:t>20%</w:t>
      </w:r>
      <w:r>
        <w:rPr>
          <w:rFonts w:hint="eastAsia" w:ascii="仿宋" w:hAnsi="仿宋" w:eastAsia="仿宋" w:cs="仿宋"/>
          <w:kern w:val="0"/>
          <w:sz w:val="24"/>
          <w:szCs w:val="24"/>
          <w:lang w:bidi="ar"/>
        </w:rPr>
        <w:t>向甲方支付违约金，并赔偿由此引起的甲方的直接经济损失。</w:t>
      </w:r>
    </w:p>
    <w:p w14:paraId="244CC2BE">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（三） 验收不合格并且乙方在甲方指定期限内无法完成整改、提交合格的工作成果的，乙方应向甲方支付合同服务费用总额</w:t>
      </w:r>
      <w:r>
        <w:rPr>
          <w:rFonts w:hint="eastAsia" w:ascii="仿宋" w:hAnsi="仿宋" w:eastAsia="仿宋" w:cs="仿宋"/>
          <w:kern w:val="0"/>
          <w:sz w:val="24"/>
          <w:szCs w:val="24"/>
          <w:u w:val="single"/>
          <w:lang w:bidi="ar"/>
        </w:rPr>
        <w:t>20%</w:t>
      </w:r>
      <w:r>
        <w:rPr>
          <w:rFonts w:hint="eastAsia" w:ascii="仿宋" w:hAnsi="仿宋" w:eastAsia="仿宋" w:cs="仿宋"/>
          <w:kern w:val="0"/>
          <w:sz w:val="24"/>
          <w:szCs w:val="24"/>
          <w:lang w:bidi="ar"/>
        </w:rPr>
        <w:t>的违约金，并赔偿由此引起的甲方的直接经济损失。</w:t>
      </w:r>
    </w:p>
    <w:p w14:paraId="569CDAB5">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（四） 如果乙方违反本合同约定的保密义务，乙方应向甲方支付合同服务费用总额</w:t>
      </w:r>
      <w:r>
        <w:rPr>
          <w:rFonts w:hint="eastAsia" w:ascii="仿宋" w:hAnsi="仿宋" w:eastAsia="仿宋" w:cs="仿宋"/>
          <w:kern w:val="0"/>
          <w:sz w:val="24"/>
          <w:szCs w:val="24"/>
          <w:u w:val="single"/>
          <w:lang w:bidi="ar"/>
        </w:rPr>
        <w:t>20%</w:t>
      </w:r>
      <w:r>
        <w:rPr>
          <w:rFonts w:hint="eastAsia" w:ascii="仿宋" w:hAnsi="仿宋" w:eastAsia="仿宋" w:cs="仿宋"/>
          <w:kern w:val="0"/>
          <w:sz w:val="24"/>
          <w:szCs w:val="24"/>
          <w:lang w:bidi="ar"/>
        </w:rPr>
        <w:t>的违约金，甲方受到的损失超出违约金的部分，由乙方继续承担赔偿责任。</w:t>
      </w:r>
    </w:p>
    <w:p w14:paraId="36BAD21E">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（五） 除本合同的约定外，因乙方的违约行为给甲方造成损失的，乙方应向甲方支付合同服务费用总额</w:t>
      </w:r>
      <w:r>
        <w:rPr>
          <w:rFonts w:hint="eastAsia" w:ascii="仿宋" w:hAnsi="仿宋" w:eastAsia="仿宋" w:cs="仿宋"/>
          <w:kern w:val="0"/>
          <w:sz w:val="24"/>
          <w:szCs w:val="24"/>
          <w:u w:val="single"/>
          <w:lang w:bidi="ar"/>
        </w:rPr>
        <w:t>20%</w:t>
      </w:r>
      <w:r>
        <w:rPr>
          <w:rFonts w:hint="eastAsia" w:ascii="仿宋" w:hAnsi="仿宋" w:eastAsia="仿宋" w:cs="仿宋"/>
          <w:kern w:val="0"/>
          <w:sz w:val="24"/>
          <w:szCs w:val="24"/>
          <w:lang w:bidi="ar"/>
        </w:rPr>
        <w:t>的违约金，如甲方受到的损失超过违约金的，超出部分由乙方继续承担赔偿责任。</w:t>
      </w:r>
    </w:p>
    <w:p w14:paraId="5576C912">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第九条</w:t>
      </w:r>
      <w:r>
        <w:rPr>
          <w:rFonts w:hint="eastAsia" w:ascii="仿宋" w:hAnsi="仿宋" w:eastAsia="仿宋" w:cs="仿宋"/>
          <w:kern w:val="0"/>
          <w:sz w:val="24"/>
          <w:szCs w:val="24"/>
          <w:lang w:bidi="ar"/>
        </w:rPr>
        <w:t xml:space="preserve"> </w:t>
      </w:r>
      <w:r>
        <w:rPr>
          <w:rFonts w:hint="eastAsia" w:ascii="仿宋" w:hAnsi="仿宋" w:eastAsia="仿宋" w:cs="仿宋"/>
          <w:b/>
          <w:bCs/>
          <w:kern w:val="0"/>
          <w:sz w:val="24"/>
          <w:szCs w:val="24"/>
          <w:lang w:bidi="ar"/>
        </w:rPr>
        <w:t>保密义务</w:t>
      </w:r>
    </w:p>
    <w:p w14:paraId="402E6134">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（一） 乙方应保证对本合同的所有相关内容及其因履行本合同所获知的各种甲方的具有保密性质的信息（包括但不限于经营、管理、商务、技术、营销、发展规划等）负有保密义务，未经甲方事前书面许可，不得将上述信息用于本合同目的之外；除为履行其职责而确有必要知悉保密资料的乙方工作人员或其他第三方外，乙方不向其他任何人披露上述信息，且乙方应确保上述人员承担与本合同约定同等严格的保密义务。</w:t>
      </w:r>
    </w:p>
    <w:p w14:paraId="4D9ECDBE">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（二） 乙方在本合同中所受领的保密信息应及时返还甲方或在甲方监督下予以销毁。乙方擅自留存备份信息，视为违反保密约定。</w:t>
      </w:r>
    </w:p>
    <w:p w14:paraId="0BF4D22C">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（三） 无论本合同因何种原因终止，本保密条款依然有效。</w:t>
      </w:r>
    </w:p>
    <w:p w14:paraId="21648344">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第十条</w:t>
      </w:r>
      <w:r>
        <w:rPr>
          <w:rFonts w:hint="eastAsia" w:ascii="仿宋" w:hAnsi="仿宋" w:eastAsia="仿宋" w:cs="仿宋"/>
          <w:kern w:val="0"/>
          <w:sz w:val="24"/>
          <w:szCs w:val="24"/>
          <w:lang w:bidi="ar"/>
        </w:rPr>
        <w:t xml:space="preserve"> </w:t>
      </w:r>
      <w:r>
        <w:rPr>
          <w:rFonts w:hint="eastAsia" w:ascii="仿宋" w:hAnsi="仿宋" w:eastAsia="仿宋" w:cs="仿宋"/>
          <w:b/>
          <w:bCs/>
          <w:kern w:val="0"/>
          <w:sz w:val="24"/>
          <w:szCs w:val="24"/>
          <w:lang w:bidi="ar"/>
        </w:rPr>
        <w:t>不可抗力</w:t>
      </w:r>
    </w:p>
    <w:p w14:paraId="279C7D36">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（一） 本合同任何一方因不可抗力不能履行本合同约定的全部或部分义务，应尽快通知另一方，并应在不可抗力发生后3日内以书面形式向对方提供详细情况报告及不可抗力对履行本合同影响程度的说明。甲、乙双方应根据不可抗力对合同履行的影响程度，协商确定是否终止合同，或继续履行本合同。</w:t>
      </w:r>
    </w:p>
    <w:p w14:paraId="3648606E">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（二） 本合同任何一方均不对因不可抗力无法履行或迟延履行义务而使对方遭受到任何损失承担责任，但遭受不可抗力影响的一方有责任采取适当和必要的措施减轻或消除不可抗力的影响。遭受不可抗力影响的一方应当对未尽本项责任造成或扩大的损失承担责任。</w:t>
      </w:r>
    </w:p>
    <w:p w14:paraId="15661D2D">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（三） 合同一方迟延履行后发生不可抗力的，不能免除其责任。</w:t>
      </w:r>
    </w:p>
    <w:p w14:paraId="64374D6A">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（四） 不可抗力因素消除后，双方应立即进行磋商，就不可抗力所造成影响程度甲方有权决定是否继续履行或者终止本合同。如果甲方决定终止合同，如甲方已经付款，乙方应将已交付部分的款项在5日内向甲方返还。</w:t>
      </w:r>
    </w:p>
    <w:p w14:paraId="5A898348">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第十一条</w:t>
      </w:r>
      <w:r>
        <w:rPr>
          <w:rFonts w:hint="eastAsia" w:ascii="仿宋" w:hAnsi="仿宋" w:eastAsia="仿宋" w:cs="仿宋"/>
          <w:kern w:val="0"/>
          <w:sz w:val="24"/>
          <w:szCs w:val="24"/>
          <w:lang w:bidi="ar"/>
        </w:rPr>
        <w:t xml:space="preserve"> </w:t>
      </w:r>
      <w:r>
        <w:rPr>
          <w:rFonts w:hint="eastAsia" w:ascii="仿宋" w:hAnsi="仿宋" w:eastAsia="仿宋" w:cs="仿宋"/>
          <w:kern w:val="0"/>
          <w:sz w:val="24"/>
          <w:szCs w:val="24"/>
          <w:lang w:bidi="ar"/>
        </w:rPr>
        <w:br w:type="textWrapping"/>
      </w:r>
      <w:r>
        <w:rPr>
          <w:rFonts w:hint="eastAsia" w:ascii="仿宋" w:hAnsi="仿宋" w:eastAsia="仿宋" w:cs="仿宋"/>
          <w:b/>
          <w:bCs/>
          <w:kern w:val="0"/>
          <w:sz w:val="24"/>
          <w:szCs w:val="24"/>
          <w:lang w:bidi="ar"/>
        </w:rPr>
        <w:t>消费者权益保护条款</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乙方应确保本协议项下，各类业务严格遵守国家法律法规及监管规定中消费者权益保护相关要求，依法保护保险消费者合法权益。本条所指的法律法规及监管规定包括但不限于《中华人民共和国保险法》、《中华人民共和国消费者权益保护法》、《银行保险机构消费者权益保护管理办法》（银保监会令2022年第9号）等。具体如下：</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一）甲乙双方应重视消费者权益保护工作，依法合规建立合作机构准入和退出机制。乙方近两年内不得存在侵害消费者权益的行为或被监管机构通报的情形。乙方应建立健全消费者权益保护机制，积极配合甲方处理消费投诉。如果在业务合作过程中，乙方发生被监管机构认定的侵害消费者权益行为，或不配合甲方开展消费投诉处理工作，甲方有权终止与乙方的合作，包括但不限于解除合同等方式，并将其列入公司合作机构管理负面清单。</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（二）双方应严格按照相关法律法规要求履行合规及风险管理、信息安全管控、服务价格管理、服务连续性、信息披露、纠纷解决机制、违约责任承担和应急处置等方面的责任。</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三）甲乙双方应按照《保险销售行为管理办法》规范保险销售行为，确保从事保险销售的过程中不存在损害消费者利益的行为，包括但不限于乙方不得在营业网点或者自营网络平台以甲方名义向消费者推介或者销售产品和服务，不得非法或超范围开展保险营销宣传活动，不得以欺诈或引人误解的方式对保险产品或保险服务进行营销宣传等。乙方应积极配合甲方对业务活动开展的监督检查，如发现问题应按照甲方要求及时整改。甲方有权对乙方在保险销售的过程中存在违反法律法规及合作协议要求情形时采取措施予以制止和督促纠正，并依法追究乙方责任。</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四）甲乙双方应建立健全消费者投诉处理机制，明示消费者投诉渠道和方式，完善投诉数据统计，妥善对接和处理合作过程中发生的保险消费纠纷。客户向乙方投诉的，乙方应在初步调查核实的基础上及时向甲方进行报告，并配合甲方后续处理措施；客户直接向甲方投诉的，甲方有权就与乙方相关的事实或乙方所掌握的信息要求乙方提供协助，乙方应积极配合；客户向监管部门投诉的，甲乙双方应立即成立专项投诉处理小组，相互配合完成投诉案件处置。双方在投诉处理过程中应积极做好与政府、监管部门、新闻媒体等机构的沟通协调，防范风险扩散。</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（五）甲乙双方应根据消费者投诉反映出的问题积极进行溯源改进，查找服务薄弱环节和风险隐患，从源头上减少消费投诉的发生，提高服务水平，加强保险消费者权益保护。</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（六）对于客户投诉较多、设计上存在缺陷的保险产品或服务，乙方及时通知甲方，并按照甲方要求妥善处理相关事宜，包括停止销售或提供服务等。</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七）无论本协议及相关保险产品合作补充协议是否终止、解除或撤销，甲乙双方均应当积极配合与消费者权益保护相关调查，按照调查需要提供有关材料，调查内容包括但不限于投诉、上访、舆情事件。如有关监管部门对于消费者权益保护开展相关问询或检查，甲乙双方均应积极配合对方提供有关信息和资料。</w:t>
      </w:r>
    </w:p>
    <w:p w14:paraId="63BB6586">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第十二条</w:t>
      </w:r>
      <w:r>
        <w:rPr>
          <w:rFonts w:hint="eastAsia" w:ascii="仿宋" w:hAnsi="仿宋" w:eastAsia="仿宋" w:cs="仿宋"/>
          <w:kern w:val="0"/>
          <w:sz w:val="24"/>
          <w:szCs w:val="24"/>
          <w:lang w:bidi="ar"/>
        </w:rPr>
        <w:t xml:space="preserve"> </w:t>
      </w:r>
      <w:r>
        <w:rPr>
          <w:rFonts w:hint="eastAsia" w:ascii="仿宋" w:hAnsi="仿宋" w:eastAsia="仿宋" w:cs="仿宋"/>
          <w:kern w:val="0"/>
          <w:sz w:val="24"/>
          <w:szCs w:val="24"/>
          <w:lang w:bidi="ar"/>
        </w:rPr>
        <w:br w:type="textWrapping"/>
      </w:r>
      <w:r>
        <w:rPr>
          <w:rFonts w:hint="eastAsia" w:ascii="仿宋" w:hAnsi="仿宋" w:eastAsia="仿宋" w:cs="仿宋"/>
          <w:b/>
          <w:bCs/>
          <w:kern w:val="0"/>
          <w:sz w:val="24"/>
          <w:szCs w:val="24"/>
          <w:lang w:bidi="ar"/>
        </w:rPr>
        <w:t>客户信息保护条款</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合作中若涉及客户信息收集、使用等处理，应确保符合《民法典》《个人信息保护法》《数据安全法》《网络安全法》《消费者权益保护法》《全国人民代表大会常务委员会关于加强网络信息保护的决定》、国家标准《信息安全技术个人信息安全规范》等规定要求，遵循合法、正当、必要、诚信的原则，向客户明示收集、使用及处理信息的目的、方式和范围，并经客户授权同意。具体要求如下：</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（一）收集、使用及处理客户个人信息必须是依据法定义务或履行本协议所必要的行为，并在履行本协议必要范围内收集客户信息。未经客户授权同意，不得将客户个人信息公开披露，不得转移、出售给第三方。</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一方向另一方提供其处理的个人信息的，应当向个人告知接收方的名称或者姓名、联系方式、处理目的、处理方式和个人信息的种类，并取得个人的单独同意。信息接收方应当在上述处理目的、处理方式和个人信息的种类等范围内处理个人信息。信息接收方变更原先的处理目的、处理方式的，应当协商确定重新取得客户个人同意。</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二）客户个人信息保存期限应符合实现本协议业务处理目的所必要的最短时间。完成收集和使用的目的后应及时删除或匿名处理合作过程中获取的客户个人信息。本合同不生效、无效、终止或被撤销的，甲方有权要求乙方返还或删除客户信息。</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（三）涉及客户敏感信息处理的，应具有特定的目的和充分的必要性，取得客户的单独同意，符合个人信息保护相关法律法规规定和管理要求。</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四）乙方应对客户个人信息严格保密，采取技术措施和其他必要措施，确保客户信息安全。若乙方发生或者可能发生客户个人信息泄露、篡改、丢失的，应当立即采取补救措施，并同步通知甲方，减轻对客户及甲方的危害。</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五）乙方应保证客户信息来源合法，提供给甲方的客户信息真实、准确。客户对其信息提出的查阅、复制、更正、补充、删除等要求，在合法合理的前提下，甲乙双方应及时配合客户进行处理。在先收到客户要求的一方，应及时通知另一方。</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六）甲方有权对乙方处理涉及甲方业务及甲方客户个人信息的有关事宜进行监督，甲方有权按照法律法规相关规定，要求乙方配合完成涉及客户信息处理的相关事宜。乙方未按照个人信息保护相关法律法规及合同约定处理客户信息，给甲方及甲方客户造成影响和损失的，乙方应承担一切赔偿责任，同时甲方有权解除本合同。</w:t>
      </w:r>
    </w:p>
    <w:p w14:paraId="1906713B">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第十三条</w:t>
      </w:r>
      <w:r>
        <w:rPr>
          <w:rFonts w:hint="eastAsia" w:ascii="仿宋" w:hAnsi="仿宋" w:eastAsia="仿宋" w:cs="仿宋"/>
          <w:kern w:val="0"/>
          <w:sz w:val="24"/>
          <w:szCs w:val="24"/>
          <w:lang w:bidi="ar"/>
        </w:rPr>
        <w:t xml:space="preserve"> 数据安全</w:t>
      </w:r>
      <w:r>
        <w:rPr>
          <w:rFonts w:hint="eastAsia" w:ascii="仿宋" w:hAnsi="仿宋" w:eastAsia="仿宋" w:cs="仿宋"/>
          <w:kern w:val="0"/>
          <w:sz w:val="24"/>
          <w:szCs w:val="24"/>
          <w:lang w:bidi="ar"/>
        </w:rPr>
        <w:br w:type="textWrapping"/>
      </w:r>
      <w:r>
        <w:rPr>
          <w:rFonts w:hint="eastAsia" w:ascii="仿宋" w:hAnsi="仿宋" w:eastAsia="仿宋" w:cs="仿宋"/>
          <w:b/>
          <w:bCs/>
          <w:kern w:val="0"/>
          <w:sz w:val="24"/>
          <w:szCs w:val="24"/>
          <w:lang w:bidi="ar"/>
        </w:rPr>
        <w:t>数据安全（接收外部数据）</w:t>
      </w:r>
      <w:r>
        <w:rPr>
          <w:rFonts w:hint="eastAsia" w:ascii="仿宋" w:hAnsi="仿宋" w:eastAsia="仿宋" w:cs="仿宋"/>
          <w:kern w:val="0"/>
          <w:sz w:val="24"/>
          <w:szCs w:val="24"/>
          <w:lang w:bidi="ar"/>
        </w:rPr>
        <w:t xml:space="preserve">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一）涉及个人信息的，乙方应承诺其已获得信息主体本人的书面授权或者法律效力等同于书面授权的其他授权方式。该授权应当明确载明信息主体同意授权乙方向甲方提供其信息，并开展数据处理活动；及转授权甲方向第三方机构提供其信息/或委托第三方机构处理其信息，并开展数据处理活动。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1.乙方应妥善留存信息主体的授权文件，甲方如须对乙方的授权文件进行抽查、核查、备份时，乙方应予配合。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2.乙方在获得信息主体的相关授权之前，有义务告知信息主体其对个人信息的处理目的、处理方式、个人信息种类、保存期限、行使个人信息相关权利的方式和程序，并向信息主体告知甲方的姓名、联系方式、处理目的、处理方式和个人信息的种类，取得信息主体的单独同意；涉及敏感个人信息的，还应当向信息主体告知处理敏感个人信息的必要性以及对个人权益的影响，法律、行政法规另有规定的除外。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3.乙方需取得信息主体在充分知情的前提下自愿、明确作出的合法有效授权。乙方与信息主体因授权、使用信息等问题引起的争议与甲方无关。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（二）涉及非个人信息的，乙方承诺其提供数据来源的合法合规性；且不涉及第三方商业秘密且已获得数据所有权、使用权人的合法授权。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三）涉及公开信息爬取的，乙方应承诺数据来源合法，包括：明确爬虫行为已遵循ROBOTS协议、不存在规避或破解被爬取网站反爬虫措施的行为、承诺不存在其他《中华人民共和国反不正当竞争法》等法律法规禁止的行为。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（四）双方数据处理活动的地域限于中国境内（为本合同履行之目的，不包含香港、澳门、台湾地区），不得将数据传输至境外。</w:t>
      </w:r>
      <w:r>
        <w:rPr>
          <w:rFonts w:hint="eastAsia" w:ascii="仿宋" w:hAnsi="仿宋" w:eastAsia="仿宋" w:cs="仿宋"/>
          <w:kern w:val="0"/>
          <w:sz w:val="24"/>
          <w:szCs w:val="24"/>
          <w:lang w:bidi="ar"/>
        </w:rPr>
        <w:br w:type="textWrapping"/>
      </w:r>
      <w:r>
        <w:rPr>
          <w:rFonts w:hint="eastAsia" w:ascii="仿宋" w:hAnsi="仿宋" w:eastAsia="仿宋" w:cs="仿宋"/>
          <w:b/>
          <w:bCs/>
          <w:kern w:val="0"/>
          <w:sz w:val="24"/>
          <w:szCs w:val="24"/>
          <w:lang w:bidi="ar"/>
        </w:rPr>
        <w:t>数据安全（接收外部数据和对外传输数据）</w:t>
      </w:r>
      <w:r>
        <w:rPr>
          <w:rFonts w:hint="eastAsia" w:ascii="仿宋" w:hAnsi="仿宋" w:eastAsia="仿宋" w:cs="仿宋"/>
          <w:kern w:val="0"/>
          <w:sz w:val="24"/>
          <w:szCs w:val="24"/>
          <w:lang w:bidi="ar"/>
        </w:rPr>
        <w:t xml:space="preserve">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一）涉及个人信息的，乙方应承诺其已获得信息主体本人的书面授权或者法律效力等同于书面授权的其他授权方式。该授权应当明确载明信息主体同意授权乙方向甲方提供其信息，并开展数据处理活动；及转授权甲方向第三方机构提供其信息/或委托第三方机构处理其信息，并开展数据处理活动。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1.乙方应妥善留存信息主体的授权文件，甲方如须对乙方的授权文件进行抽查、核查、备份时，乙方应予配合。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2.乙方在获得信息主体的相关授权之前，有义务告知信息主体其对个人信息的处理目的、处理方式、个人信息种类、保存期限、行使个人信息相关权利的方式和程序，并向信息主体告知甲方的姓名、联系方式、处理目的、处理方式和个人信息的种类，取得信息主体的单独同意；涉及敏感个人信息的，还应当向信息主体告知处理敏感个人信息的必要性以及对个人权益的影响，法律、行政法规另有规定的除外。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3.乙方需取得信息主体在充分知情的前提下自愿、明确作出的合法有效授权。乙方与信息主体因授权、使用信息等问题引起的争议与甲方无关。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（二）涉及非个人信息的，乙方承诺其提供数据来源的合法合规性；且不涉及第三方商业秘密且已获得数据所有权、使用权人的合法授权。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三）涉及公开信息爬取的，乙方应承诺数据来源合法，包括：明确爬虫行为已遵循ROBOTS协议、不存在规避或破解被爬取网站反爬虫措施的行为、承诺不存在其他《中华人民共和国反不正当竞争法》等法律法规禁止的行为。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（四）双方数据处理活动的地域限于中国境内（为本合同履行之目的，不包含香港、澳门、台湾地区），不得将数据传输至境外。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（五）乙方应当按照合同约定使用数据，遵循最小化原则。乙方应保证数据及信息的处理(包括收集、存储、使用、加工、传输、提供、公开、删除等)的安全，防止数据及信息被篡改或丢失、泄漏。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（六）乙方应保证数据使用不以垄断经营和不正当竞争为目的，不发生误导、欺诈、胁迫或者干扰等限制个人或者组织正当选择与决策的行为，遵循社会公德伦理。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七）甲方有权对乙方处理涉及甲方业务及甲方传输的信息有关事宜进行监督。同时，乙方应建立《数据安全突发事件应急预案》，确定数据安全突发事件应急联系人。甲方所提供的数据发生安全事件后，乙方应启动应急预案进行处置，并将相关情况第一时间告知甲方。处置后两个工作日内，乙方将事件处置的评估总结和改进措施告知甲方。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（八）数据及信息的保存期限应符合实现本协议业务处理目的所必要的最短时间。乙方应在合作期满或终止后，及时删除各种介质上所存储的甲方提供的数据及信息。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九）对数据及信息的处理(包括收集、存储、使用、加工、传输、提供、公开、删除等)仅在中华人民共和国境内（为本合同履行之目的，不包含香港、澳门、台湾地区），除非得到甲方事先书面同意，乙方不得使用、披露、分发或流传给任何第三人，但法律、行政法规另有规定的除外。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（十）若需开展数据测试，乙方的测试环境应与生产系统隔离，未经脱敏处理不得进入测试环境。</w:t>
      </w:r>
      <w:r>
        <w:rPr>
          <w:rFonts w:hint="eastAsia" w:ascii="仿宋" w:hAnsi="仿宋" w:eastAsia="仿宋" w:cs="仿宋"/>
          <w:kern w:val="0"/>
          <w:sz w:val="24"/>
          <w:szCs w:val="24"/>
          <w:lang w:bidi="ar"/>
        </w:rPr>
        <w:br w:type="textWrapping"/>
      </w:r>
      <w:r>
        <w:rPr>
          <w:rFonts w:hint="eastAsia" w:ascii="仿宋" w:hAnsi="仿宋" w:eastAsia="仿宋" w:cs="仿宋"/>
          <w:b/>
          <w:bCs/>
          <w:kern w:val="0"/>
          <w:sz w:val="24"/>
          <w:szCs w:val="24"/>
          <w:lang w:bidi="ar"/>
        </w:rPr>
        <w:t>数据安全（对外传输数据）</w:t>
      </w:r>
      <w:r>
        <w:rPr>
          <w:rFonts w:hint="eastAsia" w:ascii="仿宋" w:hAnsi="仿宋" w:eastAsia="仿宋" w:cs="仿宋"/>
          <w:kern w:val="0"/>
          <w:sz w:val="24"/>
          <w:szCs w:val="24"/>
          <w:lang w:bidi="ar"/>
        </w:rPr>
        <w:t xml:space="preserve">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（一）乙方应当按照合同约定使用数据，遵循最小化原则。乙方应保证数据及信息的处理(包括收集、存储、使用、加工、传输、提供、公开、删除等)的安全，防止数据及信息被篡改或丢失、泄漏。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（二）乙方应保证数据使用不以垄断经营和不正当竞争为目的，不发生误导、欺诈、胁迫或者干扰等限制个人或者组织正当选择与决策的行为，遵循社会公德伦理。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三）甲方有权对乙方处理涉及甲方业务及甲方传输的信息有关事宜进行监督。同时，乙方应建立《数据安全突发事件应急预案》，确定数据安全突发事件应急联系人。甲方所提供的数据发生安全事件后，乙方应启动应急预案进行处置，并将相关情况第一时间告知甲方。处置后两个工作日内，乙方将事件处置的评估总结和改进措施告知甲方。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（四）数据及信息的保存期限应符合实现本协议业务处理目的所必要的最短时间。乙方应在合作期满或终止后，及时删除各种介质上所存储的甲方提供的数据及信息。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 xml:space="preserve">（五）对数据及信息的处理(包括收集、存储、使用、加工、传输、提供、公开、删除等)仅在中华人民共和国境内（为本合同履行之目的，不包含香港、澳门、台湾地区），除非得到甲方事先书面同意，乙方不得使用、披露、分发或流传给任何第三人，但法律、行政法规另有规定的除外。 </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（六）若需开展数据测试，乙方的测试环境应与生产系统隔离，未经脱敏处理不得进入测试环境。</w:t>
      </w:r>
    </w:p>
    <w:p w14:paraId="7B5B32A2">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第十四条</w:t>
      </w:r>
      <w:r>
        <w:rPr>
          <w:rFonts w:hint="eastAsia" w:ascii="仿宋" w:hAnsi="仿宋" w:eastAsia="仿宋" w:cs="仿宋"/>
          <w:kern w:val="0"/>
          <w:sz w:val="24"/>
          <w:szCs w:val="24"/>
          <w:lang w:bidi="ar"/>
        </w:rPr>
        <w:t xml:space="preserve"> 合同变更</w:t>
      </w:r>
      <w:r>
        <w:rPr>
          <w:rFonts w:hint="eastAsia" w:ascii="仿宋" w:hAnsi="仿宋" w:eastAsia="仿宋" w:cs="仿宋"/>
          <w:kern w:val="0"/>
          <w:sz w:val="24"/>
          <w:szCs w:val="24"/>
          <w:lang w:bidi="ar"/>
        </w:rPr>
        <w:br w:type="textWrapping"/>
      </w:r>
      <w:r>
        <w:rPr>
          <w:rFonts w:hint="eastAsia" w:ascii="仿宋" w:hAnsi="仿宋" w:eastAsia="仿宋" w:cs="仿宋"/>
          <w:b/>
          <w:bCs/>
          <w:kern w:val="0"/>
          <w:sz w:val="24"/>
          <w:szCs w:val="24"/>
          <w:lang w:bidi="ar"/>
        </w:rPr>
        <w:t>合同变更</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对本合同的任何变更或补充，须经甲乙双方协商一致，并另行签订书面补充协议。</w:t>
      </w:r>
    </w:p>
    <w:p w14:paraId="0C8CACA7">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第十五条</w:t>
      </w:r>
      <w:r>
        <w:rPr>
          <w:rFonts w:hint="eastAsia" w:ascii="仿宋" w:hAnsi="仿宋" w:eastAsia="仿宋" w:cs="仿宋"/>
          <w:kern w:val="0"/>
          <w:sz w:val="24"/>
          <w:szCs w:val="24"/>
          <w:lang w:bidi="ar"/>
        </w:rPr>
        <w:t xml:space="preserve"> </w:t>
      </w:r>
      <w:r>
        <w:rPr>
          <w:rFonts w:hint="eastAsia" w:ascii="仿宋" w:hAnsi="仿宋" w:eastAsia="仿宋" w:cs="仿宋"/>
          <w:b/>
          <w:bCs/>
          <w:kern w:val="0"/>
          <w:sz w:val="24"/>
          <w:szCs w:val="24"/>
          <w:lang w:bidi="ar"/>
        </w:rPr>
        <w:t>合同特别终止</w:t>
      </w:r>
    </w:p>
    <w:p w14:paraId="5210131C">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（一） 甲乙双方同意在乙方出现下列情形时，甲方可以书面形式通知乙方（或者乙方的破产清算组或相关管理人）提出终止合同而不向其提供任何补偿：</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（1）乙方破产、解散（包括但不限于乙方股东会决议解散、乙方被吊销营业执照、被责令关闭、被撤销、被司法机关裁决解散等情形）；</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（2）乙方发生未经甲方书面同意的重大产权变更（包括但不限于合并、分立、注销等情形)；（如系上市公司）被勒令停止上市；以及任何原因背负重大债务导致无履行能力。</w:t>
      </w:r>
    </w:p>
    <w:p w14:paraId="7D7709BC">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（二） 如果因上述原因导致本合同终止，甲方已经采取或者将要采取任何补救措施的权利不受任何影响。</w:t>
      </w:r>
    </w:p>
    <w:p w14:paraId="313BD683">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第十六条</w:t>
      </w:r>
      <w:r>
        <w:rPr>
          <w:rFonts w:hint="eastAsia" w:ascii="仿宋" w:hAnsi="仿宋" w:eastAsia="仿宋" w:cs="仿宋"/>
          <w:kern w:val="0"/>
          <w:sz w:val="24"/>
          <w:szCs w:val="24"/>
          <w:lang w:bidi="ar"/>
        </w:rPr>
        <w:t xml:space="preserve"> </w:t>
      </w:r>
      <w:r>
        <w:rPr>
          <w:rFonts w:hint="eastAsia" w:ascii="仿宋" w:hAnsi="仿宋" w:eastAsia="仿宋" w:cs="仿宋"/>
          <w:b/>
          <w:bCs/>
          <w:kern w:val="0"/>
          <w:sz w:val="24"/>
          <w:szCs w:val="24"/>
          <w:lang w:bidi="ar"/>
        </w:rPr>
        <w:t>法律适用与争议解决</w:t>
      </w:r>
    </w:p>
    <w:p w14:paraId="087FEC9A">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（一） 本合同的订立、效力、解释、履行和争议的解决均适用中华人民共和国法律（不包括港澳台地区法律）。</w:t>
      </w:r>
    </w:p>
    <w:p w14:paraId="43B3BA6F">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（二） 凡因本合同引起的或与本合同有关的任何争议，双方首先应友好协商解决。协商不成的，任何一方均可向甲方所在地有管辖权的法院提起诉讼。</w:t>
      </w:r>
    </w:p>
    <w:p w14:paraId="46553146">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b/>
          <w:kern w:val="0"/>
          <w:sz w:val="24"/>
          <w:szCs w:val="24"/>
          <w:lang w:bidi="ar"/>
        </w:rPr>
        <w:t xml:space="preserve">    第十七条</w:t>
      </w:r>
      <w:r>
        <w:rPr>
          <w:rFonts w:hint="eastAsia" w:ascii="仿宋" w:hAnsi="仿宋" w:eastAsia="仿宋" w:cs="仿宋"/>
          <w:kern w:val="0"/>
          <w:sz w:val="24"/>
          <w:szCs w:val="24"/>
          <w:lang w:bidi="ar"/>
        </w:rPr>
        <w:t xml:space="preserve"> </w:t>
      </w:r>
      <w:r>
        <w:rPr>
          <w:rFonts w:hint="eastAsia" w:ascii="仿宋" w:hAnsi="仿宋" w:eastAsia="仿宋" w:cs="仿宋"/>
          <w:b/>
          <w:bCs/>
          <w:kern w:val="0"/>
          <w:sz w:val="24"/>
          <w:szCs w:val="24"/>
          <w:lang w:bidi="ar"/>
        </w:rPr>
        <w:t>合同生效及其他</w:t>
      </w:r>
    </w:p>
    <w:p w14:paraId="233B00E0">
      <w:pPr>
        <w:widowControl/>
        <w:spacing w:beforeAutospacing="1" w:afterAutospacing="1" w:line="360" w:lineRule="auto"/>
        <w:jc w:val="left"/>
        <w:rPr>
          <w:rFonts w:ascii="仿宋" w:hAnsi="仿宋" w:eastAsia="仿宋" w:cs="仿宋"/>
          <w:b/>
          <w:bCs/>
          <w:kern w:val="0"/>
          <w:sz w:val="24"/>
          <w:szCs w:val="24"/>
        </w:rPr>
      </w:pPr>
      <w:r>
        <w:rPr>
          <w:rFonts w:hint="eastAsia" w:ascii="仿宋" w:hAnsi="仿宋" w:eastAsia="仿宋" w:cs="仿宋"/>
          <w:kern w:val="0"/>
          <w:sz w:val="24"/>
          <w:szCs w:val="24"/>
          <w:lang w:bidi="ar"/>
        </w:rPr>
        <w:t xml:space="preserve">   （一） 本合同经甲乙双方盖公章后生效，服务期限自_______年_______月_______日起至_______年_______月_______日止。</w:t>
      </w:r>
      <w:r>
        <w:rPr>
          <w:rFonts w:hint="eastAsia" w:ascii="仿宋" w:hAnsi="仿宋" w:eastAsia="仿宋" w:cs="仿宋"/>
          <w:b/>
          <w:bCs/>
          <w:kern w:val="0"/>
          <w:sz w:val="24"/>
          <w:szCs w:val="24"/>
          <w:lang w:bidi="ar"/>
        </w:rPr>
        <w:t>（自签订之日起1年）</w:t>
      </w:r>
    </w:p>
    <w:p w14:paraId="5188CEAE">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（二） 本合同一式四份，其中正本一份，副本一份。甲方执一份正本，一份副本；乙方执一份正本，一份副本。</w:t>
      </w:r>
    </w:p>
    <w:p w14:paraId="3C299F63">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（三） 无论本合同是否有相反约定，本合同附件（如有）作为本合同的组成部分，与本合同具有同等法律效力，当附件条款与本合同条款发生冲突时，以本合同条款为准。</w:t>
      </w:r>
    </w:p>
    <w:p w14:paraId="5782661F">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（四） 本合同及合同附件（如有）是甲乙双方关于本次交易所最终确定的全部内容，甲乙双方均承认其已审阅、理解本合同及合同附件的内容，并同意取代甲乙双方之间此前关于本次交易所做出的任何口头或书面的承诺。</w:t>
      </w:r>
    </w:p>
    <w:p w14:paraId="7BDCA192">
      <w:pPr>
        <w:widowControl/>
        <w:spacing w:beforeAutospacing="1" w:afterAutospacing="1" w:line="360" w:lineRule="auto"/>
        <w:jc w:val="left"/>
        <w:rPr>
          <w:rFonts w:ascii="仿宋" w:hAnsi="仿宋" w:eastAsia="仿宋" w:cs="仿宋"/>
          <w:kern w:val="0"/>
          <w:sz w:val="24"/>
          <w:szCs w:val="24"/>
        </w:rPr>
      </w:pPr>
      <w:r>
        <w:rPr>
          <w:rFonts w:hint="eastAsia" w:ascii="仿宋" w:hAnsi="仿宋" w:eastAsia="仿宋" w:cs="仿宋"/>
          <w:kern w:val="0"/>
          <w:sz w:val="24"/>
          <w:szCs w:val="24"/>
          <w:lang w:bidi="ar"/>
        </w:rPr>
        <w:t xml:space="preserve">   （五） 由于法律和法规、政策而导致本合同任何条款无效或无法执行，则该条款无效，但不影响剩余其他条款的效力。</w:t>
      </w:r>
    </w:p>
    <w:p w14:paraId="6A807056">
      <w:pPr>
        <w:widowControl/>
        <w:spacing w:beforeAutospacing="1" w:afterAutospacing="1" w:line="360" w:lineRule="auto"/>
        <w:jc w:val="left"/>
        <w:rPr>
          <w:rFonts w:ascii="仿宋" w:hAnsi="仿宋" w:eastAsia="仿宋" w:cs="仿宋"/>
          <w:sz w:val="24"/>
          <w:szCs w:val="24"/>
        </w:rPr>
      </w:pPr>
      <w:r>
        <w:rPr>
          <w:rFonts w:hint="eastAsia" w:ascii="仿宋" w:hAnsi="仿宋" w:eastAsia="仿宋" w:cs="仿宋"/>
          <w:b/>
          <w:kern w:val="0"/>
          <w:sz w:val="24"/>
          <w:szCs w:val="24"/>
          <w:lang w:bidi="ar"/>
        </w:rPr>
        <w:t xml:space="preserve">    第十八条</w:t>
      </w:r>
      <w:r>
        <w:rPr>
          <w:rFonts w:hint="eastAsia" w:ascii="仿宋" w:hAnsi="仿宋" w:eastAsia="仿宋" w:cs="仿宋"/>
          <w:kern w:val="0"/>
          <w:sz w:val="24"/>
          <w:szCs w:val="24"/>
          <w:lang w:bidi="ar"/>
        </w:rPr>
        <w:t xml:space="preserve"> 附件的组成（适用于咨询服务采购合同）</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附件的组成</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附件一、服务内容及要求</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附件二、付款</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附件三、双方的权利和义务</w:t>
      </w:r>
      <w:r>
        <w:rPr>
          <w:rFonts w:hint="eastAsia" w:ascii="仿宋" w:hAnsi="仿宋" w:eastAsia="仿宋" w:cs="仿宋"/>
          <w:kern w:val="0"/>
          <w:sz w:val="24"/>
          <w:szCs w:val="24"/>
          <w:lang w:bidi="ar"/>
        </w:rPr>
        <w:br w:type="textWrapping"/>
      </w:r>
      <w:r>
        <w:rPr>
          <w:rFonts w:hint="eastAsia" w:ascii="仿宋" w:hAnsi="仿宋" w:eastAsia="仿宋" w:cs="仿宋"/>
          <w:kern w:val="0"/>
          <w:sz w:val="24"/>
          <w:szCs w:val="24"/>
          <w:lang w:bidi="ar"/>
        </w:rPr>
        <w:t>附件四、违约责任</w:t>
      </w:r>
    </w:p>
    <w:p w14:paraId="1AE63F11">
      <w:pPr>
        <w:spacing w:line="600" w:lineRule="atLeast"/>
        <w:jc w:val="left"/>
        <w:rPr>
          <w:rFonts w:ascii="仿宋" w:hAnsi="仿宋" w:eastAsia="仿宋" w:cs="仿宋"/>
          <w:b/>
          <w:bCs/>
          <w:kern w:val="0"/>
          <w:sz w:val="24"/>
          <w:szCs w:val="24"/>
          <w:highlight w:val="yellow"/>
        </w:rPr>
      </w:pPr>
    </w:p>
    <w:p w14:paraId="0F25D42A">
      <w:pPr>
        <w:rPr>
          <w:rFonts w:ascii="仿宋" w:hAnsi="仿宋" w:eastAsia="仿宋" w:cs="仿宋"/>
          <w:b/>
          <w:bCs/>
          <w:sz w:val="28"/>
          <w:szCs w:val="28"/>
        </w:rPr>
      </w:pPr>
      <w:bookmarkStart w:id="896" w:name="_Toc65682988"/>
      <w:bookmarkStart w:id="897" w:name="_Toc10044"/>
      <w:bookmarkStart w:id="898" w:name="_Toc109124313"/>
      <w:bookmarkStart w:id="899" w:name="_Toc25837"/>
      <w:bookmarkStart w:id="900" w:name="_Toc58177604"/>
      <w:bookmarkStart w:id="901" w:name="_Toc58177607"/>
    </w:p>
    <w:p w14:paraId="2564E7EB">
      <w:pPr>
        <w:widowControl/>
        <w:spacing w:line="240" w:lineRule="auto"/>
        <w:jc w:val="left"/>
        <w:rPr>
          <w:rFonts w:ascii="仿宋" w:hAnsi="仿宋" w:eastAsia="仿宋" w:cs="仿宋"/>
          <w:b/>
          <w:bCs/>
          <w:sz w:val="28"/>
          <w:szCs w:val="28"/>
        </w:rPr>
      </w:pPr>
      <w:bookmarkStart w:id="902" w:name="_Toc23930"/>
      <w:r>
        <w:rPr>
          <w:rFonts w:hint="eastAsia" w:ascii="仿宋" w:hAnsi="仿宋" w:eastAsia="仿宋" w:cs="仿宋"/>
          <w:b/>
          <w:bCs/>
          <w:sz w:val="28"/>
          <w:szCs w:val="28"/>
        </w:rPr>
        <w:br w:type="page"/>
      </w:r>
    </w:p>
    <w:p w14:paraId="1E9335B6">
      <w:pPr>
        <w:pStyle w:val="3"/>
        <w:tabs>
          <w:tab w:val="left" w:pos="2190"/>
        </w:tabs>
        <w:spacing w:line="360" w:lineRule="auto"/>
        <w:jc w:val="left"/>
        <w:outlineLvl w:val="1"/>
        <w:rPr>
          <w:rFonts w:ascii="仿宋" w:hAnsi="仿宋" w:cs="仿宋"/>
          <w:sz w:val="24"/>
          <w:szCs w:val="24"/>
        </w:rPr>
      </w:pPr>
      <w:r>
        <w:rPr>
          <w:rFonts w:hint="eastAsia" w:ascii="仿宋" w:hAnsi="仿宋" w:cs="仿宋"/>
          <w:sz w:val="24"/>
          <w:szCs w:val="24"/>
        </w:rPr>
        <w:t>附件一</w:t>
      </w:r>
      <w:r>
        <w:rPr>
          <w:rFonts w:hint="eastAsia" w:ascii="仿宋" w:hAnsi="仿宋" w:cs="仿宋"/>
          <w:sz w:val="24"/>
          <w:szCs w:val="24"/>
        </w:rPr>
        <w:tab/>
      </w:r>
    </w:p>
    <w:p w14:paraId="441E4BD7">
      <w:pPr>
        <w:spacing w:line="360" w:lineRule="auto"/>
        <w:ind w:firstLine="482" w:firstLineChars="200"/>
        <w:jc w:val="center"/>
        <w:rPr>
          <w:rFonts w:ascii="仿宋" w:hAnsi="仿宋" w:eastAsia="仿宋" w:cs="仿宋"/>
          <w:b/>
          <w:sz w:val="24"/>
          <w:szCs w:val="24"/>
        </w:rPr>
      </w:pPr>
      <w:r>
        <w:rPr>
          <w:rFonts w:hint="eastAsia" w:ascii="仿宋" w:hAnsi="仿宋" w:eastAsia="仿宋" w:cs="仿宋"/>
          <w:b/>
          <w:sz w:val="24"/>
          <w:szCs w:val="24"/>
        </w:rPr>
        <w:t>服务内容及要求</w:t>
      </w:r>
    </w:p>
    <w:p w14:paraId="4072B180">
      <w:pPr>
        <w:tabs>
          <w:tab w:val="left" w:pos="165"/>
          <w:tab w:val="left" w:pos="315"/>
        </w:tabs>
        <w:autoSpaceDE w:val="0"/>
        <w:autoSpaceDN w:val="0"/>
        <w:spacing w:line="360" w:lineRule="auto"/>
        <w:ind w:firstLine="480" w:firstLineChars="200"/>
        <w:rPr>
          <w:rFonts w:ascii="仿宋" w:hAnsi="仿宋" w:eastAsia="仿宋" w:cs="仿宋"/>
          <w:sz w:val="24"/>
          <w:szCs w:val="24"/>
        </w:rPr>
      </w:pPr>
    </w:p>
    <w:p w14:paraId="7FB0730E">
      <w:pPr>
        <w:tabs>
          <w:tab w:val="left" w:pos="165"/>
          <w:tab w:val="left" w:pos="315"/>
        </w:tabs>
        <w:autoSpaceDE w:val="0"/>
        <w:autoSpaceDN w:val="0"/>
        <w:spacing w:line="360" w:lineRule="auto"/>
        <w:ind w:firstLine="482" w:firstLineChars="200"/>
        <w:rPr>
          <w:rFonts w:ascii="仿宋" w:hAnsi="仿宋" w:eastAsia="仿宋" w:cs="仿宋"/>
          <w:b/>
          <w:bCs/>
          <w:snapToGrid w:val="0"/>
          <w:spacing w:val="24"/>
          <w:sz w:val="24"/>
          <w:szCs w:val="24"/>
        </w:rPr>
      </w:pPr>
      <w:r>
        <w:rPr>
          <w:rFonts w:hint="eastAsia" w:ascii="仿宋" w:hAnsi="仿宋" w:eastAsia="仿宋" w:cs="仿宋"/>
          <w:b/>
          <w:bCs/>
          <w:sz w:val="24"/>
          <w:szCs w:val="24"/>
        </w:rPr>
        <w:t>一、项目名称</w:t>
      </w:r>
    </w:p>
    <w:p w14:paraId="75BC6E9F">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项目名称：人保财险广东广州分公司驻人保大厦全体员工洗衣服务采购项目。</w:t>
      </w:r>
    </w:p>
    <w:p w14:paraId="0100C12E">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二、项目内容</w:t>
      </w:r>
    </w:p>
    <w:p w14:paraId="2028C47E">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（一）需求内容</w:t>
      </w:r>
    </w:p>
    <w:p w14:paraId="61484DFD">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b/>
          <w:bCs/>
          <w:sz w:val="24"/>
          <w:szCs w:val="24"/>
        </w:rPr>
        <w:t>洗涤服务</w:t>
      </w:r>
      <w:r>
        <w:rPr>
          <w:rFonts w:hint="eastAsia" w:ascii="仿宋" w:hAnsi="仿宋" w:eastAsia="仿宋" w:cs="仿宋"/>
          <w:sz w:val="24"/>
          <w:szCs w:val="24"/>
        </w:rPr>
        <w:t>：向960位员工提供每人每季度至少4次衣物的洗涤服务（具体服务次数及洗衣数量以每季度实际发生为准）。</w:t>
      </w:r>
    </w:p>
    <w:p w14:paraId="36279CC5">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1.1服务质量要求</w:t>
      </w:r>
    </w:p>
    <w:p w14:paraId="5F92DD90">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一是衣物洗涤后需达到国家、行业洗涤标准要求，不能破损或染色等；二是收送衣物需及时，如有特殊情况不能按时到达应提前1小时说明情况；三是普通衣物自收取当日起3天内可以取货；四是特殊要求需下单后24小时内送回，不加收加急费；五是经营者应对洗涤机器、洗衣用料的品牌、洗涤原料严格把关，选择有合格证明、标识齐全的产品；六是严格按照洗涤程序对洗涤用品进行分类清洗，保证甲方送洗衣物洗后干净、卫生、平整、手感柔软、不变色、不变形、无褪色、无皱巴和毁损；熨烫保证平整，无死擢，衣物熨烫后不发亮，熨烫后保证衣型；洗过的物品干净、整洁，无污渍；洗后衣物卫生指标符合卫生检测标准，并保证洗后衣物中的残留度对人体无害。高档皮草、名贵衣服采用行业最恰当干洗机洗涤，保证洗涤质量。</w:t>
      </w:r>
    </w:p>
    <w:p w14:paraId="030B1756">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1.2服务供应安排</w:t>
      </w:r>
    </w:p>
    <w:p w14:paraId="57298A72">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人员计划：乙方安排2-3名最具有取送经验员工专门负责本项目的上门取送服务。门店安排专职服务人员服务于本项目的洗衣和物品兑换工作，每个门店安排一人负责，车间安排3-4名具有国家资质技术人员洗涤本单位衣物，公司抽调客服经理1名，客服主管2名，专门协调取送、门店、车间的各项的工作。</w:t>
      </w:r>
    </w:p>
    <w:p w14:paraId="2677C5C3">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 xml:space="preserve">车辆计划：乙方安排1-2台车辆服务于甲方的本合同项目，保证准时准点的提供服务。 </w:t>
      </w:r>
    </w:p>
    <w:p w14:paraId="205C7D0A">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设备计划：乙方在现有门店设备的基础上，将目前最先进的干洗机、水洗、烘干及熨烫设备用于甲方的洗衣服务，保证能按时完成甲方的洗涤工作。</w:t>
      </w:r>
    </w:p>
    <w:p w14:paraId="773EB5F5">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1.3售后服务要求</w:t>
      </w:r>
    </w:p>
    <w:p w14:paraId="0A0ED653">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一是如分公司有需要打印消费明细的，供应商应及时准确提供相应消费记录。</w:t>
      </w:r>
    </w:p>
    <w:p w14:paraId="3348310D">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二是现场交收验货，衣物经洗涤后未能达到洗涤标准的，经营者应给与免费返工，返工一次仍未达到质量要求的，经营者应退还洗涤费给员工（洗衣前已声明不能去除或只能尽量去除的污渍除外），如果供应商导致员工衣物损毁或丢失的，应予以赔偿，赔偿的标准参照《广东省洗衣洗涤行业消费争议解决办法》。三是如接到员工投诉，上门服务频次不足、服务时效响应时限未按承诺时限响应等，每次扣罚乙方100元（大写：人名币壹佰元整），在每月结算金额中扣除。</w:t>
      </w:r>
    </w:p>
    <w:p w14:paraId="48FDFD3D">
      <w:pPr>
        <w:adjustRightInd w:val="0"/>
        <w:spacing w:line="360" w:lineRule="auto"/>
        <w:ind w:firstLine="480" w:firstLineChars="200"/>
        <w:textAlignment w:val="baseline"/>
        <w:rPr>
          <w:rFonts w:ascii="仿宋" w:hAnsi="仿宋" w:eastAsia="仿宋" w:cs="仿宋"/>
          <w:snapToGrid w:val="0"/>
          <w:spacing w:val="24"/>
          <w:sz w:val="24"/>
          <w:szCs w:val="24"/>
        </w:rPr>
      </w:pPr>
      <w:r>
        <w:rPr>
          <w:rFonts w:hint="eastAsia" w:ascii="仿宋" w:hAnsi="仿宋" w:eastAsia="仿宋" w:cs="仿宋"/>
          <w:sz w:val="24"/>
          <w:szCs w:val="24"/>
        </w:rPr>
        <w:t>2、</w:t>
      </w:r>
      <w:r>
        <w:rPr>
          <w:rFonts w:hint="eastAsia" w:ascii="仿宋" w:hAnsi="仿宋" w:eastAsia="仿宋" w:cs="仿宋"/>
          <w:b/>
          <w:bCs/>
          <w:sz w:val="24"/>
          <w:szCs w:val="24"/>
        </w:rPr>
        <w:t>定期收送服务</w:t>
      </w:r>
      <w:r>
        <w:rPr>
          <w:rFonts w:hint="eastAsia" w:ascii="仿宋" w:hAnsi="仿宋" w:eastAsia="仿宋" w:cs="仿宋"/>
          <w:sz w:val="24"/>
          <w:szCs w:val="24"/>
        </w:rPr>
        <w:t xml:space="preserve">：定期与不定期收送服务：公司员工自行到供应商门店收送洗涤衣物，另外供应商每周挑选3个工作日派专人到招标人指定办公地点进行上门收、送衣物服务。                          </w:t>
      </w:r>
    </w:p>
    <w:p w14:paraId="1AC96E8D">
      <w:pPr>
        <w:tabs>
          <w:tab w:val="left" w:pos="165"/>
          <w:tab w:val="left" w:pos="315"/>
        </w:tabs>
        <w:autoSpaceDE w:val="0"/>
        <w:autoSpaceDN w:val="0"/>
        <w:spacing w:line="360" w:lineRule="auto"/>
        <w:ind w:firstLine="578" w:firstLineChars="200"/>
        <w:rPr>
          <w:rFonts w:ascii="仿宋" w:hAnsi="仿宋" w:eastAsia="仿宋" w:cs="仿宋"/>
          <w:snapToGrid w:val="0"/>
          <w:spacing w:val="24"/>
          <w:sz w:val="24"/>
          <w:szCs w:val="24"/>
        </w:rPr>
      </w:pPr>
      <w:r>
        <w:rPr>
          <w:rFonts w:hint="eastAsia" w:ascii="仿宋" w:hAnsi="仿宋" w:eastAsia="仿宋" w:cs="仿宋"/>
          <w:b/>
          <w:bCs/>
          <w:snapToGrid w:val="0"/>
          <w:spacing w:val="24"/>
          <w:sz w:val="24"/>
          <w:szCs w:val="24"/>
        </w:rPr>
        <w:t>三、告知</w:t>
      </w:r>
    </w:p>
    <w:p w14:paraId="1C1FFF6A">
      <w:pPr>
        <w:tabs>
          <w:tab w:val="left" w:pos="165"/>
          <w:tab w:val="left" w:pos="315"/>
        </w:tabs>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甲乙双方同意涉及本合同的一切事宜均以书面形式提交，双方应及时响应。</w:t>
      </w:r>
    </w:p>
    <w:p w14:paraId="40B3713A">
      <w:pPr>
        <w:tabs>
          <w:tab w:val="left" w:pos="315"/>
        </w:tabs>
        <w:autoSpaceDE w:val="0"/>
        <w:autoSpaceDN w:val="0"/>
        <w:spacing w:line="360" w:lineRule="auto"/>
        <w:ind w:firstLine="578" w:firstLineChars="200"/>
        <w:rPr>
          <w:rFonts w:ascii="仿宋" w:hAnsi="仿宋" w:eastAsia="仿宋" w:cs="仿宋"/>
          <w:b/>
          <w:bCs/>
          <w:snapToGrid w:val="0"/>
          <w:spacing w:val="24"/>
          <w:sz w:val="24"/>
          <w:szCs w:val="24"/>
        </w:rPr>
      </w:pPr>
      <w:r>
        <w:rPr>
          <w:rFonts w:hint="eastAsia" w:ascii="仿宋" w:hAnsi="仿宋" w:eastAsia="仿宋" w:cs="仿宋"/>
          <w:b/>
          <w:bCs/>
          <w:snapToGrid w:val="0"/>
          <w:spacing w:val="24"/>
          <w:sz w:val="24"/>
          <w:szCs w:val="24"/>
        </w:rPr>
        <w:t>四、问题项目处理</w:t>
      </w:r>
    </w:p>
    <w:p w14:paraId="381D3EC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问题项目的处理应按照甲方项目管理规范的要求进行。在项目实施过程中，如因乙方原因造成项目出现异常且在30天内乙方未改变问题项目现状，则甲方有权终止该项目，并拒绝支付剩余款项，甲方有权要求乙方退回已收取的合同费用，并保留向乙方追偿损失的权利。</w:t>
      </w:r>
    </w:p>
    <w:p w14:paraId="793E1BC3">
      <w:pPr>
        <w:spacing w:line="360" w:lineRule="auto"/>
        <w:ind w:firstLine="480" w:firstLineChars="200"/>
        <w:rPr>
          <w:rFonts w:ascii="仿宋" w:hAnsi="仿宋" w:eastAsia="仿宋" w:cs="仿宋"/>
          <w:sz w:val="24"/>
          <w:szCs w:val="24"/>
        </w:rPr>
      </w:pPr>
    </w:p>
    <w:p w14:paraId="1414C98E">
      <w:pPr>
        <w:spacing w:line="360" w:lineRule="auto"/>
        <w:ind w:firstLine="480" w:firstLineChars="200"/>
        <w:rPr>
          <w:rFonts w:ascii="仿宋" w:hAnsi="仿宋" w:eastAsia="仿宋" w:cs="仿宋"/>
          <w:sz w:val="24"/>
          <w:szCs w:val="24"/>
        </w:rPr>
      </w:pPr>
    </w:p>
    <w:p w14:paraId="473D9932">
      <w:pPr>
        <w:pStyle w:val="2"/>
        <w:rPr>
          <w:rFonts w:ascii="仿宋" w:hAnsi="仿宋" w:eastAsia="仿宋" w:cs="仿宋"/>
          <w:sz w:val="24"/>
          <w:szCs w:val="24"/>
        </w:rPr>
      </w:pPr>
    </w:p>
    <w:p w14:paraId="211453A3">
      <w:pPr>
        <w:rPr>
          <w:rFonts w:ascii="仿宋" w:hAnsi="仿宋" w:eastAsia="仿宋" w:cs="仿宋"/>
          <w:sz w:val="24"/>
          <w:szCs w:val="24"/>
        </w:rPr>
      </w:pPr>
    </w:p>
    <w:p w14:paraId="68917B02">
      <w:pPr>
        <w:pStyle w:val="2"/>
        <w:rPr>
          <w:rFonts w:ascii="仿宋" w:hAnsi="仿宋" w:eastAsia="仿宋" w:cs="仿宋"/>
          <w:sz w:val="24"/>
          <w:szCs w:val="24"/>
        </w:rPr>
      </w:pPr>
    </w:p>
    <w:p w14:paraId="101FA51C"/>
    <w:p w14:paraId="409F8CBE">
      <w:pPr>
        <w:spacing w:line="360" w:lineRule="auto"/>
        <w:ind w:firstLine="480" w:firstLineChars="200"/>
        <w:rPr>
          <w:rFonts w:ascii="仿宋" w:hAnsi="仿宋" w:eastAsia="仿宋" w:cs="仿宋"/>
          <w:sz w:val="24"/>
          <w:szCs w:val="24"/>
        </w:rPr>
      </w:pPr>
    </w:p>
    <w:p w14:paraId="33959E42">
      <w:pPr>
        <w:spacing w:line="360" w:lineRule="auto"/>
        <w:ind w:firstLine="480" w:firstLineChars="200"/>
        <w:rPr>
          <w:rFonts w:ascii="仿宋" w:hAnsi="仿宋" w:eastAsia="仿宋" w:cs="仿宋"/>
          <w:sz w:val="24"/>
          <w:szCs w:val="24"/>
        </w:rPr>
      </w:pPr>
    </w:p>
    <w:p w14:paraId="021FE965">
      <w:pPr>
        <w:spacing w:line="360" w:lineRule="auto"/>
        <w:ind w:firstLine="480" w:firstLineChars="200"/>
        <w:rPr>
          <w:rFonts w:ascii="仿宋" w:hAnsi="仿宋" w:eastAsia="仿宋" w:cs="仿宋"/>
          <w:sz w:val="24"/>
          <w:szCs w:val="24"/>
        </w:rPr>
      </w:pPr>
    </w:p>
    <w:p w14:paraId="0CBC3A7A">
      <w:pPr>
        <w:spacing w:line="360" w:lineRule="auto"/>
        <w:ind w:firstLine="480" w:firstLineChars="200"/>
        <w:rPr>
          <w:rFonts w:ascii="仿宋" w:hAnsi="仿宋" w:eastAsia="仿宋" w:cs="仿宋"/>
          <w:sz w:val="24"/>
          <w:szCs w:val="24"/>
        </w:rPr>
      </w:pPr>
    </w:p>
    <w:p w14:paraId="063E4328">
      <w:pPr>
        <w:bidi w:val="0"/>
        <w:rPr>
          <w:rFonts w:hint="eastAsia"/>
        </w:rPr>
      </w:pPr>
    </w:p>
    <w:p w14:paraId="46990BC8">
      <w:pPr>
        <w:rPr>
          <w:rFonts w:hint="eastAsia"/>
        </w:rPr>
      </w:pPr>
    </w:p>
    <w:p w14:paraId="763F0844">
      <w:pPr>
        <w:pStyle w:val="3"/>
        <w:spacing w:line="360" w:lineRule="auto"/>
        <w:jc w:val="left"/>
        <w:outlineLvl w:val="1"/>
        <w:rPr>
          <w:rFonts w:ascii="仿宋" w:hAnsi="仿宋" w:cs="仿宋"/>
          <w:sz w:val="24"/>
          <w:szCs w:val="24"/>
        </w:rPr>
      </w:pPr>
      <w:r>
        <w:rPr>
          <w:rFonts w:hint="eastAsia" w:ascii="仿宋" w:hAnsi="仿宋" w:cs="仿宋"/>
          <w:sz w:val="24"/>
          <w:szCs w:val="24"/>
        </w:rPr>
        <w:t>附件二</w:t>
      </w:r>
    </w:p>
    <w:p w14:paraId="0CB7DE86">
      <w:pPr>
        <w:spacing w:line="360" w:lineRule="auto"/>
        <w:ind w:firstLine="482" w:firstLineChars="200"/>
        <w:jc w:val="center"/>
        <w:rPr>
          <w:rFonts w:ascii="仿宋" w:hAnsi="仿宋" w:eastAsia="仿宋" w:cs="仿宋"/>
          <w:b/>
          <w:sz w:val="24"/>
          <w:szCs w:val="24"/>
        </w:rPr>
      </w:pPr>
      <w:r>
        <w:rPr>
          <w:rFonts w:hint="eastAsia" w:ascii="仿宋" w:hAnsi="仿宋" w:eastAsia="仿宋" w:cs="仿宋"/>
          <w:b/>
          <w:sz w:val="24"/>
          <w:szCs w:val="24"/>
        </w:rPr>
        <w:t>付款</w:t>
      </w:r>
    </w:p>
    <w:p w14:paraId="10E3760C">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1.本合同使用货币种类为人民币。</w:t>
      </w:r>
    </w:p>
    <w:p w14:paraId="17678C2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2.付款方式：</w:t>
      </w:r>
      <w:r>
        <w:rPr>
          <w:rFonts w:hint="eastAsia" w:ascii="仿宋" w:hAnsi="仿宋" w:eastAsia="仿宋" w:cs="仿宋"/>
          <w:sz w:val="24"/>
          <w:szCs w:val="24"/>
          <w:u w:val="single"/>
        </w:rPr>
        <w:t>转账</w:t>
      </w:r>
      <w:r>
        <w:rPr>
          <w:rFonts w:hint="eastAsia" w:ascii="仿宋" w:hAnsi="仿宋" w:eastAsia="仿宋" w:cs="仿宋"/>
          <w:sz w:val="24"/>
          <w:szCs w:val="24"/>
        </w:rPr>
        <w:t>[现金/支票]双方采用转账方式付款的，甲方应向乙方以下账户进行支付：</w:t>
      </w:r>
    </w:p>
    <w:p w14:paraId="0ACB462B">
      <w:pPr>
        <w:adjustRightInd w:val="0"/>
        <w:spacing w:after="156" w:afterLines="50" w:line="360" w:lineRule="auto"/>
        <w:ind w:firstLine="480" w:firstLineChars="200"/>
        <w:textAlignment w:val="baseline"/>
        <w:rPr>
          <w:rFonts w:ascii="仿宋" w:hAnsi="仿宋" w:eastAsia="仿宋" w:cs="仿宋"/>
          <w:sz w:val="24"/>
          <w:szCs w:val="24"/>
          <w:u w:val="single"/>
        </w:rPr>
      </w:pPr>
      <w:r>
        <w:rPr>
          <w:rFonts w:hint="eastAsia" w:ascii="仿宋" w:hAnsi="仿宋" w:eastAsia="仿宋" w:cs="仿宋"/>
          <w:sz w:val="24"/>
          <w:szCs w:val="24"/>
        </w:rPr>
        <w:tab/>
      </w:r>
      <w:r>
        <w:rPr>
          <w:rFonts w:hint="eastAsia" w:ascii="仿宋" w:hAnsi="仿宋" w:eastAsia="仿宋" w:cs="仿宋"/>
          <w:sz w:val="24"/>
          <w:szCs w:val="24"/>
        </w:rPr>
        <w:t>乙方：待定</w:t>
      </w:r>
    </w:p>
    <w:p w14:paraId="61626BF1">
      <w:pPr>
        <w:adjustRightInd w:val="0"/>
        <w:spacing w:after="156" w:afterLines="50"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ab/>
      </w:r>
      <w:r>
        <w:rPr>
          <w:rFonts w:hint="eastAsia" w:ascii="仿宋" w:hAnsi="仿宋" w:eastAsia="仿宋" w:cs="仿宋"/>
          <w:sz w:val="24"/>
          <w:szCs w:val="24"/>
        </w:rPr>
        <w:t>开户行：待定</w:t>
      </w:r>
    </w:p>
    <w:p w14:paraId="16309FFD">
      <w:pPr>
        <w:adjustRightInd w:val="0"/>
        <w:spacing w:after="156" w:afterLines="50" w:line="360" w:lineRule="auto"/>
        <w:ind w:firstLine="480" w:firstLineChars="200"/>
        <w:textAlignment w:val="baseline"/>
        <w:rPr>
          <w:rFonts w:ascii="仿宋" w:hAnsi="仿宋" w:eastAsia="仿宋" w:cs="仿宋"/>
          <w:sz w:val="24"/>
          <w:szCs w:val="24"/>
          <w:u w:val="single"/>
        </w:rPr>
      </w:pPr>
      <w:r>
        <w:rPr>
          <w:rFonts w:hint="eastAsia" w:ascii="仿宋" w:hAnsi="仿宋" w:eastAsia="仿宋" w:cs="仿宋"/>
          <w:sz w:val="24"/>
          <w:szCs w:val="24"/>
        </w:rPr>
        <w:tab/>
      </w:r>
      <w:r>
        <w:rPr>
          <w:rFonts w:hint="eastAsia" w:ascii="仿宋" w:hAnsi="仿宋" w:eastAsia="仿宋" w:cs="仿宋"/>
          <w:sz w:val="24"/>
          <w:szCs w:val="24"/>
        </w:rPr>
        <w:t>账户名称：待定</w:t>
      </w:r>
    </w:p>
    <w:p w14:paraId="2D342B25">
      <w:pPr>
        <w:adjustRightInd w:val="0"/>
        <w:spacing w:after="156" w:afterLines="50" w:line="360" w:lineRule="auto"/>
        <w:ind w:firstLine="480" w:firstLineChars="200"/>
        <w:textAlignment w:val="baseline"/>
        <w:rPr>
          <w:rFonts w:ascii="仿宋" w:hAnsi="仿宋" w:eastAsia="仿宋" w:cs="仿宋"/>
          <w:sz w:val="24"/>
          <w:szCs w:val="24"/>
          <w:u w:val="single"/>
        </w:rPr>
      </w:pPr>
      <w:r>
        <w:rPr>
          <w:rFonts w:hint="eastAsia" w:ascii="仿宋" w:hAnsi="仿宋" w:eastAsia="仿宋" w:cs="仿宋"/>
          <w:sz w:val="24"/>
          <w:szCs w:val="24"/>
        </w:rPr>
        <w:tab/>
      </w:r>
      <w:r>
        <w:rPr>
          <w:rFonts w:hint="eastAsia" w:ascii="仿宋" w:hAnsi="仿宋" w:eastAsia="仿宋" w:cs="仿宋"/>
          <w:sz w:val="24"/>
          <w:szCs w:val="24"/>
        </w:rPr>
        <w:t>账号：待定</w:t>
      </w:r>
    </w:p>
    <w:p w14:paraId="66DCD598">
      <w:pPr>
        <w:spacing w:after="156" w:afterLines="50" w:line="360" w:lineRule="auto"/>
        <w:ind w:firstLine="480" w:firstLineChars="200"/>
        <w:rPr>
          <w:rFonts w:ascii="仿宋" w:hAnsi="仿宋" w:eastAsia="仿宋" w:cs="仿宋"/>
          <w:sz w:val="24"/>
          <w:szCs w:val="24"/>
        </w:rPr>
      </w:pPr>
      <w:r>
        <w:rPr>
          <w:rFonts w:hint="eastAsia" w:ascii="仿宋" w:hAnsi="仿宋" w:eastAsia="仿宋" w:cs="仿宋"/>
          <w:sz w:val="24"/>
          <w:szCs w:val="24"/>
        </w:rPr>
        <w:t>乙方如需改变上述账户，应提前10日以书面通知甲方。</w:t>
      </w:r>
    </w:p>
    <w:p w14:paraId="32B0DEE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3.付款安排</w:t>
      </w:r>
    </w:p>
    <w:p w14:paraId="5116924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按季度付款，每季度根据员工人数据实结算，每人每年洗衣费用上限为人民币1000元。供应商下季度首月15号前，提供实际结算清单并开具增值税普通发票，我司收到供应商有效发票之日起30个工作日内付清上季度款项。4.续约计划：合同内容、金额等未发生实质性变化、市场价格未发生不利变化的，到期后可以续签合同。续约期限与原合同期限总计不得超过3年。</w:t>
      </w:r>
    </w:p>
    <w:p w14:paraId="72593A2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5.增值税普通发票的相关约定</w:t>
      </w:r>
    </w:p>
    <w:p w14:paraId="584ACCD0">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（1）乙方应向甲方开具增值税普通发票，甲方开票信息如下： </w:t>
      </w:r>
    </w:p>
    <w:p w14:paraId="08EE74FC">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公司名称： 中国人民财产保险股份有限公司广州市分公司</w:t>
      </w:r>
    </w:p>
    <w:p w14:paraId="2BE171A2">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纳税识别号： 91440101712412249C</w:t>
      </w:r>
    </w:p>
    <w:p w14:paraId="72BE89B8">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（2）每次付款前乙方须向甲方提供符合国家规定的与约定金额相等的有效发票，甲方应于收到乙方相关票据后30个工作日内向乙方支付。</w:t>
      </w:r>
    </w:p>
    <w:p w14:paraId="4D16F7DD">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合同项下的业务发生销售折让、销售退回或其它按照国家规定需要开具红字发票或重新开票的情况，乙方有义务按照国家税收规定向甲方开具红字发票或重新开票。如果乙方需要甲方提供开具红字发票或重新开票的有关资料，甲方应视具体情况予以提供。</w:t>
      </w:r>
    </w:p>
    <w:p w14:paraId="071A05C8">
      <w:pPr>
        <w:spacing w:line="360" w:lineRule="auto"/>
        <w:ind w:firstLine="480" w:firstLineChars="200"/>
        <w:rPr>
          <w:rFonts w:ascii="仿宋" w:hAnsi="仿宋" w:eastAsia="仿宋" w:cs="仿宋"/>
          <w:sz w:val="24"/>
          <w:szCs w:val="24"/>
        </w:rPr>
      </w:pPr>
    </w:p>
    <w:p w14:paraId="42DE12D5">
      <w:pPr>
        <w:pStyle w:val="3"/>
        <w:spacing w:line="360" w:lineRule="auto"/>
        <w:jc w:val="left"/>
        <w:outlineLvl w:val="1"/>
        <w:rPr>
          <w:rFonts w:ascii="仿宋" w:hAnsi="仿宋" w:cs="仿宋"/>
          <w:sz w:val="24"/>
          <w:szCs w:val="24"/>
        </w:rPr>
      </w:pPr>
      <w:r>
        <w:rPr>
          <w:rFonts w:hint="eastAsia" w:ascii="仿宋" w:hAnsi="仿宋" w:cs="仿宋"/>
          <w:sz w:val="24"/>
          <w:szCs w:val="24"/>
        </w:rPr>
        <w:t>附件三</w:t>
      </w:r>
    </w:p>
    <w:p w14:paraId="022D672A">
      <w:pPr>
        <w:spacing w:line="360" w:lineRule="auto"/>
        <w:ind w:firstLine="482" w:firstLineChars="200"/>
        <w:jc w:val="center"/>
        <w:rPr>
          <w:rFonts w:ascii="仿宋" w:hAnsi="仿宋" w:eastAsia="仿宋" w:cs="仿宋"/>
          <w:b/>
          <w:sz w:val="24"/>
          <w:szCs w:val="24"/>
        </w:rPr>
      </w:pPr>
      <w:r>
        <w:rPr>
          <w:rFonts w:hint="eastAsia" w:ascii="仿宋" w:hAnsi="仿宋" w:eastAsia="仿宋" w:cs="仿宋"/>
          <w:b/>
          <w:sz w:val="24"/>
          <w:szCs w:val="24"/>
        </w:rPr>
        <w:t>双方的权利和义务</w:t>
      </w:r>
    </w:p>
    <w:p w14:paraId="16E054A2">
      <w:pPr>
        <w:spacing w:line="360" w:lineRule="auto"/>
        <w:ind w:firstLine="482" w:firstLineChars="200"/>
        <w:rPr>
          <w:rFonts w:ascii="仿宋" w:hAnsi="仿宋" w:eastAsia="仿宋" w:cs="仿宋"/>
          <w:b/>
          <w:sz w:val="24"/>
          <w:szCs w:val="24"/>
        </w:rPr>
      </w:pPr>
    </w:p>
    <w:p w14:paraId="228D5194">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（1）甲方的权利和义务</w:t>
      </w:r>
    </w:p>
    <w:p w14:paraId="3224D7EA">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1.甲方有权对乙方洗涤的衣物进行抽查。</w:t>
      </w:r>
    </w:p>
    <w:p w14:paraId="28B57235">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2.甲方应协助乙方协调驻人保大厦各单位各部门之间的相关需求。</w:t>
      </w:r>
    </w:p>
    <w:p w14:paraId="24CC6FBB">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3.甲方应按照合同约定向乙方支付费用。甲方在收到乙方合理有效的发票后30天内支付相应费用。</w:t>
      </w:r>
    </w:p>
    <w:p w14:paraId="5BBF764E">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4.甲方如有需要打印消费明细的，乙方应及时准确提供相应消费记录。</w:t>
      </w:r>
    </w:p>
    <w:p w14:paraId="6FFBADC8">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5.现场交收验货，如发现不符合合同约定的质量问题，甲方有权要求重新提供服务，如果乙方导致员工衣物损毁或丢失的，应予以赔偿，赔偿的标准参照《广东省洗衣洗涤行业消费争议解决办法》。</w:t>
      </w:r>
    </w:p>
    <w:p w14:paraId="7ABC6EEC">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（2）乙方的权利和义务</w:t>
      </w:r>
    </w:p>
    <w:p w14:paraId="04D92B0A">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1.衣物经洗涤后未能达到洗涤标准的，乙方应给与免费返工，返工一次仍未达到质量要求的，乙方应退还洗涤费给员工（洗衣前已声明不能去除或只能尽量去除的污渍除外）。</w:t>
      </w:r>
    </w:p>
    <w:p w14:paraId="0F3F64EF">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乙方安排2-3名最具有取送经验员工专门负责本项目的上门取送服务。门店安排专职服务人员服务于本项目的洗衣和物品兑换工作，每个门店安排一人负责，车间安排3-4名具有国家资质技术人员洗涤本单位衣物，公司抽调客服经理1名，客服主管2名，专门协调取送、门店、车间的各项的工作。</w:t>
      </w:r>
    </w:p>
    <w:p w14:paraId="71A8A9A3">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3.乙方安排1-2台车辆服务于甲方的本合同项目，保证准时准点的提供服务</w:t>
      </w:r>
    </w:p>
    <w:p w14:paraId="774BC970">
      <w:pPr>
        <w:autoSpaceDE w:val="0"/>
        <w:autoSpaceDN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4.乙方在现有门店设备的基础上，将目前最先进的干洗机、水洗、烘干及熨烫设备用于甲方的洗衣服务，保证能按时完成甲方的洗涤工作。</w:t>
      </w:r>
    </w:p>
    <w:p w14:paraId="70334F23">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5.乙方在合同期间内需要接受甲方的服务监督与改善建议。</w:t>
      </w:r>
    </w:p>
    <w:p w14:paraId="572B1442">
      <w:pPr>
        <w:autoSpaceDE w:val="0"/>
        <w:autoSpaceDN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6.乙方不得将本合同项下项目进行分包或转包。</w:t>
      </w:r>
    </w:p>
    <w:p w14:paraId="0039AC4D">
      <w:pPr>
        <w:bidi w:val="0"/>
      </w:pPr>
    </w:p>
    <w:p w14:paraId="31371ABD">
      <w:pPr>
        <w:spacing w:line="360" w:lineRule="auto"/>
        <w:ind w:firstLine="480" w:firstLineChars="200"/>
        <w:rPr>
          <w:rFonts w:ascii="仿宋" w:hAnsi="仿宋" w:eastAsia="仿宋" w:cs="仿宋"/>
          <w:sz w:val="24"/>
          <w:szCs w:val="24"/>
        </w:rPr>
      </w:pPr>
    </w:p>
    <w:p w14:paraId="2495AAFB">
      <w:pPr>
        <w:pStyle w:val="3"/>
        <w:spacing w:line="360" w:lineRule="auto"/>
        <w:jc w:val="left"/>
        <w:outlineLvl w:val="1"/>
        <w:rPr>
          <w:rFonts w:ascii="仿宋" w:hAnsi="仿宋" w:cs="仿宋"/>
          <w:sz w:val="24"/>
          <w:szCs w:val="24"/>
        </w:rPr>
      </w:pPr>
      <w:r>
        <w:rPr>
          <w:rFonts w:hint="eastAsia" w:ascii="仿宋" w:hAnsi="仿宋" w:cs="仿宋"/>
          <w:sz w:val="24"/>
          <w:szCs w:val="24"/>
        </w:rPr>
        <w:t>附件四</w:t>
      </w:r>
    </w:p>
    <w:p w14:paraId="38A36C75">
      <w:pPr>
        <w:bidi w:val="0"/>
        <w:jc w:val="center"/>
        <w:rPr>
          <w:b/>
          <w:bCs/>
          <w:sz w:val="24"/>
          <w:szCs w:val="24"/>
        </w:rPr>
      </w:pPr>
      <w:r>
        <w:rPr>
          <w:rFonts w:hint="eastAsia"/>
          <w:b/>
          <w:bCs/>
          <w:sz w:val="24"/>
          <w:szCs w:val="24"/>
        </w:rPr>
        <w:t>违约责任</w:t>
      </w:r>
    </w:p>
    <w:p w14:paraId="15663EE6">
      <w:pPr>
        <w:spacing w:line="360" w:lineRule="auto"/>
        <w:ind w:firstLine="480" w:firstLineChars="200"/>
        <w:rPr>
          <w:rFonts w:ascii="仿宋" w:hAnsi="仿宋" w:eastAsia="仿宋" w:cs="仿宋"/>
          <w:sz w:val="24"/>
          <w:szCs w:val="24"/>
        </w:rPr>
      </w:pPr>
    </w:p>
    <w:p w14:paraId="50BEC091">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除合同约定的违约责任以外，任何一方存在以下约定情形的，应承担相应的违约责任：</w:t>
      </w:r>
    </w:p>
    <w:p w14:paraId="40832071">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（1）由于甲方原因不能按合同约定时间付款的，每延迟10个工作日，甲方按合同应付金额的0.05%向乙方支付违约金。</w:t>
      </w:r>
    </w:p>
    <w:p w14:paraId="5DDF822D">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（2）乙方延迟交付的违约责任</w:t>
      </w:r>
    </w:p>
    <w:p w14:paraId="448D3AE1">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1.由于乙方原因造成项目延迟的，每延迟10个工作日，乙方向甲方支付违约金为合同服务费用总额的0.05%。</w:t>
      </w:r>
    </w:p>
    <w:p w14:paraId="629EBC8E">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2.由于乙方原因造成项目迟延，经甲方催促后乙方继续延误的，甲方有权单方面解除合同，乙方应按照合同服务费用总额的20%向甲方支付违约金，并赔偿由此引起的甲方的直接经济损失。</w:t>
      </w:r>
    </w:p>
    <w:p w14:paraId="735178D4">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3.验收不合格并且乙方在甲方指定期限内无法完成整改、提交合格的工作成果的，乙方应向甲方支付合同服务费用总额20%的违约金，并赔偿由此引起的甲方的直接经济损失。</w:t>
      </w:r>
    </w:p>
    <w:p w14:paraId="28AEBC58">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4.如果乙方违反本合同约定的保密义务，乙方应向甲方支付合同服务费用总额20%的违约金，甲方受到的损失超出违约金的部分，由乙方继续承担赔偿责任。</w:t>
      </w:r>
    </w:p>
    <w:p w14:paraId="37B9E885">
      <w:pPr>
        <w:adjustRightIn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5.除本合同的约定外，因乙方的违约行为给甲方造成损失的，乙方应向甲方支付合同服务费用总额20%的违约金，如甲方受到的损失超过违约金的，超出部分由乙方继续承担赔偿责任。</w:t>
      </w:r>
    </w:p>
    <w:p w14:paraId="6F4888AE">
      <w:pPr>
        <w:pStyle w:val="2"/>
      </w:pPr>
    </w:p>
    <w:p w14:paraId="784B5FB9">
      <w:pPr>
        <w:bidi w:val="0"/>
      </w:pPr>
    </w:p>
    <w:p w14:paraId="16CCE5EA">
      <w:pPr>
        <w:pStyle w:val="2"/>
        <w:rPr>
          <w:rFonts w:ascii="仿宋" w:hAnsi="仿宋" w:eastAsia="仿宋" w:cs="仿宋"/>
          <w:b/>
          <w:bCs/>
          <w:sz w:val="28"/>
          <w:szCs w:val="28"/>
        </w:rPr>
      </w:pPr>
    </w:p>
    <w:p w14:paraId="774A4B05"/>
    <w:p w14:paraId="4EDF4BBE">
      <w:pPr>
        <w:bidi w:val="0"/>
      </w:pPr>
    </w:p>
    <w:p w14:paraId="5C1C04DC">
      <w:pPr>
        <w:bidi w:val="0"/>
      </w:pPr>
    </w:p>
    <w:p w14:paraId="209803EC">
      <w:pPr>
        <w:pStyle w:val="2"/>
      </w:pPr>
    </w:p>
    <w:p w14:paraId="12BE20AD">
      <w:pPr>
        <w:rPr>
          <w:rFonts w:hint="eastAsia" w:ascii="仿宋" w:hAnsi="仿宋" w:eastAsia="仿宋" w:cs="仿宋"/>
          <w:b/>
          <w:bCs/>
          <w:sz w:val="28"/>
          <w:szCs w:val="28"/>
        </w:rPr>
      </w:pPr>
      <w:r>
        <w:rPr>
          <w:rFonts w:hint="eastAsia" w:ascii="仿宋" w:hAnsi="仿宋" w:eastAsia="仿宋" w:cs="仿宋"/>
          <w:b/>
          <w:bCs/>
          <w:sz w:val="28"/>
          <w:szCs w:val="28"/>
        </w:rPr>
        <w:br w:type="page"/>
      </w:r>
    </w:p>
    <w:p w14:paraId="0996FC8D">
      <w:pPr>
        <w:keepNext/>
        <w:keepLines/>
        <w:spacing w:line="360" w:lineRule="auto"/>
        <w:jc w:val="center"/>
        <w:outlineLvl w:val="0"/>
        <w:rPr>
          <w:rFonts w:ascii="仿宋" w:hAnsi="仿宋" w:eastAsia="仿宋" w:cs="仿宋"/>
          <w:b/>
          <w:bCs/>
          <w:sz w:val="28"/>
          <w:szCs w:val="28"/>
        </w:rPr>
      </w:pPr>
      <w:r>
        <w:rPr>
          <w:rFonts w:hint="eastAsia" w:ascii="仿宋" w:hAnsi="仿宋" w:eastAsia="仿宋" w:cs="仿宋"/>
          <w:b/>
          <w:bCs/>
          <w:sz w:val="28"/>
          <w:szCs w:val="28"/>
        </w:rPr>
        <w:t>第五章 技术规范书</w:t>
      </w:r>
      <w:bookmarkEnd w:id="896"/>
      <w:bookmarkEnd w:id="897"/>
      <w:bookmarkEnd w:id="898"/>
      <w:bookmarkEnd w:id="902"/>
    </w:p>
    <w:p w14:paraId="424FB141">
      <w:pPr>
        <w:spacing w:before="72" w:after="72" w:line="360" w:lineRule="auto"/>
        <w:ind w:firstLine="482" w:firstLineChars="200"/>
        <w:rPr>
          <w:rFonts w:ascii="仿宋" w:hAnsi="仿宋" w:eastAsia="仿宋" w:cs="仿宋"/>
          <w:b/>
          <w:bCs/>
          <w:i/>
          <w:iCs/>
          <w:sz w:val="24"/>
          <w:szCs w:val="24"/>
        </w:rPr>
      </w:pPr>
      <w:r>
        <w:rPr>
          <w:rFonts w:hint="eastAsia" w:ascii="仿宋" w:hAnsi="仿宋" w:eastAsia="仿宋" w:cs="仿宋"/>
          <w:b/>
          <w:bCs/>
          <w:i/>
          <w:iCs/>
          <w:sz w:val="24"/>
          <w:szCs w:val="24"/>
        </w:rPr>
        <w:t>说明：采购需求中标注“★”号条款为实质性条款，必须一一响应。若投标文件未完全满足实质性条款，将被视为投标无效。</w:t>
      </w:r>
    </w:p>
    <w:p w14:paraId="699B04A2">
      <w:pPr>
        <w:pStyle w:val="14"/>
        <w:rPr>
          <w:rFonts w:ascii="仿宋" w:hAnsi="仿宋" w:eastAsia="仿宋" w:cs="仿宋"/>
        </w:rPr>
      </w:pPr>
      <w:r>
        <w:rPr>
          <w:rFonts w:hint="eastAsia" w:ascii="仿宋" w:hAnsi="仿宋" w:eastAsia="仿宋" w:cs="仿宋"/>
        </w:rPr>
        <w:t>一、项目预算</w:t>
      </w:r>
    </w:p>
    <w:p w14:paraId="4B5F9AF2">
      <w:pPr>
        <w:pStyle w:val="14"/>
        <w:rPr>
          <w:rFonts w:ascii="仿宋" w:hAnsi="仿宋" w:eastAsia="仿宋" w:cs="仿宋"/>
        </w:rPr>
      </w:pPr>
      <w:r>
        <w:rPr>
          <w:rFonts w:hint="eastAsia" w:ascii="仿宋" w:hAnsi="仿宋" w:eastAsia="仿宋" w:cs="仿宋"/>
        </w:rPr>
        <w:t>项目预算：96万元，向驻人保大厦约960名员工提供每人每季度至少4次衣物的洗涤服务。</w:t>
      </w:r>
    </w:p>
    <w:p w14:paraId="7BD89605">
      <w:pPr>
        <w:pStyle w:val="14"/>
        <w:rPr>
          <w:rFonts w:ascii="仿宋" w:hAnsi="仿宋" w:eastAsia="仿宋" w:cs="仿宋"/>
        </w:rPr>
      </w:pPr>
      <w:r>
        <w:rPr>
          <w:rFonts w:hint="eastAsia" w:ascii="仿宋" w:hAnsi="仿宋" w:eastAsia="仿宋" w:cs="仿宋"/>
        </w:rPr>
        <w:t>二、采购内容</w:t>
      </w:r>
    </w:p>
    <w:p w14:paraId="67779082">
      <w:pPr>
        <w:pStyle w:val="14"/>
        <w:rPr>
          <w:rFonts w:ascii="仿宋" w:hAnsi="仿宋" w:eastAsia="仿宋" w:cs="仿宋"/>
        </w:rPr>
      </w:pPr>
      <w:r>
        <w:rPr>
          <w:rFonts w:hint="eastAsia" w:ascii="仿宋" w:hAnsi="仿宋" w:eastAsia="仿宋" w:cs="仿宋"/>
        </w:rPr>
        <w:t>本项目选定1家供应商，为我公司提供周期为1年的洗衣服务。</w:t>
      </w:r>
    </w:p>
    <w:p w14:paraId="7C8D8D9B">
      <w:pPr>
        <w:pStyle w:val="14"/>
        <w:rPr>
          <w:rFonts w:ascii="仿宋" w:hAnsi="仿宋" w:eastAsia="仿宋" w:cs="仿宋"/>
        </w:rPr>
      </w:pPr>
      <w:r>
        <w:rPr>
          <w:rFonts w:hint="eastAsia" w:ascii="仿宋" w:hAnsi="仿宋" w:eastAsia="仿宋" w:cs="仿宋"/>
        </w:rPr>
        <w:t>三、服务内容要求</w:t>
      </w:r>
    </w:p>
    <w:p w14:paraId="3C0A5A12">
      <w:pPr>
        <w:pStyle w:val="14"/>
        <w:rPr>
          <w:rFonts w:ascii="仿宋" w:hAnsi="仿宋" w:eastAsia="仿宋" w:cs="仿宋"/>
        </w:rPr>
      </w:pPr>
      <w:r>
        <w:rPr>
          <w:rFonts w:hint="eastAsia" w:ascii="仿宋" w:hAnsi="仿宋" w:eastAsia="仿宋" w:cs="仿宋"/>
        </w:rPr>
        <w:t>（一）洗涤服务：向960位员工提供每人每季度至少4次衣物的洗涤服务（具体</w:t>
      </w:r>
      <w:r>
        <w:rPr>
          <w:rFonts w:ascii="仿宋" w:hAnsi="仿宋" w:eastAsia="仿宋" w:cs="仿宋"/>
        </w:rPr>
        <w:t>服务次数及洗衣数量</w:t>
      </w:r>
      <w:r>
        <w:rPr>
          <w:rFonts w:hint="eastAsia" w:ascii="仿宋" w:hAnsi="仿宋" w:eastAsia="仿宋" w:cs="仿宋"/>
        </w:rPr>
        <w:t>以每季度实际发生为准）。</w:t>
      </w:r>
    </w:p>
    <w:p w14:paraId="0A16EFC2">
      <w:pPr>
        <w:pStyle w:val="14"/>
        <w:rPr>
          <w:rFonts w:ascii="仿宋" w:hAnsi="仿宋" w:eastAsia="仿宋" w:cs="仿宋"/>
        </w:rPr>
      </w:pPr>
      <w:r>
        <w:rPr>
          <w:rFonts w:hint="eastAsia" w:ascii="仿宋" w:hAnsi="仿宋" w:eastAsia="仿宋" w:cs="仿宋"/>
        </w:rPr>
        <w:t>1、服务质量要求</w:t>
      </w:r>
    </w:p>
    <w:p w14:paraId="161D2038">
      <w:pPr>
        <w:pStyle w:val="14"/>
        <w:rPr>
          <w:rFonts w:ascii="仿宋" w:hAnsi="仿宋" w:eastAsia="仿宋" w:cs="仿宋"/>
        </w:rPr>
      </w:pPr>
      <w:r>
        <w:rPr>
          <w:rFonts w:hint="eastAsia" w:ascii="仿宋" w:hAnsi="仿宋" w:eastAsia="仿宋" w:cs="仿宋"/>
        </w:rPr>
        <w:t>一是衣物洗涤后需达到国家、行业洗涤标准要求，不能破损或染色等；二是收送衣物需及时，如有特殊情况不能按时到达应提前1小时说明情况；三是普通衣物自收取当日起3天内可以取货；四是特殊要求需下单后24小时内送回，不加收加急费；五是经营者应对洗涤机器、洗衣用料的品牌、洗涤原料严格把关，选择有合格证明、标识齐全的产品；六是严格按照洗涤程序对洗涤用品进行分类清洗，保证甲方送洗衣物洗后干净、卫生、平整、手感柔软、不变色、不变形、无褪色、无皱巴和毁损；熨烫保证平整，无死擢，衣物熨烫后不发亮，熨烫后保证衣型；洗过的物品干净、整洁，无污渍；洗后衣物卫生指标符合卫生检测标准，并保证洗后衣物中的残留度对人体无害。高档皮草、名贵衣服采用行业最恰当干洗机洗涤，保证洗涤质量。</w:t>
      </w:r>
    </w:p>
    <w:p w14:paraId="56B7BA16">
      <w:pPr>
        <w:pStyle w:val="14"/>
        <w:rPr>
          <w:rFonts w:ascii="仿宋" w:hAnsi="仿宋" w:eastAsia="仿宋" w:cs="仿宋"/>
        </w:rPr>
      </w:pPr>
      <w:r>
        <w:rPr>
          <w:rFonts w:hint="eastAsia" w:ascii="仿宋" w:hAnsi="仿宋" w:eastAsia="仿宋" w:cs="仿宋"/>
        </w:rPr>
        <w:t>2、服务供应安排</w:t>
      </w:r>
    </w:p>
    <w:p w14:paraId="0100E378">
      <w:pPr>
        <w:pStyle w:val="14"/>
        <w:rPr>
          <w:rFonts w:ascii="仿宋" w:hAnsi="仿宋" w:eastAsia="仿宋" w:cs="仿宋"/>
        </w:rPr>
      </w:pPr>
      <w:r>
        <w:rPr>
          <w:rFonts w:hint="eastAsia" w:ascii="仿宋" w:hAnsi="仿宋" w:eastAsia="仿宋" w:cs="仿宋"/>
        </w:rPr>
        <w:t>人员计划：乙方安排2-3名最具有取送经验员工专门负责本项目的上门取送服务。门店安排专职服务人员服务于本项目的洗衣和物品兑换工作，每个门店安排一人负责，车间安排3-4名具有国家资质技术人员洗涤本单位衣物，公司抽调客服经理1名，客服主管2名，专门协调取送、门店、车间的各项的工作。</w:t>
      </w:r>
    </w:p>
    <w:p w14:paraId="0CCD8AED">
      <w:pPr>
        <w:pStyle w:val="14"/>
        <w:rPr>
          <w:rFonts w:ascii="仿宋" w:hAnsi="仿宋" w:eastAsia="仿宋" w:cs="仿宋"/>
        </w:rPr>
      </w:pPr>
      <w:r>
        <w:rPr>
          <w:rFonts w:hint="eastAsia" w:ascii="仿宋" w:hAnsi="仿宋" w:eastAsia="仿宋" w:cs="仿宋"/>
        </w:rPr>
        <w:t xml:space="preserve">车辆计划：乙方安排1-2台车辆服务于甲方的本合同项目，保证准时准点的提供服务。 </w:t>
      </w:r>
    </w:p>
    <w:p w14:paraId="143301EE">
      <w:pPr>
        <w:pStyle w:val="14"/>
        <w:rPr>
          <w:rFonts w:ascii="仿宋" w:hAnsi="仿宋" w:eastAsia="仿宋" w:cs="仿宋"/>
        </w:rPr>
      </w:pPr>
      <w:r>
        <w:rPr>
          <w:rFonts w:hint="eastAsia" w:ascii="仿宋" w:hAnsi="仿宋" w:eastAsia="仿宋" w:cs="仿宋"/>
        </w:rPr>
        <w:t>设备计划：乙方在现有门店设备的基础上，将目前最先进的干洗机、水洗、烘干及熨烫设备用于甲方的洗衣服务，保证能按时完成甲方的洗涤工作。</w:t>
      </w:r>
    </w:p>
    <w:p w14:paraId="144494AD">
      <w:pPr>
        <w:pStyle w:val="14"/>
        <w:rPr>
          <w:rFonts w:ascii="仿宋" w:hAnsi="仿宋" w:eastAsia="仿宋" w:cs="仿宋"/>
        </w:rPr>
      </w:pPr>
      <w:r>
        <w:rPr>
          <w:rFonts w:hint="eastAsia" w:ascii="仿宋" w:hAnsi="仿宋" w:eastAsia="仿宋" w:cs="仿宋"/>
        </w:rPr>
        <w:t>3、售后服务要求</w:t>
      </w:r>
    </w:p>
    <w:p w14:paraId="3A10E6E7">
      <w:pPr>
        <w:pStyle w:val="14"/>
        <w:rPr>
          <w:rFonts w:ascii="仿宋" w:hAnsi="仿宋" w:eastAsia="仿宋" w:cs="仿宋"/>
        </w:rPr>
      </w:pPr>
      <w:r>
        <w:rPr>
          <w:rFonts w:hint="eastAsia" w:ascii="仿宋" w:hAnsi="仿宋" w:eastAsia="仿宋" w:cs="仿宋"/>
        </w:rPr>
        <w:t>一是如分公司有需要打印消费明细的，供应商应及时准确提供相应消费记录。二是现场交收验货，衣物经洗涤后未能达到洗涤标准的，经营者应给与免费返工，返工一次仍未达到质量要求的，经营者应退还洗涤费给员工（洗衣前已声明不能去除或只能尽量去除的污渍除外），如果供应商导致员工衣物损毁或丢失的，应予以赔偿，赔偿的标准参照《广东省洗衣洗涤行业消费争议解决办法》。</w:t>
      </w:r>
    </w:p>
    <w:p w14:paraId="76F0052F">
      <w:pPr>
        <w:pStyle w:val="14"/>
        <w:rPr>
          <w:rFonts w:ascii="仿宋" w:hAnsi="仿宋" w:eastAsia="仿宋" w:cs="仿宋"/>
        </w:rPr>
      </w:pPr>
      <w:r>
        <w:rPr>
          <w:rFonts w:hint="eastAsia" w:ascii="仿宋" w:hAnsi="仿宋" w:eastAsia="仿宋" w:cs="仿宋"/>
        </w:rPr>
        <w:t>三是如接到员工投诉，上门服务频次不足、服务时效响应时限未按承诺时限响应等，每次扣罚乙方100元（大写：人名币壹佰元整），在每月结算金额中扣除。</w:t>
      </w:r>
    </w:p>
    <w:p w14:paraId="4DF66B43">
      <w:pPr>
        <w:pStyle w:val="14"/>
        <w:rPr>
          <w:rFonts w:ascii="仿宋" w:hAnsi="仿宋" w:eastAsia="仿宋" w:cs="仿宋"/>
          <w:lang w:val="zh-CN"/>
        </w:rPr>
      </w:pPr>
      <w:r>
        <w:rPr>
          <w:rFonts w:hint="eastAsia" w:ascii="仿宋" w:hAnsi="仿宋" w:eastAsia="仿宋" w:cs="仿宋"/>
        </w:rPr>
        <w:t>（二）定期与不定期收送服务：公司员工自行到供应商门店收送洗涤衣物，另外供应商每周挑选3个工作日派专人到招标人指定办公地点进行上门收、送衣物服务。</w:t>
      </w:r>
      <w:r>
        <w:rPr>
          <w:rFonts w:hint="eastAsia" w:ascii="仿宋" w:hAnsi="仿宋" w:eastAsia="仿宋" w:cs="仿宋"/>
          <w:lang w:val="zh-CN"/>
        </w:rPr>
        <w:t>四、验收/考核标准及付款安排</w:t>
      </w:r>
    </w:p>
    <w:p w14:paraId="218173E4">
      <w:pPr>
        <w:pStyle w:val="14"/>
        <w:rPr>
          <w:rFonts w:ascii="仿宋" w:hAnsi="仿宋" w:eastAsia="仿宋" w:cs="仿宋"/>
        </w:rPr>
      </w:pPr>
      <w:r>
        <w:rPr>
          <w:rFonts w:hint="eastAsia" w:ascii="仿宋" w:hAnsi="仿宋" w:eastAsia="仿宋" w:cs="仿宋"/>
        </w:rPr>
        <w:t>（一）验收/考核标准</w:t>
      </w:r>
    </w:p>
    <w:p w14:paraId="463EECFE">
      <w:pPr>
        <w:pStyle w:val="14"/>
        <w:rPr>
          <w:rFonts w:ascii="仿宋" w:hAnsi="仿宋" w:eastAsia="仿宋" w:cs="仿宋"/>
        </w:rPr>
      </w:pPr>
      <w:r>
        <w:rPr>
          <w:rFonts w:hint="eastAsia" w:ascii="仿宋" w:hAnsi="仿宋" w:eastAsia="仿宋" w:cs="仿宋"/>
        </w:rPr>
        <w:t>考核办法参照如以下标准（验收标准）：</w:t>
      </w:r>
    </w:p>
    <w:tbl>
      <w:tblPr>
        <w:tblStyle w:val="33"/>
        <w:tblW w:w="0" w:type="auto"/>
        <w:tblInd w:w="0" w:type="dxa"/>
        <w:tblLayout w:type="autofit"/>
        <w:tblCellMar>
          <w:top w:w="0" w:type="dxa"/>
          <w:left w:w="108" w:type="dxa"/>
          <w:bottom w:w="0" w:type="dxa"/>
          <w:right w:w="108" w:type="dxa"/>
        </w:tblCellMar>
      </w:tblPr>
      <w:tblGrid>
        <w:gridCol w:w="3359"/>
        <w:gridCol w:w="6495"/>
      </w:tblGrid>
      <w:tr w14:paraId="094B93B4">
        <w:tblPrEx>
          <w:tblCellMar>
            <w:top w:w="0" w:type="dxa"/>
            <w:left w:w="108" w:type="dxa"/>
            <w:bottom w:w="0" w:type="dxa"/>
            <w:right w:w="108" w:type="dxa"/>
          </w:tblCellMar>
        </w:tblPrEx>
        <w:trPr>
          <w:trHeight w:val="90"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70B6F6BC">
            <w:pPr>
              <w:pStyle w:val="14"/>
              <w:rPr>
                <w:rFonts w:ascii="仿宋" w:hAnsi="仿宋" w:eastAsia="仿宋" w:cs="仿宋"/>
              </w:rPr>
            </w:pPr>
            <w:r>
              <w:rPr>
                <w:rFonts w:hint="eastAsia" w:ascii="仿宋" w:hAnsi="仿宋" w:eastAsia="仿宋" w:cs="仿宋"/>
              </w:rPr>
              <w:t>1.返洗率（以甲乙方双日常交接三联单数据为准）</w:t>
            </w:r>
          </w:p>
        </w:tc>
      </w:tr>
      <w:tr w14:paraId="132407E8">
        <w:tblPrEx>
          <w:tblCellMar>
            <w:top w:w="0" w:type="dxa"/>
            <w:left w:w="108" w:type="dxa"/>
            <w:bottom w:w="0" w:type="dxa"/>
            <w:right w:w="108" w:type="dxa"/>
          </w:tblCellMar>
        </w:tblPrEx>
        <w:trPr>
          <w:trHeight w:val="115"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059C6BB">
            <w:pPr>
              <w:pStyle w:val="14"/>
              <w:rPr>
                <w:rFonts w:ascii="仿宋" w:hAnsi="仿宋" w:eastAsia="仿宋" w:cs="仿宋"/>
              </w:rPr>
            </w:pPr>
            <w:r>
              <w:rPr>
                <w:rFonts w:hint="eastAsia" w:ascii="仿宋" w:hAnsi="仿宋" w:eastAsia="仿宋" w:cs="仿宋"/>
              </w:rPr>
              <w:t>范围</w:t>
            </w:r>
          </w:p>
        </w:tc>
        <w:tc>
          <w:tcPr>
            <w:tcW w:w="0" w:type="auto"/>
            <w:tcBorders>
              <w:top w:val="single" w:color="000000" w:sz="4" w:space="0"/>
              <w:left w:val="single" w:color="000000" w:sz="4" w:space="0"/>
              <w:bottom w:val="single" w:color="000000" w:sz="4" w:space="0"/>
              <w:right w:val="single" w:color="000000" w:sz="4" w:space="0"/>
            </w:tcBorders>
            <w:vAlign w:val="center"/>
          </w:tcPr>
          <w:p w14:paraId="2962A94D">
            <w:pPr>
              <w:pStyle w:val="14"/>
              <w:rPr>
                <w:rFonts w:ascii="仿宋" w:hAnsi="仿宋" w:eastAsia="仿宋" w:cs="仿宋"/>
              </w:rPr>
            </w:pPr>
            <w:r>
              <w:rPr>
                <w:rFonts w:hint="eastAsia" w:ascii="仿宋" w:hAnsi="仿宋" w:eastAsia="仿宋" w:cs="仿宋"/>
              </w:rPr>
              <w:t>甲方权利</w:t>
            </w:r>
          </w:p>
        </w:tc>
      </w:tr>
      <w:tr w14:paraId="0C1C93FA">
        <w:tblPrEx>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DBD3BBF">
            <w:pPr>
              <w:pStyle w:val="14"/>
              <w:rPr>
                <w:rFonts w:ascii="仿宋" w:hAnsi="仿宋" w:eastAsia="仿宋" w:cs="仿宋"/>
              </w:rPr>
            </w:pPr>
            <w:r>
              <w:rPr>
                <w:rFonts w:hint="eastAsia" w:ascii="仿宋" w:hAnsi="仿宋" w:eastAsia="仿宋" w:cs="仿宋"/>
              </w:rPr>
              <w:t>0≤返洗率≤3％</w:t>
            </w:r>
          </w:p>
        </w:tc>
        <w:tc>
          <w:tcPr>
            <w:tcW w:w="0" w:type="auto"/>
            <w:tcBorders>
              <w:top w:val="single" w:color="000000" w:sz="4" w:space="0"/>
              <w:left w:val="single" w:color="000000" w:sz="4" w:space="0"/>
              <w:bottom w:val="single" w:color="000000" w:sz="4" w:space="0"/>
              <w:right w:val="single" w:color="000000" w:sz="4" w:space="0"/>
            </w:tcBorders>
            <w:vAlign w:val="center"/>
          </w:tcPr>
          <w:p w14:paraId="276D9C87">
            <w:pPr>
              <w:pStyle w:val="14"/>
              <w:rPr>
                <w:rFonts w:ascii="仿宋" w:hAnsi="仿宋" w:eastAsia="仿宋" w:cs="仿宋"/>
              </w:rPr>
            </w:pPr>
            <w:r>
              <w:rPr>
                <w:rFonts w:hint="eastAsia" w:ascii="仿宋" w:hAnsi="仿宋" w:eastAsia="仿宋" w:cs="仿宋"/>
              </w:rPr>
              <w:t>达标</w:t>
            </w:r>
          </w:p>
        </w:tc>
      </w:tr>
      <w:tr w14:paraId="00563261">
        <w:tblPrEx>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1723E88">
            <w:pPr>
              <w:pStyle w:val="14"/>
              <w:rPr>
                <w:rFonts w:ascii="仿宋" w:hAnsi="仿宋" w:eastAsia="仿宋" w:cs="仿宋"/>
              </w:rPr>
            </w:pPr>
            <w:r>
              <w:rPr>
                <w:rFonts w:hint="eastAsia" w:ascii="仿宋" w:hAnsi="仿宋" w:eastAsia="仿宋" w:cs="仿宋"/>
              </w:rPr>
              <w:t>3％&lt;返洗率&lt;5％</w:t>
            </w:r>
          </w:p>
        </w:tc>
        <w:tc>
          <w:tcPr>
            <w:tcW w:w="0" w:type="auto"/>
            <w:tcBorders>
              <w:top w:val="single" w:color="000000" w:sz="4" w:space="0"/>
              <w:left w:val="single" w:color="000000" w:sz="4" w:space="0"/>
              <w:bottom w:val="single" w:color="000000" w:sz="4" w:space="0"/>
              <w:right w:val="single" w:color="000000" w:sz="4" w:space="0"/>
            </w:tcBorders>
            <w:vAlign w:val="center"/>
          </w:tcPr>
          <w:p w14:paraId="559B4FBE">
            <w:pPr>
              <w:pStyle w:val="14"/>
              <w:rPr>
                <w:rFonts w:ascii="仿宋" w:hAnsi="仿宋" w:eastAsia="仿宋" w:cs="仿宋"/>
              </w:rPr>
            </w:pPr>
            <w:r>
              <w:rPr>
                <w:rFonts w:hint="eastAsia" w:ascii="仿宋" w:hAnsi="仿宋" w:eastAsia="仿宋" w:cs="仿宋"/>
              </w:rPr>
              <w:t>督促改进</w:t>
            </w:r>
          </w:p>
        </w:tc>
      </w:tr>
      <w:tr w14:paraId="69434809">
        <w:tblPrEx>
          <w:tblCellMar>
            <w:top w:w="0" w:type="dxa"/>
            <w:left w:w="108" w:type="dxa"/>
            <w:bottom w:w="0" w:type="dxa"/>
            <w:right w:w="108" w:type="dxa"/>
          </w:tblCellMar>
        </w:tblPrEx>
        <w:trPr>
          <w:trHeight w:val="516"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DB93061">
            <w:pPr>
              <w:pStyle w:val="14"/>
              <w:rPr>
                <w:rFonts w:ascii="仿宋" w:hAnsi="仿宋" w:eastAsia="仿宋" w:cs="仿宋"/>
              </w:rPr>
            </w:pPr>
            <w:r>
              <w:rPr>
                <w:rFonts w:hint="eastAsia" w:ascii="仿宋" w:hAnsi="仿宋" w:eastAsia="仿宋" w:cs="仿宋"/>
              </w:rPr>
              <w:t>5％≤返洗率&lt;7％</w:t>
            </w:r>
          </w:p>
        </w:tc>
        <w:tc>
          <w:tcPr>
            <w:tcW w:w="0" w:type="auto"/>
            <w:tcBorders>
              <w:top w:val="single" w:color="000000" w:sz="4" w:space="0"/>
              <w:left w:val="single" w:color="000000" w:sz="4" w:space="0"/>
              <w:bottom w:val="single" w:color="000000" w:sz="4" w:space="0"/>
              <w:right w:val="single" w:color="000000" w:sz="4" w:space="0"/>
            </w:tcBorders>
            <w:vAlign w:val="center"/>
          </w:tcPr>
          <w:p w14:paraId="13D31FAD">
            <w:pPr>
              <w:pStyle w:val="14"/>
              <w:rPr>
                <w:rFonts w:ascii="仿宋" w:hAnsi="仿宋" w:eastAsia="仿宋" w:cs="仿宋"/>
              </w:rPr>
            </w:pPr>
            <w:r>
              <w:rPr>
                <w:rFonts w:hint="eastAsia" w:ascii="仿宋" w:hAnsi="仿宋" w:eastAsia="仿宋" w:cs="仿宋"/>
              </w:rPr>
              <w:t>督促改进</w:t>
            </w:r>
          </w:p>
        </w:tc>
      </w:tr>
      <w:tr w14:paraId="28AAF9E5">
        <w:tblPrEx>
          <w:tblCellMar>
            <w:top w:w="0" w:type="dxa"/>
            <w:left w:w="108" w:type="dxa"/>
            <w:bottom w:w="0" w:type="dxa"/>
            <w:right w:w="108" w:type="dxa"/>
          </w:tblCellMar>
        </w:tblPrEx>
        <w:trPr>
          <w:trHeight w:val="516"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F9044F4">
            <w:pPr>
              <w:pStyle w:val="14"/>
              <w:rPr>
                <w:rFonts w:ascii="仿宋" w:hAnsi="仿宋" w:eastAsia="仿宋" w:cs="仿宋"/>
              </w:rPr>
            </w:pPr>
            <w:r>
              <w:rPr>
                <w:rFonts w:hint="eastAsia" w:ascii="仿宋" w:hAnsi="仿宋" w:eastAsia="仿宋" w:cs="仿宋"/>
              </w:rPr>
              <w:t>7％≤返洗率&lt;9％</w:t>
            </w:r>
          </w:p>
        </w:tc>
        <w:tc>
          <w:tcPr>
            <w:tcW w:w="0" w:type="auto"/>
            <w:tcBorders>
              <w:top w:val="single" w:color="000000" w:sz="4" w:space="0"/>
              <w:left w:val="single" w:color="000000" w:sz="4" w:space="0"/>
              <w:bottom w:val="single" w:color="000000" w:sz="4" w:space="0"/>
              <w:right w:val="single" w:color="000000" w:sz="4" w:space="0"/>
            </w:tcBorders>
            <w:vAlign w:val="center"/>
          </w:tcPr>
          <w:p w14:paraId="301ADD3B">
            <w:pPr>
              <w:pStyle w:val="14"/>
              <w:rPr>
                <w:rFonts w:ascii="仿宋" w:hAnsi="仿宋" w:eastAsia="仿宋" w:cs="仿宋"/>
              </w:rPr>
            </w:pPr>
            <w:r>
              <w:rPr>
                <w:rFonts w:hint="eastAsia" w:ascii="仿宋" w:hAnsi="仿宋" w:eastAsia="仿宋" w:cs="仿宋"/>
              </w:rPr>
              <w:t>甲方有权停止合作</w:t>
            </w:r>
          </w:p>
        </w:tc>
      </w:tr>
      <w:tr w14:paraId="7AE6A9FE">
        <w:tblPrEx>
          <w:tblCellMar>
            <w:top w:w="0" w:type="dxa"/>
            <w:left w:w="108" w:type="dxa"/>
            <w:bottom w:w="0" w:type="dxa"/>
            <w:right w:w="108" w:type="dxa"/>
          </w:tblCellMar>
        </w:tblPrEx>
        <w:trPr>
          <w:trHeight w:val="516"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6E2FD8C">
            <w:pPr>
              <w:pStyle w:val="14"/>
              <w:rPr>
                <w:rFonts w:ascii="仿宋" w:hAnsi="仿宋" w:eastAsia="仿宋" w:cs="仿宋"/>
              </w:rPr>
            </w:pPr>
            <w:r>
              <w:rPr>
                <w:rFonts w:hint="eastAsia" w:ascii="仿宋" w:hAnsi="仿宋" w:eastAsia="仿宋" w:cs="仿宋"/>
              </w:rPr>
              <w:t>9％≤返洗率</w:t>
            </w:r>
          </w:p>
        </w:tc>
        <w:tc>
          <w:tcPr>
            <w:tcW w:w="0" w:type="auto"/>
            <w:tcBorders>
              <w:top w:val="single" w:color="000000" w:sz="4" w:space="0"/>
              <w:left w:val="single" w:color="000000" w:sz="4" w:space="0"/>
              <w:bottom w:val="single" w:color="000000" w:sz="4" w:space="0"/>
              <w:right w:val="single" w:color="000000" w:sz="4" w:space="0"/>
            </w:tcBorders>
            <w:vAlign w:val="center"/>
          </w:tcPr>
          <w:p w14:paraId="3EB3004F">
            <w:pPr>
              <w:pStyle w:val="14"/>
              <w:rPr>
                <w:rFonts w:ascii="仿宋" w:hAnsi="仿宋" w:eastAsia="仿宋" w:cs="仿宋"/>
              </w:rPr>
            </w:pPr>
            <w:r>
              <w:rPr>
                <w:rFonts w:hint="eastAsia" w:ascii="仿宋" w:hAnsi="仿宋" w:eastAsia="仿宋" w:cs="仿宋"/>
              </w:rPr>
              <w:t>甲方有权停止合作</w:t>
            </w:r>
          </w:p>
        </w:tc>
      </w:tr>
      <w:tr w14:paraId="18946A2C">
        <w:tblPrEx>
          <w:tblCellMar>
            <w:top w:w="0" w:type="dxa"/>
            <w:left w:w="108" w:type="dxa"/>
            <w:bottom w:w="0" w:type="dxa"/>
            <w:right w:w="108" w:type="dxa"/>
          </w:tblCellMar>
        </w:tblPrEx>
        <w:trPr>
          <w:trHeight w:val="1022"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3904E67A">
            <w:pPr>
              <w:pStyle w:val="14"/>
              <w:rPr>
                <w:rFonts w:ascii="仿宋" w:hAnsi="仿宋" w:eastAsia="仿宋" w:cs="仿宋"/>
              </w:rPr>
            </w:pPr>
            <w:r>
              <w:rPr>
                <w:rFonts w:hint="eastAsia" w:ascii="仿宋" w:hAnsi="仿宋" w:eastAsia="仿宋" w:cs="仿宋"/>
              </w:rPr>
              <w:t>2.送回率（送回时间不得超过72小时（包括特殊处理及返洗）清洗时效定义：从货品出库-返回收货</w:t>
            </w:r>
          </w:p>
        </w:tc>
      </w:tr>
      <w:tr w14:paraId="019E5999">
        <w:tblPrEx>
          <w:tblCellMar>
            <w:top w:w="0" w:type="dxa"/>
            <w:left w:w="108" w:type="dxa"/>
            <w:bottom w:w="0" w:type="dxa"/>
            <w:right w:w="108" w:type="dxa"/>
          </w:tblCellMar>
        </w:tblPrEx>
        <w:trPr>
          <w:trHeight w:val="516"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EEB8A33">
            <w:pPr>
              <w:pStyle w:val="14"/>
              <w:rPr>
                <w:rFonts w:ascii="仿宋" w:hAnsi="仿宋" w:eastAsia="仿宋" w:cs="仿宋"/>
              </w:rPr>
            </w:pPr>
            <w:r>
              <w:rPr>
                <w:rFonts w:hint="eastAsia" w:ascii="仿宋" w:hAnsi="仿宋" w:eastAsia="仿宋" w:cs="仿宋"/>
              </w:rPr>
              <w:t>时效考核</w:t>
            </w:r>
          </w:p>
        </w:tc>
        <w:tc>
          <w:tcPr>
            <w:tcW w:w="0" w:type="auto"/>
            <w:tcBorders>
              <w:top w:val="single" w:color="000000" w:sz="4" w:space="0"/>
              <w:left w:val="single" w:color="000000" w:sz="4" w:space="0"/>
              <w:bottom w:val="single" w:color="000000" w:sz="4" w:space="0"/>
              <w:right w:val="single" w:color="000000" w:sz="4" w:space="0"/>
            </w:tcBorders>
            <w:vAlign w:val="center"/>
          </w:tcPr>
          <w:p w14:paraId="4215F671">
            <w:pPr>
              <w:pStyle w:val="14"/>
              <w:rPr>
                <w:rFonts w:ascii="仿宋" w:hAnsi="仿宋" w:eastAsia="仿宋" w:cs="仿宋"/>
              </w:rPr>
            </w:pPr>
            <w:r>
              <w:rPr>
                <w:rFonts w:hint="eastAsia" w:ascii="仿宋" w:hAnsi="仿宋" w:eastAsia="仿宋" w:cs="仿宋"/>
              </w:rPr>
              <w:t>甲方权利</w:t>
            </w:r>
          </w:p>
        </w:tc>
      </w:tr>
      <w:tr w14:paraId="159B0D5C">
        <w:tblPrEx>
          <w:tblCellMar>
            <w:top w:w="0" w:type="dxa"/>
            <w:left w:w="108" w:type="dxa"/>
            <w:bottom w:w="0" w:type="dxa"/>
            <w:right w:w="108" w:type="dxa"/>
          </w:tblCellMar>
        </w:tblPrEx>
        <w:trPr>
          <w:trHeight w:val="516"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74CA395">
            <w:pPr>
              <w:pStyle w:val="14"/>
              <w:rPr>
                <w:rFonts w:ascii="仿宋" w:hAnsi="仿宋" w:eastAsia="仿宋" w:cs="仿宋"/>
              </w:rPr>
            </w:pPr>
            <w:r>
              <w:rPr>
                <w:rFonts w:hint="eastAsia" w:ascii="仿宋" w:hAnsi="仿宋" w:eastAsia="仿宋" w:cs="仿宋"/>
              </w:rPr>
              <w:t>48小时内未送回</w:t>
            </w:r>
          </w:p>
        </w:tc>
        <w:tc>
          <w:tcPr>
            <w:tcW w:w="0" w:type="auto"/>
            <w:tcBorders>
              <w:top w:val="single" w:color="000000" w:sz="4" w:space="0"/>
              <w:left w:val="single" w:color="000000" w:sz="4" w:space="0"/>
              <w:bottom w:val="single" w:color="000000" w:sz="4" w:space="0"/>
              <w:right w:val="single" w:color="000000" w:sz="4" w:space="0"/>
            </w:tcBorders>
            <w:vAlign w:val="center"/>
          </w:tcPr>
          <w:p w14:paraId="39445F92">
            <w:pPr>
              <w:pStyle w:val="14"/>
              <w:rPr>
                <w:rFonts w:ascii="仿宋" w:hAnsi="仿宋" w:eastAsia="仿宋" w:cs="仿宋"/>
              </w:rPr>
            </w:pPr>
            <w:r>
              <w:rPr>
                <w:rFonts w:hint="eastAsia" w:ascii="仿宋" w:hAnsi="仿宋" w:eastAsia="仿宋" w:cs="仿宋"/>
              </w:rPr>
              <w:t>督促改进</w:t>
            </w:r>
          </w:p>
        </w:tc>
      </w:tr>
      <w:tr w14:paraId="1FBE18A7">
        <w:tblPrEx>
          <w:tblCellMar>
            <w:top w:w="0" w:type="dxa"/>
            <w:left w:w="108" w:type="dxa"/>
            <w:bottom w:w="0" w:type="dxa"/>
            <w:right w:w="108" w:type="dxa"/>
          </w:tblCellMar>
        </w:tblPrEx>
        <w:trPr>
          <w:trHeight w:val="516"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A187D8C">
            <w:pPr>
              <w:pStyle w:val="14"/>
              <w:rPr>
                <w:rFonts w:ascii="仿宋" w:hAnsi="仿宋" w:eastAsia="仿宋" w:cs="仿宋"/>
              </w:rPr>
            </w:pPr>
            <w:r>
              <w:rPr>
                <w:rFonts w:hint="eastAsia" w:ascii="仿宋" w:hAnsi="仿宋" w:eastAsia="仿宋" w:cs="仿宋"/>
              </w:rPr>
              <w:t>72小时内未送回</w:t>
            </w:r>
          </w:p>
        </w:tc>
        <w:tc>
          <w:tcPr>
            <w:tcW w:w="0" w:type="auto"/>
            <w:tcBorders>
              <w:top w:val="single" w:color="000000" w:sz="4" w:space="0"/>
              <w:left w:val="single" w:color="000000" w:sz="4" w:space="0"/>
              <w:bottom w:val="single" w:color="000000" w:sz="4" w:space="0"/>
              <w:right w:val="single" w:color="000000" w:sz="4" w:space="0"/>
            </w:tcBorders>
            <w:vAlign w:val="center"/>
          </w:tcPr>
          <w:p w14:paraId="31C407DE">
            <w:pPr>
              <w:pStyle w:val="14"/>
              <w:rPr>
                <w:rFonts w:ascii="仿宋" w:hAnsi="仿宋" w:eastAsia="仿宋" w:cs="仿宋"/>
              </w:rPr>
            </w:pPr>
            <w:r>
              <w:rPr>
                <w:rFonts w:hint="eastAsia" w:ascii="仿宋" w:hAnsi="仿宋" w:eastAsia="仿宋" w:cs="仿宋"/>
              </w:rPr>
              <w:t>督促改进</w:t>
            </w:r>
          </w:p>
        </w:tc>
      </w:tr>
      <w:tr w14:paraId="11C86B92">
        <w:tblPrEx>
          <w:tblCellMar>
            <w:top w:w="0" w:type="dxa"/>
            <w:left w:w="108" w:type="dxa"/>
            <w:bottom w:w="0" w:type="dxa"/>
            <w:right w:w="108" w:type="dxa"/>
          </w:tblCellMar>
        </w:tblPrEx>
        <w:trPr>
          <w:trHeight w:val="516"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00C6335">
            <w:pPr>
              <w:pStyle w:val="14"/>
              <w:rPr>
                <w:rFonts w:ascii="仿宋" w:hAnsi="仿宋" w:eastAsia="仿宋" w:cs="仿宋"/>
              </w:rPr>
            </w:pPr>
            <w:r>
              <w:rPr>
                <w:rFonts w:hint="eastAsia" w:ascii="仿宋" w:hAnsi="仿宋" w:eastAsia="仿宋" w:cs="仿宋"/>
              </w:rPr>
              <w:t>96小时内未送回</w:t>
            </w:r>
          </w:p>
        </w:tc>
        <w:tc>
          <w:tcPr>
            <w:tcW w:w="0" w:type="auto"/>
            <w:tcBorders>
              <w:top w:val="single" w:color="000000" w:sz="4" w:space="0"/>
              <w:left w:val="single" w:color="000000" w:sz="4" w:space="0"/>
              <w:bottom w:val="single" w:color="000000" w:sz="4" w:space="0"/>
              <w:right w:val="single" w:color="000000" w:sz="4" w:space="0"/>
            </w:tcBorders>
            <w:vAlign w:val="center"/>
          </w:tcPr>
          <w:p w14:paraId="403338B9">
            <w:pPr>
              <w:pStyle w:val="14"/>
              <w:rPr>
                <w:rFonts w:ascii="仿宋" w:hAnsi="仿宋" w:eastAsia="仿宋" w:cs="仿宋"/>
              </w:rPr>
            </w:pPr>
            <w:r>
              <w:rPr>
                <w:rFonts w:hint="eastAsia" w:ascii="仿宋" w:hAnsi="仿宋" w:eastAsia="仿宋" w:cs="仿宋"/>
              </w:rPr>
              <w:t>警告</w:t>
            </w:r>
          </w:p>
        </w:tc>
      </w:tr>
      <w:tr w14:paraId="1225257F">
        <w:tblPrEx>
          <w:tblCellMar>
            <w:top w:w="0" w:type="dxa"/>
            <w:left w:w="108" w:type="dxa"/>
            <w:bottom w:w="0" w:type="dxa"/>
            <w:right w:w="108" w:type="dxa"/>
          </w:tblCellMar>
        </w:tblPrEx>
        <w:trPr>
          <w:trHeight w:val="516"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05D5322">
            <w:pPr>
              <w:pStyle w:val="14"/>
              <w:rPr>
                <w:rFonts w:ascii="仿宋" w:hAnsi="仿宋" w:eastAsia="仿宋" w:cs="仿宋"/>
              </w:rPr>
            </w:pPr>
            <w:r>
              <w:rPr>
                <w:rFonts w:hint="eastAsia" w:ascii="仿宋" w:hAnsi="仿宋" w:eastAsia="仿宋" w:cs="仿宋"/>
              </w:rPr>
              <w:t>96-120小时未送回</w:t>
            </w:r>
          </w:p>
        </w:tc>
        <w:tc>
          <w:tcPr>
            <w:tcW w:w="0" w:type="auto"/>
            <w:tcBorders>
              <w:top w:val="single" w:color="000000" w:sz="4" w:space="0"/>
              <w:left w:val="single" w:color="000000" w:sz="4" w:space="0"/>
              <w:bottom w:val="single" w:color="000000" w:sz="4" w:space="0"/>
              <w:right w:val="single" w:color="000000" w:sz="4" w:space="0"/>
            </w:tcBorders>
            <w:vAlign w:val="center"/>
          </w:tcPr>
          <w:p w14:paraId="236F6868">
            <w:pPr>
              <w:pStyle w:val="14"/>
              <w:rPr>
                <w:rFonts w:ascii="仿宋" w:hAnsi="仿宋" w:eastAsia="仿宋" w:cs="仿宋"/>
              </w:rPr>
            </w:pPr>
            <w:r>
              <w:rPr>
                <w:rFonts w:hint="eastAsia" w:ascii="仿宋" w:hAnsi="仿宋" w:eastAsia="仿宋" w:cs="仿宋"/>
              </w:rPr>
              <w:t>未说报备按丢失，按销售价格赔偿</w:t>
            </w:r>
          </w:p>
        </w:tc>
      </w:tr>
      <w:tr w14:paraId="6AA9CF8D">
        <w:tblPrEx>
          <w:tblCellMar>
            <w:top w:w="0" w:type="dxa"/>
            <w:left w:w="108" w:type="dxa"/>
            <w:bottom w:w="0" w:type="dxa"/>
            <w:right w:w="108" w:type="dxa"/>
          </w:tblCellMar>
        </w:tblPrEx>
        <w:trPr>
          <w:trHeight w:val="1022"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07828C3A">
            <w:pPr>
              <w:pStyle w:val="14"/>
              <w:rPr>
                <w:rFonts w:ascii="仿宋" w:hAnsi="仿宋" w:eastAsia="仿宋" w:cs="仿宋"/>
              </w:rPr>
            </w:pPr>
            <w:r>
              <w:rPr>
                <w:rFonts w:hint="eastAsia" w:ascii="仿宋" w:hAnsi="仿宋" w:eastAsia="仿宋" w:cs="仿宋"/>
              </w:rPr>
              <w:t>超过120小时未送回</w:t>
            </w:r>
          </w:p>
        </w:tc>
        <w:tc>
          <w:tcPr>
            <w:tcW w:w="0" w:type="auto"/>
            <w:tcBorders>
              <w:top w:val="single" w:color="000000" w:sz="4" w:space="0"/>
              <w:left w:val="single" w:color="000000" w:sz="4" w:space="0"/>
              <w:bottom w:val="single" w:color="000000" w:sz="4" w:space="0"/>
              <w:right w:val="single" w:color="000000" w:sz="4" w:space="0"/>
            </w:tcBorders>
            <w:vAlign w:val="center"/>
          </w:tcPr>
          <w:p w14:paraId="42171826">
            <w:pPr>
              <w:pStyle w:val="14"/>
              <w:rPr>
                <w:rFonts w:ascii="仿宋" w:hAnsi="仿宋" w:eastAsia="仿宋" w:cs="仿宋"/>
              </w:rPr>
            </w:pPr>
            <w:r>
              <w:rPr>
                <w:rFonts w:hint="eastAsia" w:ascii="仿宋" w:hAnsi="仿宋" w:eastAsia="仿宋" w:cs="仿宋"/>
              </w:rPr>
              <w:t>未说明原因按丢失，按销售价格赔偿，超10％甲方有权终止合同</w:t>
            </w:r>
          </w:p>
        </w:tc>
      </w:tr>
      <w:tr w14:paraId="3C762363">
        <w:tblPrEx>
          <w:tblCellMar>
            <w:top w:w="0" w:type="dxa"/>
            <w:left w:w="108" w:type="dxa"/>
            <w:bottom w:w="0" w:type="dxa"/>
            <w:right w:w="108" w:type="dxa"/>
          </w:tblCellMar>
        </w:tblPrEx>
        <w:trPr>
          <w:trHeight w:val="352"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3876DB3B">
            <w:pPr>
              <w:pStyle w:val="14"/>
              <w:rPr>
                <w:rFonts w:ascii="仿宋" w:hAnsi="仿宋" w:eastAsia="仿宋" w:cs="仿宋"/>
              </w:rPr>
            </w:pPr>
            <w:r>
              <w:rPr>
                <w:rFonts w:hint="eastAsia" w:ascii="仿宋" w:hAnsi="仿宋" w:eastAsia="仿宋" w:cs="仿宋"/>
              </w:rPr>
              <w:t>3.送货延迟（甲乙双方协商每日送货时间，送货时间延迟超过45分钟以上且无提前说明）</w:t>
            </w:r>
          </w:p>
        </w:tc>
      </w:tr>
      <w:tr w14:paraId="33FED631">
        <w:tblPrEx>
          <w:tblCellMar>
            <w:top w:w="0" w:type="dxa"/>
            <w:left w:w="108" w:type="dxa"/>
            <w:bottom w:w="0" w:type="dxa"/>
            <w:right w:w="108" w:type="dxa"/>
          </w:tblCellMar>
        </w:tblPrEx>
        <w:trPr>
          <w:trHeight w:val="516"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1B7FE46">
            <w:pPr>
              <w:pStyle w:val="14"/>
              <w:rPr>
                <w:rFonts w:ascii="仿宋" w:hAnsi="仿宋" w:eastAsia="仿宋" w:cs="仿宋"/>
              </w:rPr>
            </w:pPr>
            <w:r>
              <w:rPr>
                <w:rFonts w:hint="eastAsia" w:ascii="仿宋" w:hAnsi="仿宋" w:eastAsia="仿宋" w:cs="仿宋"/>
              </w:rPr>
              <w:t>迟到次数（每月按照30天计）</w:t>
            </w:r>
          </w:p>
        </w:tc>
        <w:tc>
          <w:tcPr>
            <w:tcW w:w="0" w:type="auto"/>
            <w:tcBorders>
              <w:top w:val="single" w:color="000000" w:sz="4" w:space="0"/>
              <w:left w:val="single" w:color="000000" w:sz="4" w:space="0"/>
              <w:bottom w:val="single" w:color="000000" w:sz="4" w:space="0"/>
              <w:right w:val="single" w:color="000000" w:sz="4" w:space="0"/>
            </w:tcBorders>
            <w:vAlign w:val="center"/>
          </w:tcPr>
          <w:p w14:paraId="45123D6D">
            <w:pPr>
              <w:pStyle w:val="14"/>
              <w:rPr>
                <w:rFonts w:ascii="仿宋" w:hAnsi="仿宋" w:eastAsia="仿宋" w:cs="仿宋"/>
              </w:rPr>
            </w:pPr>
            <w:r>
              <w:rPr>
                <w:rFonts w:hint="eastAsia" w:ascii="仿宋" w:hAnsi="仿宋" w:eastAsia="仿宋" w:cs="仿宋"/>
              </w:rPr>
              <w:t>甲方权利</w:t>
            </w:r>
          </w:p>
        </w:tc>
      </w:tr>
      <w:tr w14:paraId="78CAE8BF">
        <w:tblPrEx>
          <w:tblCellMar>
            <w:top w:w="0" w:type="dxa"/>
            <w:left w:w="108" w:type="dxa"/>
            <w:bottom w:w="0" w:type="dxa"/>
            <w:right w:w="108" w:type="dxa"/>
          </w:tblCellMar>
        </w:tblPrEx>
        <w:trPr>
          <w:trHeight w:val="516"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DE76784">
            <w:pPr>
              <w:pStyle w:val="14"/>
              <w:rPr>
                <w:rFonts w:ascii="仿宋" w:hAnsi="仿宋" w:eastAsia="仿宋" w:cs="仿宋"/>
              </w:rPr>
            </w:pPr>
            <w:r>
              <w:rPr>
                <w:rFonts w:hint="eastAsia" w:ascii="仿宋" w:hAnsi="仿宋" w:eastAsia="仿宋" w:cs="仿宋"/>
              </w:rPr>
              <w:t>3</w:t>
            </w:r>
          </w:p>
        </w:tc>
        <w:tc>
          <w:tcPr>
            <w:tcW w:w="0" w:type="auto"/>
            <w:tcBorders>
              <w:top w:val="single" w:color="000000" w:sz="4" w:space="0"/>
              <w:left w:val="single" w:color="000000" w:sz="4" w:space="0"/>
              <w:bottom w:val="single" w:color="000000" w:sz="4" w:space="0"/>
              <w:right w:val="single" w:color="000000" w:sz="4" w:space="0"/>
            </w:tcBorders>
            <w:vAlign w:val="center"/>
          </w:tcPr>
          <w:p w14:paraId="18BD3112">
            <w:pPr>
              <w:pStyle w:val="14"/>
              <w:rPr>
                <w:rFonts w:ascii="仿宋" w:hAnsi="仿宋" w:eastAsia="仿宋" w:cs="仿宋"/>
              </w:rPr>
            </w:pPr>
            <w:r>
              <w:rPr>
                <w:rFonts w:hint="eastAsia" w:ascii="仿宋" w:hAnsi="仿宋" w:eastAsia="仿宋" w:cs="仿宋"/>
              </w:rPr>
              <w:t>督促改进</w:t>
            </w:r>
          </w:p>
        </w:tc>
      </w:tr>
      <w:tr w14:paraId="526D7063">
        <w:tblPrEx>
          <w:tblCellMar>
            <w:top w:w="0" w:type="dxa"/>
            <w:left w:w="108" w:type="dxa"/>
            <w:bottom w:w="0" w:type="dxa"/>
            <w:right w:w="108" w:type="dxa"/>
          </w:tblCellMar>
        </w:tblPrEx>
        <w:trPr>
          <w:trHeight w:val="535"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B6C2FFD">
            <w:pPr>
              <w:pStyle w:val="14"/>
              <w:rPr>
                <w:rFonts w:ascii="仿宋" w:hAnsi="仿宋" w:eastAsia="仿宋" w:cs="仿宋"/>
              </w:rPr>
            </w:pPr>
            <w:r>
              <w:rPr>
                <w:rFonts w:hint="eastAsia" w:ascii="仿宋" w:hAnsi="仿宋" w:eastAsia="仿宋" w:cs="仿宋"/>
              </w:rPr>
              <w:t>4-10次</w:t>
            </w:r>
          </w:p>
        </w:tc>
        <w:tc>
          <w:tcPr>
            <w:tcW w:w="0" w:type="auto"/>
            <w:tcBorders>
              <w:top w:val="single" w:color="000000" w:sz="4" w:space="0"/>
              <w:left w:val="single" w:color="000000" w:sz="4" w:space="0"/>
              <w:bottom w:val="single" w:color="000000" w:sz="4" w:space="0"/>
              <w:right w:val="single" w:color="000000" w:sz="4" w:space="0"/>
            </w:tcBorders>
            <w:vAlign w:val="center"/>
          </w:tcPr>
          <w:p w14:paraId="59933673">
            <w:pPr>
              <w:pStyle w:val="14"/>
              <w:rPr>
                <w:rFonts w:ascii="仿宋" w:hAnsi="仿宋" w:eastAsia="仿宋" w:cs="仿宋"/>
              </w:rPr>
            </w:pPr>
            <w:r>
              <w:rPr>
                <w:rFonts w:hint="eastAsia" w:ascii="仿宋" w:hAnsi="仿宋" w:eastAsia="仿宋" w:cs="仿宋"/>
              </w:rPr>
              <w:t>暂时停止合作，整改</w:t>
            </w:r>
          </w:p>
        </w:tc>
      </w:tr>
      <w:tr w14:paraId="3703AF2B">
        <w:tblPrEx>
          <w:tblCellMar>
            <w:top w:w="0" w:type="dxa"/>
            <w:left w:w="108" w:type="dxa"/>
            <w:bottom w:w="0" w:type="dxa"/>
            <w:right w:w="108" w:type="dxa"/>
          </w:tblCellMar>
        </w:tblPrEx>
        <w:trPr>
          <w:trHeight w:val="516"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94BFAD4">
            <w:pPr>
              <w:pStyle w:val="14"/>
              <w:rPr>
                <w:rFonts w:ascii="仿宋" w:hAnsi="仿宋" w:eastAsia="仿宋" w:cs="仿宋"/>
              </w:rPr>
            </w:pPr>
            <w:r>
              <w:rPr>
                <w:rFonts w:hint="eastAsia" w:ascii="仿宋" w:hAnsi="仿宋" w:eastAsia="仿宋" w:cs="仿宋"/>
              </w:rPr>
              <w:t>10次以上</w:t>
            </w:r>
          </w:p>
        </w:tc>
        <w:tc>
          <w:tcPr>
            <w:tcW w:w="0" w:type="auto"/>
            <w:tcBorders>
              <w:top w:val="single" w:color="000000" w:sz="4" w:space="0"/>
              <w:left w:val="single" w:color="000000" w:sz="4" w:space="0"/>
              <w:bottom w:val="single" w:color="000000" w:sz="4" w:space="0"/>
              <w:right w:val="single" w:color="000000" w:sz="4" w:space="0"/>
            </w:tcBorders>
            <w:vAlign w:val="center"/>
          </w:tcPr>
          <w:p w14:paraId="000C9431">
            <w:pPr>
              <w:pStyle w:val="14"/>
              <w:rPr>
                <w:rFonts w:ascii="仿宋" w:hAnsi="仿宋" w:eastAsia="仿宋" w:cs="仿宋"/>
              </w:rPr>
            </w:pPr>
            <w:r>
              <w:rPr>
                <w:rFonts w:hint="eastAsia" w:ascii="仿宋" w:hAnsi="仿宋" w:eastAsia="仿宋" w:cs="仿宋"/>
              </w:rPr>
              <w:t>甲方有权停止合作</w:t>
            </w:r>
          </w:p>
        </w:tc>
      </w:tr>
      <w:tr w14:paraId="091AA548">
        <w:tblPrEx>
          <w:tblCellMar>
            <w:top w:w="0" w:type="dxa"/>
            <w:left w:w="108" w:type="dxa"/>
            <w:bottom w:w="0" w:type="dxa"/>
            <w:right w:w="108" w:type="dxa"/>
          </w:tblCellMar>
        </w:tblPrEx>
        <w:trPr>
          <w:trHeight w:val="516"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0E4F294E">
            <w:pPr>
              <w:pStyle w:val="14"/>
              <w:rPr>
                <w:rFonts w:ascii="仿宋" w:hAnsi="仿宋" w:eastAsia="仿宋" w:cs="仿宋"/>
              </w:rPr>
            </w:pPr>
            <w:r>
              <w:rPr>
                <w:rFonts w:hint="eastAsia" w:ascii="仿宋" w:hAnsi="仿宋" w:eastAsia="仿宋" w:cs="仿宋"/>
              </w:rPr>
              <w:t>4.丢失及洗涤事故处理：</w:t>
            </w:r>
          </w:p>
        </w:tc>
      </w:tr>
      <w:tr w14:paraId="12406803">
        <w:tblPrEx>
          <w:tblCellMar>
            <w:top w:w="0" w:type="dxa"/>
            <w:left w:w="108" w:type="dxa"/>
            <w:bottom w:w="0" w:type="dxa"/>
            <w:right w:w="108" w:type="dxa"/>
          </w:tblCellMar>
        </w:tblPrEx>
        <w:trPr>
          <w:trHeight w:val="516"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0C29E391">
            <w:pPr>
              <w:pStyle w:val="14"/>
              <w:rPr>
                <w:rFonts w:ascii="仿宋" w:hAnsi="仿宋" w:eastAsia="仿宋" w:cs="仿宋"/>
              </w:rPr>
            </w:pPr>
            <w:r>
              <w:rPr>
                <w:rFonts w:hint="eastAsia" w:ascii="仿宋" w:hAnsi="仿宋" w:eastAsia="仿宋" w:cs="仿宋"/>
              </w:rPr>
              <w:t>1.丢失：按甲方官方销售价格进行赔偿</w:t>
            </w:r>
          </w:p>
        </w:tc>
      </w:tr>
      <w:tr w14:paraId="718A8B0D">
        <w:tblPrEx>
          <w:tblCellMar>
            <w:top w:w="0" w:type="dxa"/>
            <w:left w:w="108" w:type="dxa"/>
            <w:bottom w:w="0" w:type="dxa"/>
            <w:right w:w="108" w:type="dxa"/>
          </w:tblCellMar>
        </w:tblPrEx>
        <w:trPr>
          <w:trHeight w:val="516"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1F1059D1">
            <w:pPr>
              <w:pStyle w:val="14"/>
              <w:rPr>
                <w:rFonts w:ascii="仿宋" w:hAnsi="仿宋" w:eastAsia="仿宋" w:cs="仿宋"/>
              </w:rPr>
            </w:pPr>
            <w:r>
              <w:rPr>
                <w:rFonts w:hint="eastAsia" w:ascii="仿宋" w:hAnsi="仿宋" w:eastAsia="仿宋" w:cs="仿宋"/>
              </w:rPr>
              <w:t>2.事故：不可修：按甲方官方销售价进行赔偿；可修：返厂修，时效为3天，3天未回，按不可修处理，以甲方官方采销售价进行赔偿。</w:t>
            </w:r>
          </w:p>
        </w:tc>
      </w:tr>
      <w:tr w14:paraId="0370BBCC">
        <w:tblPrEx>
          <w:tblCellMar>
            <w:top w:w="0" w:type="dxa"/>
            <w:left w:w="108" w:type="dxa"/>
            <w:bottom w:w="0" w:type="dxa"/>
            <w:right w:w="108" w:type="dxa"/>
          </w:tblCellMar>
        </w:tblPrEx>
        <w:trPr>
          <w:trHeight w:val="533" w:hRule="atLeast"/>
        </w:trPr>
        <w:tc>
          <w:tcPr>
            <w:tcW w:w="0" w:type="auto"/>
            <w:gridSpan w:val="2"/>
            <w:tcBorders>
              <w:top w:val="nil"/>
              <w:left w:val="single" w:color="000000" w:sz="8" w:space="0"/>
              <w:bottom w:val="single" w:color="000000" w:sz="8" w:space="0"/>
              <w:right w:val="single" w:color="000000" w:sz="8" w:space="0"/>
            </w:tcBorders>
            <w:vAlign w:val="center"/>
          </w:tcPr>
          <w:p w14:paraId="5457EACC">
            <w:pPr>
              <w:pStyle w:val="14"/>
              <w:rPr>
                <w:rFonts w:ascii="仿宋" w:hAnsi="仿宋" w:eastAsia="仿宋" w:cs="仿宋"/>
              </w:rPr>
            </w:pPr>
            <w:r>
              <w:rPr>
                <w:rFonts w:hint="eastAsia" w:ascii="仿宋" w:hAnsi="仿宋" w:eastAsia="仿宋" w:cs="仿宋"/>
              </w:rPr>
              <w:t xml:space="preserve">注：此标准从合同生效之日起执行。                                                        </w:t>
            </w:r>
          </w:p>
        </w:tc>
      </w:tr>
    </w:tbl>
    <w:p w14:paraId="2C3989D3">
      <w:pPr>
        <w:pStyle w:val="14"/>
        <w:rPr>
          <w:rFonts w:ascii="仿宋" w:hAnsi="仿宋" w:eastAsia="仿宋" w:cs="仿宋"/>
        </w:rPr>
      </w:pPr>
      <w:r>
        <w:rPr>
          <w:rFonts w:hint="eastAsia" w:ascii="仿宋" w:hAnsi="仿宋" w:eastAsia="仿宋" w:cs="仿宋"/>
        </w:rPr>
        <w:t>（二）付款安排</w:t>
      </w:r>
    </w:p>
    <w:p w14:paraId="26F0BD5E">
      <w:pPr>
        <w:pStyle w:val="14"/>
        <w:rPr>
          <w:rFonts w:hint="eastAsia" w:ascii="仿宋" w:hAnsi="仿宋" w:eastAsia="仿宋" w:cs="仿宋"/>
        </w:rPr>
      </w:pPr>
      <w:r>
        <w:rPr>
          <w:rFonts w:hint="eastAsia" w:ascii="仿宋" w:hAnsi="仿宋" w:eastAsia="仿宋" w:cs="仿宋"/>
        </w:rPr>
        <w:t>按季度付款，每季度根据员工人数据实结算，每人每年洗衣费用上限为人民币1000元。供应商下季度首月15号前，提供实际结算清单并开具增值税普通发票，我司收到供应商有效发票之日起30个工作日内付清上季度款项。</w:t>
      </w:r>
    </w:p>
    <w:p w14:paraId="18F6A8F3">
      <w:pPr>
        <w:pStyle w:val="14"/>
        <w:rPr>
          <w:rFonts w:ascii="仿宋" w:hAnsi="仿宋" w:eastAsia="仿宋" w:cs="仿宋"/>
        </w:rPr>
      </w:pPr>
      <w:r>
        <w:rPr>
          <w:rFonts w:hint="eastAsia" w:ascii="仿宋" w:hAnsi="仿宋" w:eastAsia="仿宋" w:cs="仿宋"/>
        </w:rPr>
        <w:t>（三）续签安排</w:t>
      </w:r>
    </w:p>
    <w:p w14:paraId="66875DAF">
      <w:pPr>
        <w:pStyle w:val="14"/>
        <w:rPr>
          <w:rFonts w:ascii="仿宋" w:hAnsi="仿宋" w:eastAsia="仿宋" w:cs="仿宋"/>
        </w:rPr>
      </w:pPr>
      <w:r>
        <w:rPr>
          <w:rFonts w:hint="eastAsia" w:ascii="仿宋" w:hAnsi="仿宋" w:eastAsia="仿宋" w:cs="仿宋"/>
        </w:rPr>
        <w:t>合同内容、金额等未发生实质性变化、市场价格未发生不利变化的，到期后可以续签合同。续约期限与原合同期限总计不得超过3年。</w:t>
      </w:r>
    </w:p>
    <w:p w14:paraId="3CF72F4E">
      <w:pPr>
        <w:pStyle w:val="14"/>
        <w:rPr>
          <w:rFonts w:ascii="仿宋" w:hAnsi="仿宋" w:eastAsia="仿宋" w:cs="仿宋"/>
          <w:lang w:val="zh-CN"/>
        </w:rPr>
      </w:pPr>
      <w:r>
        <w:rPr>
          <w:rFonts w:hint="eastAsia" w:ascii="仿宋" w:hAnsi="仿宋" w:eastAsia="仿宋" w:cs="仿宋"/>
          <w:lang w:val="zh-CN"/>
        </w:rPr>
        <w:t>五、供应商特殊资质要求</w:t>
      </w:r>
    </w:p>
    <w:p w14:paraId="4D45F654">
      <w:pPr>
        <w:pStyle w:val="14"/>
        <w:rPr>
          <w:rFonts w:ascii="仿宋" w:hAnsi="仿宋" w:eastAsia="仿宋" w:cs="仿宋"/>
          <w:lang w:val="zh-CN"/>
        </w:rPr>
      </w:pPr>
      <w:r>
        <w:rPr>
          <w:rFonts w:hint="eastAsia" w:ascii="仿宋" w:hAnsi="仿宋" w:eastAsia="仿宋" w:cs="仿宋"/>
          <w:lang w:val="zh-CN"/>
        </w:rPr>
        <w:t>无。</w:t>
      </w:r>
    </w:p>
    <w:p w14:paraId="4BB9D6E4">
      <w:pPr>
        <w:pStyle w:val="14"/>
        <w:rPr>
          <w:rFonts w:ascii="仿宋" w:hAnsi="仿宋" w:eastAsia="仿宋" w:cs="仿宋"/>
          <w:lang w:val="zh-CN"/>
        </w:rPr>
      </w:pPr>
      <w:r>
        <w:rPr>
          <w:rFonts w:hint="eastAsia" w:ascii="仿宋" w:hAnsi="仿宋" w:eastAsia="仿宋" w:cs="仿宋"/>
          <w:lang w:val="zh-CN"/>
        </w:rPr>
        <w:t>六、其他事项</w:t>
      </w:r>
    </w:p>
    <w:p w14:paraId="43903926">
      <w:pPr>
        <w:pStyle w:val="14"/>
        <w:rPr>
          <w:rFonts w:ascii="仿宋" w:hAnsi="仿宋" w:eastAsia="仿宋" w:cs="仿宋"/>
        </w:rPr>
      </w:pPr>
      <w:r>
        <w:rPr>
          <w:rFonts w:hint="eastAsia" w:ascii="仿宋" w:hAnsi="仿宋" w:eastAsia="仿宋" w:cs="仿宋"/>
          <w:lang w:val="zh-CN"/>
        </w:rPr>
        <w:t>禁止转包、分包。</w:t>
      </w:r>
      <w:r>
        <w:rPr>
          <w:rFonts w:hint="eastAsia" w:ascii="仿宋" w:hAnsi="仿宋" w:eastAsia="仿宋" w:cs="仿宋"/>
        </w:rPr>
        <w:t>本次采购项目不允许转包、分包。未经我方事先书面同意，若供应商将本项目全部或部分工作分包或转包第三方承担，将导致违约。</w:t>
      </w:r>
    </w:p>
    <w:p w14:paraId="323E55AE">
      <w:pPr>
        <w:pStyle w:val="14"/>
        <w:rPr>
          <w:rFonts w:ascii="仿宋" w:hAnsi="仿宋" w:eastAsia="仿宋" w:cs="仿宋"/>
        </w:rPr>
      </w:pPr>
    </w:p>
    <w:bookmarkEnd w:id="899"/>
    <w:bookmarkEnd w:id="900"/>
    <w:p w14:paraId="1AFED7E6">
      <w:pPr>
        <w:rPr>
          <w:rFonts w:ascii="仿宋" w:hAnsi="仿宋" w:eastAsia="仿宋" w:cs="仿宋"/>
          <w:szCs w:val="21"/>
        </w:rPr>
      </w:pPr>
      <w:bookmarkStart w:id="903" w:name="_Toc15062"/>
      <w:bookmarkStart w:id="904" w:name="_Toc28744"/>
      <w:bookmarkStart w:id="905" w:name="_Toc15177"/>
      <w:bookmarkStart w:id="906" w:name="_Toc109124314"/>
      <w:bookmarkStart w:id="907" w:name="_Toc65683002"/>
      <w:r>
        <w:rPr>
          <w:rFonts w:hint="eastAsia" w:ascii="仿宋" w:hAnsi="仿宋" w:eastAsia="仿宋" w:cs="仿宋"/>
          <w:szCs w:val="21"/>
        </w:rPr>
        <w:br w:type="page"/>
      </w:r>
    </w:p>
    <w:p w14:paraId="3DB79C45">
      <w:pPr>
        <w:keepNext/>
        <w:keepLines/>
        <w:spacing w:line="360" w:lineRule="auto"/>
        <w:jc w:val="center"/>
        <w:outlineLvl w:val="0"/>
        <w:rPr>
          <w:rFonts w:ascii="仿宋" w:hAnsi="仿宋" w:eastAsia="仿宋" w:cs="仿宋"/>
          <w:b/>
          <w:bCs/>
          <w:sz w:val="28"/>
          <w:szCs w:val="28"/>
        </w:rPr>
      </w:pPr>
      <w:r>
        <w:rPr>
          <w:rFonts w:hint="eastAsia" w:ascii="仿宋" w:hAnsi="仿宋" w:eastAsia="仿宋" w:cs="仿宋"/>
          <w:b/>
          <w:bCs/>
          <w:sz w:val="28"/>
          <w:szCs w:val="28"/>
        </w:rPr>
        <w:t>第六章 投标文件格式</w:t>
      </w:r>
      <w:bookmarkEnd w:id="901"/>
      <w:bookmarkEnd w:id="903"/>
      <w:bookmarkEnd w:id="904"/>
      <w:bookmarkEnd w:id="905"/>
      <w:bookmarkEnd w:id="906"/>
      <w:bookmarkEnd w:id="907"/>
    </w:p>
    <w:p w14:paraId="65B347A6">
      <w:pPr>
        <w:spacing w:line="360" w:lineRule="auto"/>
        <w:rPr>
          <w:rFonts w:ascii="仿宋" w:hAnsi="仿宋" w:eastAsia="仿宋" w:cs="仿宋"/>
          <w:b/>
        </w:rPr>
      </w:pPr>
      <w:r>
        <w:rPr>
          <w:rFonts w:hint="eastAsia" w:ascii="仿宋" w:hAnsi="仿宋" w:eastAsia="仿宋" w:cs="仿宋"/>
          <w:b/>
          <w:sz w:val="24"/>
          <w:szCs w:val="24"/>
        </w:rPr>
        <w:t>纸质投标文件封面格式</w:t>
      </w:r>
    </w:p>
    <w:tbl>
      <w:tblPr>
        <w:tblStyle w:val="33"/>
        <w:tblW w:w="0" w:type="auto"/>
        <w:jc w:val="center"/>
        <w:tblLayout w:type="fixed"/>
        <w:tblCellMar>
          <w:top w:w="0" w:type="dxa"/>
          <w:left w:w="108" w:type="dxa"/>
          <w:bottom w:w="0" w:type="dxa"/>
          <w:right w:w="108" w:type="dxa"/>
        </w:tblCellMar>
      </w:tblPr>
      <w:tblGrid>
        <w:gridCol w:w="8100"/>
      </w:tblGrid>
      <w:tr w14:paraId="7DE0787B">
        <w:tblPrEx>
          <w:tblCellMar>
            <w:top w:w="0" w:type="dxa"/>
            <w:left w:w="108" w:type="dxa"/>
            <w:bottom w:w="0" w:type="dxa"/>
            <w:right w:w="108" w:type="dxa"/>
          </w:tblCellMar>
        </w:tblPrEx>
        <w:trPr>
          <w:trHeight w:val="9765" w:hRule="atLeast"/>
          <w:jc w:val="center"/>
        </w:trPr>
        <w:tc>
          <w:tcPr>
            <w:tcW w:w="8100" w:type="dxa"/>
            <w:tcBorders>
              <w:top w:val="single" w:color="000000" w:sz="4" w:space="0"/>
              <w:left w:val="single" w:color="000000" w:sz="4" w:space="0"/>
              <w:bottom w:val="single" w:color="000000" w:sz="4" w:space="0"/>
              <w:right w:val="single" w:color="000000" w:sz="4" w:space="0"/>
            </w:tcBorders>
          </w:tcPr>
          <w:p w14:paraId="6E6FF052">
            <w:pPr>
              <w:pStyle w:val="117"/>
              <w:spacing w:before="156" w:after="312" w:line="360" w:lineRule="auto"/>
              <w:ind w:right="508"/>
              <w:jc w:val="right"/>
              <w:rPr>
                <w:rFonts w:ascii="仿宋" w:hAnsi="仿宋" w:eastAsia="仿宋" w:cs="仿宋"/>
                <w:color w:val="FF0000"/>
                <w:sz w:val="32"/>
                <w:u w:val="single"/>
              </w:rPr>
            </w:pPr>
            <w:r>
              <w:rPr>
                <w:rFonts w:hint="eastAsia" w:ascii="仿宋" w:hAnsi="仿宋" w:eastAsia="仿宋" w:cs="仿宋"/>
                <w:color w:val="FF0000"/>
                <w:sz w:val="32"/>
                <w:u w:val="single"/>
              </w:rPr>
              <w:t>正本/副本</w:t>
            </w:r>
          </w:p>
          <w:p w14:paraId="5AE49E37">
            <w:pPr>
              <w:pStyle w:val="117"/>
              <w:spacing w:line="360" w:lineRule="auto"/>
              <w:ind w:right="-283"/>
              <w:jc w:val="center"/>
              <w:rPr>
                <w:rFonts w:ascii="仿宋" w:hAnsi="仿宋" w:eastAsia="仿宋" w:cs="仿宋"/>
                <w:sz w:val="32"/>
              </w:rPr>
            </w:pPr>
            <w:r>
              <w:rPr>
                <w:rFonts w:hint="eastAsia" w:ascii="仿宋" w:hAnsi="仿宋" w:eastAsia="仿宋" w:cs="仿宋"/>
                <w:sz w:val="32"/>
                <w:u w:val="single"/>
              </w:rPr>
              <w:t xml:space="preserve">     （项目名称）    </w:t>
            </w:r>
            <w:r>
              <w:rPr>
                <w:rFonts w:hint="eastAsia" w:ascii="仿宋" w:hAnsi="仿宋" w:eastAsia="仿宋" w:cs="仿宋"/>
                <w:sz w:val="32"/>
              </w:rPr>
              <w:t>项目</w:t>
            </w:r>
          </w:p>
          <w:p w14:paraId="4081B8ED">
            <w:pPr>
              <w:pStyle w:val="117"/>
              <w:spacing w:line="360" w:lineRule="auto"/>
              <w:ind w:right="-283"/>
              <w:jc w:val="center"/>
              <w:rPr>
                <w:rFonts w:ascii="仿宋" w:hAnsi="仿宋" w:eastAsia="仿宋" w:cs="仿宋"/>
                <w:sz w:val="30"/>
                <w:szCs w:val="30"/>
              </w:rPr>
            </w:pPr>
            <w:r>
              <w:rPr>
                <w:rFonts w:hint="eastAsia" w:ascii="仿宋" w:hAnsi="仿宋" w:eastAsia="仿宋" w:cs="仿宋"/>
                <w:sz w:val="30"/>
                <w:szCs w:val="30"/>
              </w:rPr>
              <w:t>招标代理项目编号：</w:t>
            </w:r>
            <w:r>
              <w:rPr>
                <w:rFonts w:hint="eastAsia" w:ascii="仿宋" w:hAnsi="仿宋" w:eastAsia="仿宋" w:cs="仿宋"/>
                <w:sz w:val="30"/>
                <w:szCs w:val="30"/>
                <w:u w:val="single"/>
              </w:rPr>
              <w:t>ZJZB-2025-14642</w:t>
            </w:r>
          </w:p>
          <w:p w14:paraId="1AF0E854">
            <w:pPr>
              <w:pStyle w:val="117"/>
              <w:spacing w:before="156" w:after="312" w:line="360" w:lineRule="auto"/>
              <w:ind w:right="-284"/>
              <w:jc w:val="center"/>
              <w:rPr>
                <w:rFonts w:ascii="仿宋" w:hAnsi="仿宋" w:eastAsia="仿宋" w:cs="仿宋"/>
                <w:sz w:val="52"/>
              </w:rPr>
            </w:pPr>
          </w:p>
          <w:p w14:paraId="4A379C31">
            <w:pPr>
              <w:pStyle w:val="117"/>
              <w:spacing w:before="156" w:after="312" w:line="360" w:lineRule="auto"/>
              <w:ind w:right="-284"/>
              <w:jc w:val="center"/>
              <w:rPr>
                <w:rFonts w:ascii="仿宋" w:hAnsi="仿宋" w:eastAsia="仿宋" w:cs="仿宋"/>
                <w:sz w:val="52"/>
              </w:rPr>
            </w:pPr>
            <w:r>
              <w:rPr>
                <w:rFonts w:hint="eastAsia" w:ascii="仿宋" w:hAnsi="仿宋" w:eastAsia="仿宋" w:cs="仿宋"/>
                <w:sz w:val="52"/>
              </w:rPr>
              <w:t>投标文件</w:t>
            </w:r>
          </w:p>
          <w:p w14:paraId="04AE8EF3">
            <w:pPr>
              <w:pStyle w:val="117"/>
              <w:spacing w:line="120" w:lineRule="auto"/>
              <w:jc w:val="center"/>
              <w:rPr>
                <w:rFonts w:ascii="仿宋" w:hAnsi="仿宋" w:eastAsia="仿宋" w:cs="仿宋"/>
                <w:sz w:val="30"/>
                <w:szCs w:val="30"/>
              </w:rPr>
            </w:pPr>
            <w:r>
              <w:rPr>
                <w:rFonts w:hint="eastAsia" w:ascii="仿宋" w:hAnsi="仿宋" w:eastAsia="仿宋" w:cs="仿宋"/>
                <w:sz w:val="30"/>
                <w:szCs w:val="30"/>
              </w:rPr>
              <w:t xml:space="preserve">   （商务文件</w:t>
            </w:r>
            <w:r>
              <w:rPr>
                <w:rFonts w:hint="eastAsia" w:ascii="仿宋" w:hAnsi="仿宋" w:eastAsia="仿宋" w:cs="仿宋"/>
                <w:sz w:val="30"/>
                <w:szCs w:val="30"/>
                <w:lang w:val="en-US" w:eastAsia="zh-CN"/>
              </w:rPr>
              <w:t>/</w:t>
            </w:r>
            <w:r>
              <w:rPr>
                <w:rFonts w:hint="eastAsia" w:ascii="仿宋" w:hAnsi="仿宋" w:eastAsia="仿宋" w:cs="仿宋"/>
                <w:sz w:val="30"/>
                <w:szCs w:val="30"/>
              </w:rPr>
              <w:t>技术文件/报价文件）</w:t>
            </w:r>
          </w:p>
          <w:p w14:paraId="67B72187">
            <w:pPr>
              <w:pStyle w:val="117"/>
              <w:spacing w:before="1560" w:line="360" w:lineRule="auto"/>
              <w:ind w:right="-284"/>
              <w:jc w:val="center"/>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（盖章） </w:t>
            </w:r>
          </w:p>
          <w:p w14:paraId="6A8CB4F9">
            <w:pPr>
              <w:pStyle w:val="117"/>
              <w:spacing w:after="156" w:line="360" w:lineRule="auto"/>
              <w:ind w:right="-284"/>
              <w:jc w:val="center"/>
              <w:rPr>
                <w:rFonts w:ascii="仿宋" w:hAnsi="仿宋" w:eastAsia="仿宋" w:cs="仿宋"/>
                <w:sz w:val="24"/>
                <w:u w:val="single"/>
              </w:rPr>
            </w:pPr>
            <w:r>
              <w:rPr>
                <w:rFonts w:hint="eastAsia" w:ascii="仿宋" w:hAnsi="仿宋" w:eastAsia="仿宋" w:cs="仿宋"/>
                <w:sz w:val="24"/>
              </w:rPr>
              <w:t>法定代表人（负责人）或其委托的代理人：</w:t>
            </w:r>
            <w:r>
              <w:rPr>
                <w:rFonts w:hint="eastAsia" w:ascii="仿宋" w:hAnsi="仿宋" w:eastAsia="仿宋" w:cs="仿宋"/>
                <w:sz w:val="24"/>
                <w:u w:val="single"/>
              </w:rPr>
              <w:t>（签字或盖章）</w:t>
            </w:r>
          </w:p>
          <w:p w14:paraId="13957106">
            <w:pPr>
              <w:pStyle w:val="117"/>
              <w:spacing w:after="156" w:line="360" w:lineRule="auto"/>
              <w:ind w:right="-284" w:firstLine="1920"/>
              <w:rPr>
                <w:rFonts w:ascii="仿宋" w:hAnsi="仿宋" w:eastAsia="仿宋" w:cs="仿宋"/>
                <w:sz w:val="24"/>
                <w:u w:val="single"/>
              </w:rPr>
            </w:pPr>
            <w:r>
              <w:rPr>
                <w:rFonts w:hint="eastAsia" w:ascii="仿宋" w:hAnsi="仿宋" w:eastAsia="仿宋" w:cs="仿宋"/>
                <w:sz w:val="24"/>
              </w:rPr>
              <w:t>投标人地址：</w:t>
            </w:r>
            <w:r>
              <w:rPr>
                <w:rFonts w:hint="eastAsia" w:ascii="仿宋" w:hAnsi="仿宋" w:eastAsia="仿宋" w:cs="仿宋"/>
                <w:sz w:val="24"/>
                <w:u w:val="single"/>
              </w:rPr>
              <w:t xml:space="preserve">                                 </w:t>
            </w:r>
          </w:p>
          <w:p w14:paraId="76F1206B">
            <w:pPr>
              <w:pStyle w:val="117"/>
              <w:spacing w:after="624" w:line="360" w:lineRule="auto"/>
              <w:ind w:right="-284"/>
              <w:jc w:val="center"/>
              <w:rPr>
                <w:rFonts w:ascii="仿宋" w:hAnsi="仿宋" w:eastAsia="仿宋" w:cs="仿宋"/>
              </w:rPr>
            </w:pPr>
            <w:r>
              <w:rPr>
                <w:rFonts w:hint="eastAsia" w:ascii="仿宋" w:hAnsi="仿宋" w:eastAsia="仿宋" w:cs="仿宋"/>
                <w:sz w:val="24"/>
                <w:u w:val="single"/>
              </w:rPr>
              <w:t>年     月     日</w:t>
            </w:r>
          </w:p>
        </w:tc>
      </w:tr>
    </w:tbl>
    <w:p w14:paraId="1A31CC63">
      <w:pPr>
        <w:spacing w:line="360" w:lineRule="auto"/>
        <w:rPr>
          <w:rFonts w:ascii="仿宋" w:hAnsi="仿宋" w:eastAsia="仿宋" w:cs="仿宋"/>
          <w:b/>
          <w:sz w:val="24"/>
          <w:szCs w:val="24"/>
        </w:rPr>
      </w:pPr>
      <w:r>
        <w:rPr>
          <w:rFonts w:hint="eastAsia" w:ascii="仿宋" w:hAnsi="仿宋" w:eastAsia="仿宋" w:cs="仿宋"/>
          <w:b/>
          <w:sz w:val="24"/>
          <w:szCs w:val="24"/>
        </w:rPr>
        <w:t>格式：封口</w:t>
      </w:r>
    </w:p>
    <w:tbl>
      <w:tblPr>
        <w:tblStyle w:val="33"/>
        <w:tblW w:w="0" w:type="auto"/>
        <w:tblInd w:w="0" w:type="dxa"/>
        <w:tblLayout w:type="fixed"/>
        <w:tblCellMar>
          <w:top w:w="0" w:type="dxa"/>
          <w:left w:w="108" w:type="dxa"/>
          <w:bottom w:w="0" w:type="dxa"/>
          <w:right w:w="108" w:type="dxa"/>
        </w:tblCellMar>
      </w:tblPr>
      <w:tblGrid>
        <w:gridCol w:w="9854"/>
      </w:tblGrid>
      <w:tr w14:paraId="6DC9DD3E">
        <w:tblPrEx>
          <w:tblCellMar>
            <w:top w:w="0" w:type="dxa"/>
            <w:left w:w="108" w:type="dxa"/>
            <w:bottom w:w="0" w:type="dxa"/>
            <w:right w:w="108" w:type="dxa"/>
          </w:tblCellMar>
        </w:tblPrEx>
        <w:trPr>
          <w:trHeight w:val="1503" w:hRule="atLeast"/>
        </w:trPr>
        <w:tc>
          <w:tcPr>
            <w:tcW w:w="9854" w:type="dxa"/>
            <w:tcBorders>
              <w:top w:val="single" w:color="000000" w:sz="4" w:space="0"/>
              <w:left w:val="single" w:color="000000" w:sz="4" w:space="0"/>
              <w:bottom w:val="single" w:color="000000" w:sz="4" w:space="0"/>
              <w:right w:val="single" w:color="000000" w:sz="4" w:space="0"/>
            </w:tcBorders>
            <w:vAlign w:val="center"/>
          </w:tcPr>
          <w:p w14:paraId="795231F6">
            <w:pPr>
              <w:pStyle w:val="117"/>
              <w:spacing w:line="360" w:lineRule="auto"/>
              <w:ind w:right="-284"/>
              <w:jc w:val="center"/>
              <w:rPr>
                <w:rFonts w:ascii="仿宋" w:hAnsi="仿宋" w:eastAsia="仿宋" w:cs="仿宋"/>
                <w:b/>
              </w:rPr>
            </w:pPr>
            <w:r>
              <w:rPr>
                <w:rFonts w:hint="eastAsia" w:ascii="仿宋" w:hAnsi="仿宋" w:eastAsia="仿宋" w:cs="仿宋"/>
                <w:b/>
              </w:rPr>
              <w:t>-------------于年月日时分之前不准启封（公章）------------</w:t>
            </w:r>
          </w:p>
        </w:tc>
      </w:tr>
    </w:tbl>
    <w:p w14:paraId="27468206">
      <w:pPr>
        <w:pStyle w:val="4"/>
        <w:rPr>
          <w:rFonts w:ascii="仿宋" w:hAnsi="仿宋" w:cs="仿宋"/>
        </w:rPr>
      </w:pPr>
      <w:bookmarkStart w:id="908" w:name="_Toc13951"/>
      <w:bookmarkStart w:id="909" w:name="_Toc65683003"/>
      <w:r>
        <w:rPr>
          <w:rFonts w:hint="eastAsia" w:ascii="仿宋" w:hAnsi="仿宋" w:cs="仿宋"/>
        </w:rPr>
        <w:br w:type="page"/>
      </w:r>
      <w:bookmarkStart w:id="910" w:name="_Toc9051"/>
      <w:bookmarkStart w:id="911" w:name="_Toc109124315"/>
      <w:bookmarkStart w:id="912" w:name="_Toc7129"/>
      <w:r>
        <w:rPr>
          <w:rFonts w:hint="eastAsia" w:ascii="仿宋" w:hAnsi="仿宋" w:cs="仿宋"/>
        </w:rPr>
        <w:t>一、商务文件</w:t>
      </w:r>
      <w:bookmarkEnd w:id="908"/>
      <w:bookmarkEnd w:id="909"/>
      <w:bookmarkEnd w:id="910"/>
      <w:bookmarkEnd w:id="911"/>
      <w:bookmarkEnd w:id="912"/>
    </w:p>
    <w:p w14:paraId="22D2902E">
      <w:pPr>
        <w:pStyle w:val="5"/>
        <w:spacing w:line="360" w:lineRule="auto"/>
        <w:jc w:val="center"/>
        <w:rPr>
          <w:rFonts w:hint="default" w:ascii="仿宋" w:hAnsi="仿宋" w:cs="仿宋"/>
        </w:rPr>
      </w:pPr>
      <w:bookmarkStart w:id="913" w:name="_Toc1854"/>
      <w:bookmarkStart w:id="914" w:name="_Toc26576"/>
      <w:bookmarkStart w:id="915" w:name="_Toc112068405"/>
      <w:bookmarkStart w:id="916" w:name="_Toc13313"/>
      <w:bookmarkStart w:id="917" w:name="_Toc26758"/>
      <w:bookmarkStart w:id="918" w:name="_Toc23353"/>
      <w:r>
        <w:rPr>
          <w:rFonts w:ascii="仿宋" w:hAnsi="仿宋" w:cs="仿宋"/>
        </w:rPr>
        <w:t>初步评审索引表</w:t>
      </w:r>
      <w:bookmarkEnd w:id="913"/>
      <w:bookmarkEnd w:id="914"/>
      <w:bookmarkEnd w:id="915"/>
      <w:bookmarkEnd w:id="916"/>
      <w:bookmarkEnd w:id="917"/>
      <w:bookmarkEnd w:id="918"/>
    </w:p>
    <w:tbl>
      <w:tblPr>
        <w:tblStyle w:val="33"/>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912"/>
        <w:gridCol w:w="1277"/>
        <w:gridCol w:w="4723"/>
        <w:gridCol w:w="2562"/>
      </w:tblGrid>
      <w:tr w14:paraId="251D670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2189" w:type="dxa"/>
            <w:gridSpan w:val="2"/>
            <w:vAlign w:val="center"/>
          </w:tcPr>
          <w:p w14:paraId="549761CD">
            <w:pPr>
              <w:widowControl/>
              <w:spacing w:line="360" w:lineRule="auto"/>
              <w:jc w:val="center"/>
              <w:rPr>
                <w:rFonts w:ascii="仿宋" w:hAnsi="仿宋" w:eastAsia="仿宋" w:cs="仿宋"/>
                <w:b/>
                <w:kern w:val="0"/>
                <w:szCs w:val="21"/>
              </w:rPr>
            </w:pPr>
            <w:bookmarkStart w:id="919" w:name="_Toc109124317"/>
            <w:bookmarkStart w:id="920" w:name="_Toc65683005"/>
            <w:bookmarkStart w:id="921" w:name="_Toc6993"/>
            <w:r>
              <w:rPr>
                <w:rFonts w:hint="eastAsia" w:ascii="仿宋" w:hAnsi="仿宋" w:eastAsia="仿宋" w:cs="仿宋"/>
                <w:b/>
                <w:kern w:val="0"/>
                <w:szCs w:val="21"/>
              </w:rPr>
              <w:t>条款号</w:t>
            </w:r>
          </w:p>
        </w:tc>
        <w:tc>
          <w:tcPr>
            <w:tcW w:w="4723" w:type="dxa"/>
            <w:vAlign w:val="center"/>
          </w:tcPr>
          <w:p w14:paraId="38803E29">
            <w:pPr>
              <w:widowControl/>
              <w:spacing w:before="24" w:after="24" w:line="360" w:lineRule="auto"/>
              <w:jc w:val="center"/>
              <w:rPr>
                <w:rFonts w:ascii="仿宋" w:hAnsi="仿宋" w:eastAsia="仿宋" w:cs="仿宋"/>
                <w:b/>
                <w:kern w:val="0"/>
                <w:szCs w:val="21"/>
              </w:rPr>
            </w:pPr>
            <w:r>
              <w:rPr>
                <w:rFonts w:hint="eastAsia" w:ascii="仿宋" w:hAnsi="仿宋" w:eastAsia="仿宋" w:cs="仿宋"/>
                <w:b/>
                <w:kern w:val="0"/>
                <w:szCs w:val="21"/>
              </w:rPr>
              <w:t>评审因素</w:t>
            </w:r>
          </w:p>
        </w:tc>
        <w:tc>
          <w:tcPr>
            <w:tcW w:w="2562" w:type="dxa"/>
            <w:vAlign w:val="center"/>
          </w:tcPr>
          <w:p w14:paraId="7B301238">
            <w:pPr>
              <w:widowControl/>
              <w:spacing w:line="360" w:lineRule="auto"/>
              <w:jc w:val="center"/>
              <w:rPr>
                <w:rFonts w:ascii="仿宋" w:hAnsi="仿宋" w:eastAsia="仿宋" w:cs="仿宋"/>
                <w:b/>
                <w:kern w:val="0"/>
                <w:szCs w:val="21"/>
              </w:rPr>
            </w:pPr>
            <w:r>
              <w:rPr>
                <w:rFonts w:hint="eastAsia" w:ascii="仿宋" w:hAnsi="仿宋" w:eastAsia="仿宋" w:cs="仿宋"/>
                <w:b/>
                <w:kern w:val="0"/>
                <w:szCs w:val="21"/>
              </w:rPr>
              <w:t>页码范围</w:t>
            </w:r>
          </w:p>
        </w:tc>
      </w:tr>
      <w:tr w14:paraId="05301C5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912" w:type="dxa"/>
            <w:vMerge w:val="restart"/>
            <w:vAlign w:val="center"/>
          </w:tcPr>
          <w:p w14:paraId="708062A2">
            <w:pPr>
              <w:widowControl/>
              <w:spacing w:line="360" w:lineRule="auto"/>
              <w:jc w:val="center"/>
              <w:rPr>
                <w:rFonts w:ascii="仿宋" w:hAnsi="仿宋" w:eastAsia="仿宋" w:cs="仿宋"/>
                <w:kern w:val="0"/>
                <w:szCs w:val="21"/>
              </w:rPr>
            </w:pPr>
            <w:r>
              <w:rPr>
                <w:rFonts w:hint="eastAsia" w:ascii="仿宋" w:hAnsi="仿宋" w:eastAsia="仿宋" w:cs="仿宋"/>
                <w:kern w:val="0"/>
                <w:szCs w:val="21"/>
              </w:rPr>
              <w:t>1</w:t>
            </w:r>
          </w:p>
        </w:tc>
        <w:tc>
          <w:tcPr>
            <w:tcW w:w="1277" w:type="dxa"/>
            <w:vMerge w:val="restart"/>
            <w:vAlign w:val="center"/>
          </w:tcPr>
          <w:p w14:paraId="4BCDBF0E">
            <w:pPr>
              <w:widowControl/>
              <w:spacing w:line="360" w:lineRule="auto"/>
              <w:jc w:val="center"/>
              <w:rPr>
                <w:rFonts w:ascii="仿宋" w:hAnsi="仿宋" w:eastAsia="仿宋" w:cs="仿宋"/>
                <w:kern w:val="0"/>
                <w:szCs w:val="21"/>
              </w:rPr>
            </w:pPr>
            <w:r>
              <w:rPr>
                <w:rFonts w:hint="eastAsia" w:ascii="仿宋" w:hAnsi="仿宋" w:eastAsia="仿宋" w:cs="仿宋"/>
                <w:kern w:val="0"/>
                <w:szCs w:val="21"/>
              </w:rPr>
              <w:t>形式评审标准</w:t>
            </w:r>
          </w:p>
        </w:tc>
        <w:tc>
          <w:tcPr>
            <w:tcW w:w="4723" w:type="dxa"/>
            <w:vAlign w:val="center"/>
          </w:tcPr>
          <w:p w14:paraId="452FF0F3">
            <w:pPr>
              <w:spacing w:before="24" w:after="24" w:line="360" w:lineRule="auto"/>
              <w:jc w:val="center"/>
              <w:rPr>
                <w:rFonts w:ascii="仿宋" w:hAnsi="仿宋" w:eastAsia="仿宋" w:cs="仿宋"/>
                <w:kern w:val="0"/>
                <w:szCs w:val="21"/>
              </w:rPr>
            </w:pPr>
            <w:r>
              <w:rPr>
                <w:rFonts w:hint="eastAsia" w:ascii="仿宋" w:hAnsi="仿宋" w:eastAsia="仿宋" w:cs="仿宋"/>
                <w:szCs w:val="21"/>
              </w:rPr>
              <w:t>投标人名称</w:t>
            </w:r>
          </w:p>
        </w:tc>
        <w:tc>
          <w:tcPr>
            <w:tcW w:w="2562" w:type="dxa"/>
            <w:vAlign w:val="center"/>
          </w:tcPr>
          <w:p w14:paraId="270BA737">
            <w:pPr>
              <w:spacing w:before="24" w:after="24" w:line="360" w:lineRule="auto"/>
              <w:jc w:val="center"/>
              <w:rPr>
                <w:rFonts w:ascii="仿宋" w:hAnsi="仿宋" w:eastAsia="仿宋" w:cs="仿宋"/>
                <w:kern w:val="0"/>
                <w:szCs w:val="21"/>
              </w:rPr>
            </w:pPr>
            <w:r>
              <w:rPr>
                <w:rFonts w:hint="eastAsia" w:ascii="仿宋" w:hAnsi="仿宋" w:eastAsia="仿宋" w:cs="仿宋"/>
                <w:kern w:val="0"/>
                <w:szCs w:val="21"/>
              </w:rPr>
              <w:t>详见N-M页</w:t>
            </w:r>
          </w:p>
        </w:tc>
      </w:tr>
      <w:tr w14:paraId="5B1A229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912" w:type="dxa"/>
            <w:vMerge w:val="continue"/>
            <w:vAlign w:val="center"/>
          </w:tcPr>
          <w:p w14:paraId="1DD79410">
            <w:pPr>
              <w:widowControl/>
              <w:spacing w:line="360" w:lineRule="auto"/>
              <w:jc w:val="center"/>
              <w:rPr>
                <w:rFonts w:ascii="仿宋" w:hAnsi="仿宋" w:eastAsia="仿宋" w:cs="仿宋"/>
                <w:kern w:val="0"/>
                <w:szCs w:val="21"/>
              </w:rPr>
            </w:pPr>
          </w:p>
        </w:tc>
        <w:tc>
          <w:tcPr>
            <w:tcW w:w="1277" w:type="dxa"/>
            <w:vMerge w:val="continue"/>
            <w:vAlign w:val="center"/>
          </w:tcPr>
          <w:p w14:paraId="11F5DD72">
            <w:pPr>
              <w:widowControl/>
              <w:spacing w:line="360" w:lineRule="auto"/>
              <w:jc w:val="center"/>
              <w:rPr>
                <w:rFonts w:ascii="仿宋" w:hAnsi="仿宋" w:eastAsia="仿宋" w:cs="仿宋"/>
                <w:kern w:val="0"/>
                <w:szCs w:val="21"/>
              </w:rPr>
            </w:pPr>
          </w:p>
        </w:tc>
        <w:tc>
          <w:tcPr>
            <w:tcW w:w="4723" w:type="dxa"/>
            <w:vAlign w:val="center"/>
          </w:tcPr>
          <w:p w14:paraId="497276F9">
            <w:pPr>
              <w:spacing w:before="24" w:after="24" w:line="360" w:lineRule="auto"/>
              <w:jc w:val="center"/>
              <w:rPr>
                <w:rFonts w:ascii="仿宋" w:hAnsi="仿宋" w:eastAsia="仿宋" w:cs="仿宋"/>
                <w:kern w:val="0"/>
                <w:szCs w:val="21"/>
              </w:rPr>
            </w:pPr>
            <w:r>
              <w:rPr>
                <w:rFonts w:hint="eastAsia" w:ascii="仿宋" w:hAnsi="仿宋" w:eastAsia="仿宋" w:cs="仿宋"/>
                <w:szCs w:val="21"/>
              </w:rPr>
              <w:t>法定代表人（负责人）身份证明</w:t>
            </w:r>
          </w:p>
        </w:tc>
        <w:tc>
          <w:tcPr>
            <w:tcW w:w="2562" w:type="dxa"/>
            <w:vAlign w:val="center"/>
          </w:tcPr>
          <w:p w14:paraId="5FB9DDA5">
            <w:pPr>
              <w:spacing w:before="24" w:after="24" w:line="360" w:lineRule="auto"/>
              <w:jc w:val="left"/>
              <w:rPr>
                <w:rFonts w:ascii="仿宋" w:hAnsi="仿宋" w:eastAsia="仿宋" w:cs="仿宋"/>
                <w:kern w:val="0"/>
                <w:szCs w:val="21"/>
              </w:rPr>
            </w:pPr>
          </w:p>
        </w:tc>
      </w:tr>
      <w:tr w14:paraId="7686833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12" w:type="dxa"/>
            <w:vMerge w:val="continue"/>
            <w:vAlign w:val="center"/>
          </w:tcPr>
          <w:p w14:paraId="253FFF68">
            <w:pPr>
              <w:widowControl/>
              <w:spacing w:line="360" w:lineRule="auto"/>
              <w:jc w:val="left"/>
              <w:rPr>
                <w:rFonts w:ascii="仿宋" w:hAnsi="仿宋" w:eastAsia="仿宋" w:cs="仿宋"/>
                <w:kern w:val="0"/>
                <w:szCs w:val="21"/>
              </w:rPr>
            </w:pPr>
          </w:p>
        </w:tc>
        <w:tc>
          <w:tcPr>
            <w:tcW w:w="1277" w:type="dxa"/>
            <w:vMerge w:val="continue"/>
            <w:vAlign w:val="center"/>
          </w:tcPr>
          <w:p w14:paraId="0F7AC304">
            <w:pPr>
              <w:widowControl/>
              <w:spacing w:line="360" w:lineRule="auto"/>
              <w:jc w:val="left"/>
              <w:rPr>
                <w:rFonts w:ascii="仿宋" w:hAnsi="仿宋" w:eastAsia="仿宋" w:cs="仿宋"/>
                <w:kern w:val="0"/>
                <w:szCs w:val="21"/>
              </w:rPr>
            </w:pPr>
          </w:p>
        </w:tc>
        <w:tc>
          <w:tcPr>
            <w:tcW w:w="4723" w:type="dxa"/>
            <w:vAlign w:val="center"/>
          </w:tcPr>
          <w:p w14:paraId="23DA5F91">
            <w:pPr>
              <w:spacing w:before="24" w:after="24" w:line="360" w:lineRule="auto"/>
              <w:jc w:val="center"/>
              <w:rPr>
                <w:rFonts w:ascii="仿宋" w:hAnsi="仿宋" w:eastAsia="仿宋" w:cs="仿宋"/>
                <w:spacing w:val="-4"/>
                <w:kern w:val="0"/>
                <w:szCs w:val="21"/>
              </w:rPr>
            </w:pPr>
            <w:r>
              <w:rPr>
                <w:rFonts w:hint="eastAsia" w:ascii="仿宋" w:hAnsi="仿宋" w:eastAsia="仿宋" w:cs="仿宋"/>
                <w:szCs w:val="21"/>
              </w:rPr>
              <w:t>法定代表人（负责人）授权委托书</w:t>
            </w:r>
          </w:p>
        </w:tc>
        <w:tc>
          <w:tcPr>
            <w:tcW w:w="2562" w:type="dxa"/>
            <w:vAlign w:val="center"/>
          </w:tcPr>
          <w:p w14:paraId="1E22CF94">
            <w:pPr>
              <w:spacing w:before="24" w:after="24" w:line="360" w:lineRule="auto"/>
              <w:jc w:val="left"/>
              <w:rPr>
                <w:rFonts w:ascii="仿宋" w:hAnsi="仿宋" w:eastAsia="仿宋" w:cs="仿宋"/>
                <w:kern w:val="0"/>
                <w:szCs w:val="21"/>
              </w:rPr>
            </w:pPr>
          </w:p>
        </w:tc>
      </w:tr>
      <w:tr w14:paraId="3F9F369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12" w:type="dxa"/>
            <w:vMerge w:val="continue"/>
            <w:vAlign w:val="center"/>
          </w:tcPr>
          <w:p w14:paraId="7A3B2AD6">
            <w:pPr>
              <w:widowControl/>
              <w:spacing w:line="360" w:lineRule="auto"/>
              <w:jc w:val="left"/>
              <w:rPr>
                <w:rFonts w:ascii="仿宋" w:hAnsi="仿宋" w:eastAsia="仿宋" w:cs="仿宋"/>
                <w:kern w:val="0"/>
                <w:szCs w:val="21"/>
              </w:rPr>
            </w:pPr>
          </w:p>
        </w:tc>
        <w:tc>
          <w:tcPr>
            <w:tcW w:w="1277" w:type="dxa"/>
            <w:vMerge w:val="continue"/>
            <w:vAlign w:val="center"/>
          </w:tcPr>
          <w:p w14:paraId="0570DE64">
            <w:pPr>
              <w:widowControl/>
              <w:spacing w:line="360" w:lineRule="auto"/>
              <w:jc w:val="left"/>
              <w:rPr>
                <w:rFonts w:ascii="仿宋" w:hAnsi="仿宋" w:eastAsia="仿宋" w:cs="仿宋"/>
                <w:kern w:val="0"/>
                <w:szCs w:val="21"/>
              </w:rPr>
            </w:pPr>
          </w:p>
        </w:tc>
        <w:tc>
          <w:tcPr>
            <w:tcW w:w="4723" w:type="dxa"/>
            <w:vAlign w:val="center"/>
          </w:tcPr>
          <w:p w14:paraId="08CA37C7">
            <w:pPr>
              <w:spacing w:before="24" w:after="24" w:line="360" w:lineRule="auto"/>
              <w:jc w:val="center"/>
              <w:rPr>
                <w:rFonts w:ascii="仿宋" w:hAnsi="仿宋" w:eastAsia="仿宋" w:cs="仿宋"/>
                <w:kern w:val="0"/>
                <w:szCs w:val="21"/>
              </w:rPr>
            </w:pPr>
            <w:r>
              <w:rPr>
                <w:rFonts w:hint="eastAsia" w:ascii="仿宋" w:hAnsi="仿宋" w:eastAsia="仿宋" w:cs="仿宋"/>
                <w:szCs w:val="21"/>
              </w:rPr>
              <w:t>投标文件签字或盖章</w:t>
            </w:r>
          </w:p>
        </w:tc>
        <w:tc>
          <w:tcPr>
            <w:tcW w:w="2562" w:type="dxa"/>
            <w:vAlign w:val="center"/>
          </w:tcPr>
          <w:p w14:paraId="066E8F38">
            <w:pPr>
              <w:spacing w:before="24" w:after="24" w:line="360" w:lineRule="auto"/>
              <w:jc w:val="left"/>
              <w:rPr>
                <w:rFonts w:ascii="仿宋" w:hAnsi="仿宋" w:eastAsia="仿宋" w:cs="仿宋"/>
                <w:kern w:val="0"/>
                <w:szCs w:val="21"/>
              </w:rPr>
            </w:pPr>
          </w:p>
        </w:tc>
      </w:tr>
      <w:tr w14:paraId="4E25CFC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912" w:type="dxa"/>
            <w:vMerge w:val="restart"/>
            <w:vAlign w:val="center"/>
          </w:tcPr>
          <w:p w14:paraId="747E6A72">
            <w:pPr>
              <w:widowControl/>
              <w:spacing w:line="360" w:lineRule="auto"/>
              <w:jc w:val="center"/>
              <w:rPr>
                <w:rFonts w:ascii="仿宋" w:hAnsi="仿宋" w:eastAsia="仿宋" w:cs="仿宋"/>
                <w:kern w:val="0"/>
                <w:szCs w:val="21"/>
              </w:rPr>
            </w:pPr>
            <w:r>
              <w:rPr>
                <w:rFonts w:hint="eastAsia" w:ascii="仿宋" w:hAnsi="仿宋" w:eastAsia="仿宋" w:cs="仿宋"/>
                <w:kern w:val="0"/>
                <w:szCs w:val="21"/>
              </w:rPr>
              <w:t>2</w:t>
            </w:r>
          </w:p>
        </w:tc>
        <w:tc>
          <w:tcPr>
            <w:tcW w:w="1277" w:type="dxa"/>
            <w:vMerge w:val="restart"/>
            <w:vAlign w:val="center"/>
          </w:tcPr>
          <w:p w14:paraId="62D3DFBD">
            <w:pPr>
              <w:widowControl/>
              <w:spacing w:line="360" w:lineRule="auto"/>
              <w:jc w:val="center"/>
              <w:rPr>
                <w:rFonts w:ascii="仿宋" w:hAnsi="仿宋" w:eastAsia="仿宋" w:cs="仿宋"/>
                <w:kern w:val="0"/>
                <w:szCs w:val="21"/>
              </w:rPr>
            </w:pPr>
            <w:r>
              <w:rPr>
                <w:rFonts w:hint="eastAsia" w:ascii="仿宋" w:hAnsi="仿宋" w:eastAsia="仿宋" w:cs="仿宋"/>
                <w:kern w:val="0"/>
                <w:szCs w:val="21"/>
              </w:rPr>
              <w:t>资格评审标准</w:t>
            </w:r>
          </w:p>
        </w:tc>
        <w:tc>
          <w:tcPr>
            <w:tcW w:w="4723" w:type="dxa"/>
            <w:vAlign w:val="center"/>
          </w:tcPr>
          <w:p w14:paraId="2315EBC6">
            <w:pPr>
              <w:spacing w:before="24" w:after="24" w:line="360" w:lineRule="auto"/>
              <w:jc w:val="center"/>
              <w:rPr>
                <w:rFonts w:ascii="仿宋" w:hAnsi="仿宋" w:eastAsia="仿宋" w:cs="仿宋"/>
                <w:kern w:val="0"/>
                <w:szCs w:val="21"/>
              </w:rPr>
            </w:pPr>
            <w:r>
              <w:rPr>
                <w:rFonts w:hint="eastAsia" w:ascii="仿宋" w:hAnsi="仿宋" w:eastAsia="仿宋" w:cs="仿宋"/>
                <w:szCs w:val="21"/>
              </w:rPr>
              <w:t>营业执照</w:t>
            </w:r>
          </w:p>
        </w:tc>
        <w:tc>
          <w:tcPr>
            <w:tcW w:w="2562" w:type="dxa"/>
          </w:tcPr>
          <w:p w14:paraId="20603434">
            <w:pPr>
              <w:spacing w:before="24" w:after="24" w:line="360" w:lineRule="auto"/>
              <w:jc w:val="left"/>
              <w:rPr>
                <w:rFonts w:ascii="仿宋" w:hAnsi="仿宋" w:eastAsia="仿宋" w:cs="仿宋"/>
                <w:szCs w:val="21"/>
              </w:rPr>
            </w:pPr>
          </w:p>
        </w:tc>
      </w:tr>
      <w:tr w14:paraId="5C9ACBC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912" w:type="dxa"/>
            <w:vMerge w:val="continue"/>
            <w:vAlign w:val="center"/>
          </w:tcPr>
          <w:p w14:paraId="35173A2D">
            <w:pPr>
              <w:widowControl/>
              <w:spacing w:line="360" w:lineRule="auto"/>
              <w:jc w:val="center"/>
              <w:rPr>
                <w:rFonts w:ascii="仿宋" w:hAnsi="仿宋" w:eastAsia="仿宋" w:cs="仿宋"/>
                <w:kern w:val="0"/>
                <w:szCs w:val="21"/>
              </w:rPr>
            </w:pPr>
          </w:p>
        </w:tc>
        <w:tc>
          <w:tcPr>
            <w:tcW w:w="1277" w:type="dxa"/>
            <w:vMerge w:val="continue"/>
            <w:vAlign w:val="center"/>
          </w:tcPr>
          <w:p w14:paraId="602C8734">
            <w:pPr>
              <w:widowControl/>
              <w:spacing w:line="360" w:lineRule="auto"/>
              <w:jc w:val="center"/>
              <w:rPr>
                <w:rFonts w:ascii="仿宋" w:hAnsi="仿宋" w:eastAsia="仿宋" w:cs="仿宋"/>
                <w:kern w:val="0"/>
                <w:szCs w:val="21"/>
              </w:rPr>
            </w:pPr>
          </w:p>
        </w:tc>
        <w:tc>
          <w:tcPr>
            <w:tcW w:w="4723" w:type="dxa"/>
            <w:vAlign w:val="center"/>
          </w:tcPr>
          <w:p w14:paraId="37323466">
            <w:pPr>
              <w:spacing w:before="24" w:after="24" w:line="360" w:lineRule="auto"/>
              <w:jc w:val="center"/>
              <w:rPr>
                <w:rFonts w:ascii="仿宋" w:hAnsi="仿宋" w:eastAsia="仿宋" w:cs="仿宋"/>
                <w:szCs w:val="21"/>
              </w:rPr>
            </w:pPr>
            <w:r>
              <w:rPr>
                <w:rFonts w:hint="eastAsia" w:ascii="仿宋" w:hAnsi="仿宋" w:eastAsia="仿宋" w:cs="仿宋"/>
                <w:szCs w:val="21"/>
              </w:rPr>
              <w:t>商业信誉和财务会计制度</w:t>
            </w:r>
          </w:p>
        </w:tc>
        <w:tc>
          <w:tcPr>
            <w:tcW w:w="2562" w:type="dxa"/>
          </w:tcPr>
          <w:p w14:paraId="4DEE30AD">
            <w:pPr>
              <w:spacing w:before="24" w:after="24" w:line="360" w:lineRule="auto"/>
              <w:jc w:val="left"/>
              <w:rPr>
                <w:rFonts w:ascii="仿宋" w:hAnsi="仿宋" w:eastAsia="仿宋" w:cs="仿宋"/>
                <w:szCs w:val="21"/>
              </w:rPr>
            </w:pPr>
          </w:p>
        </w:tc>
      </w:tr>
      <w:tr w14:paraId="0235AC6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912" w:type="dxa"/>
            <w:vMerge w:val="continue"/>
            <w:vAlign w:val="center"/>
          </w:tcPr>
          <w:p w14:paraId="5490DF10">
            <w:pPr>
              <w:widowControl/>
              <w:spacing w:line="360" w:lineRule="auto"/>
              <w:jc w:val="center"/>
              <w:rPr>
                <w:rFonts w:ascii="仿宋" w:hAnsi="仿宋" w:eastAsia="仿宋" w:cs="仿宋"/>
                <w:kern w:val="0"/>
                <w:szCs w:val="21"/>
              </w:rPr>
            </w:pPr>
          </w:p>
        </w:tc>
        <w:tc>
          <w:tcPr>
            <w:tcW w:w="1277" w:type="dxa"/>
            <w:vMerge w:val="continue"/>
            <w:vAlign w:val="center"/>
          </w:tcPr>
          <w:p w14:paraId="4134C1CC">
            <w:pPr>
              <w:widowControl/>
              <w:spacing w:line="360" w:lineRule="auto"/>
              <w:jc w:val="center"/>
              <w:rPr>
                <w:rFonts w:ascii="仿宋" w:hAnsi="仿宋" w:eastAsia="仿宋" w:cs="仿宋"/>
                <w:kern w:val="0"/>
                <w:szCs w:val="21"/>
              </w:rPr>
            </w:pPr>
          </w:p>
        </w:tc>
        <w:tc>
          <w:tcPr>
            <w:tcW w:w="4723" w:type="dxa"/>
            <w:vAlign w:val="center"/>
          </w:tcPr>
          <w:p w14:paraId="2A8D8338">
            <w:pPr>
              <w:spacing w:before="24" w:after="24" w:line="360" w:lineRule="auto"/>
              <w:jc w:val="center"/>
              <w:rPr>
                <w:rFonts w:ascii="仿宋" w:hAnsi="仿宋" w:eastAsia="仿宋" w:cs="仿宋"/>
                <w:szCs w:val="21"/>
              </w:rPr>
            </w:pPr>
            <w:r>
              <w:rPr>
                <w:rFonts w:hint="eastAsia" w:ascii="仿宋" w:hAnsi="仿宋" w:eastAsia="仿宋" w:cs="仿宋"/>
                <w:szCs w:val="21"/>
              </w:rPr>
              <w:t>专业技术能力</w:t>
            </w:r>
          </w:p>
        </w:tc>
        <w:tc>
          <w:tcPr>
            <w:tcW w:w="2562" w:type="dxa"/>
          </w:tcPr>
          <w:p w14:paraId="4A8E91AF">
            <w:pPr>
              <w:spacing w:before="24" w:after="24" w:line="360" w:lineRule="auto"/>
              <w:jc w:val="left"/>
              <w:rPr>
                <w:rFonts w:ascii="仿宋" w:hAnsi="仿宋" w:eastAsia="仿宋" w:cs="仿宋"/>
                <w:szCs w:val="21"/>
              </w:rPr>
            </w:pPr>
          </w:p>
        </w:tc>
      </w:tr>
      <w:tr w14:paraId="2EF1FD1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912" w:type="dxa"/>
            <w:vMerge w:val="continue"/>
            <w:vAlign w:val="center"/>
          </w:tcPr>
          <w:p w14:paraId="0089A83E">
            <w:pPr>
              <w:widowControl/>
              <w:spacing w:line="360" w:lineRule="auto"/>
              <w:jc w:val="center"/>
              <w:rPr>
                <w:rFonts w:ascii="仿宋" w:hAnsi="仿宋" w:eastAsia="仿宋" w:cs="仿宋"/>
                <w:kern w:val="0"/>
                <w:szCs w:val="21"/>
              </w:rPr>
            </w:pPr>
          </w:p>
        </w:tc>
        <w:tc>
          <w:tcPr>
            <w:tcW w:w="1277" w:type="dxa"/>
            <w:vMerge w:val="continue"/>
            <w:vAlign w:val="center"/>
          </w:tcPr>
          <w:p w14:paraId="3C2A6777">
            <w:pPr>
              <w:widowControl/>
              <w:spacing w:line="360" w:lineRule="auto"/>
              <w:jc w:val="center"/>
              <w:rPr>
                <w:rFonts w:ascii="仿宋" w:hAnsi="仿宋" w:eastAsia="仿宋" w:cs="仿宋"/>
                <w:kern w:val="0"/>
                <w:szCs w:val="21"/>
              </w:rPr>
            </w:pPr>
          </w:p>
        </w:tc>
        <w:tc>
          <w:tcPr>
            <w:tcW w:w="4723" w:type="dxa"/>
            <w:vAlign w:val="center"/>
          </w:tcPr>
          <w:p w14:paraId="2CD68754">
            <w:pPr>
              <w:spacing w:before="24" w:after="24" w:line="360" w:lineRule="auto"/>
              <w:jc w:val="center"/>
              <w:rPr>
                <w:rFonts w:ascii="仿宋" w:hAnsi="仿宋" w:eastAsia="仿宋" w:cs="仿宋"/>
                <w:szCs w:val="21"/>
              </w:rPr>
            </w:pPr>
            <w:r>
              <w:rPr>
                <w:rFonts w:hint="eastAsia" w:ascii="仿宋" w:hAnsi="仿宋" w:eastAsia="仿宋" w:cs="仿宋"/>
                <w:szCs w:val="21"/>
              </w:rPr>
              <w:t>缴纳税收和社会保障资金记录</w:t>
            </w:r>
          </w:p>
        </w:tc>
        <w:tc>
          <w:tcPr>
            <w:tcW w:w="2562" w:type="dxa"/>
          </w:tcPr>
          <w:p w14:paraId="5560592E">
            <w:pPr>
              <w:spacing w:before="24" w:after="24" w:line="360" w:lineRule="auto"/>
              <w:jc w:val="left"/>
              <w:rPr>
                <w:rFonts w:ascii="仿宋" w:hAnsi="仿宋" w:eastAsia="仿宋" w:cs="仿宋"/>
                <w:szCs w:val="21"/>
              </w:rPr>
            </w:pPr>
          </w:p>
        </w:tc>
      </w:tr>
      <w:tr w14:paraId="035D66A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912" w:type="dxa"/>
            <w:vMerge w:val="continue"/>
            <w:vAlign w:val="center"/>
          </w:tcPr>
          <w:p w14:paraId="7F016C17">
            <w:pPr>
              <w:widowControl/>
              <w:spacing w:line="360" w:lineRule="auto"/>
              <w:jc w:val="center"/>
              <w:rPr>
                <w:rFonts w:ascii="仿宋" w:hAnsi="仿宋" w:eastAsia="仿宋" w:cs="仿宋"/>
                <w:kern w:val="0"/>
                <w:szCs w:val="21"/>
              </w:rPr>
            </w:pPr>
          </w:p>
        </w:tc>
        <w:tc>
          <w:tcPr>
            <w:tcW w:w="1277" w:type="dxa"/>
            <w:vMerge w:val="continue"/>
            <w:vAlign w:val="center"/>
          </w:tcPr>
          <w:p w14:paraId="2B9C9A9B">
            <w:pPr>
              <w:widowControl/>
              <w:spacing w:line="360" w:lineRule="auto"/>
              <w:jc w:val="center"/>
              <w:rPr>
                <w:rFonts w:ascii="仿宋" w:hAnsi="仿宋" w:eastAsia="仿宋" w:cs="仿宋"/>
                <w:kern w:val="0"/>
                <w:szCs w:val="21"/>
              </w:rPr>
            </w:pPr>
          </w:p>
        </w:tc>
        <w:tc>
          <w:tcPr>
            <w:tcW w:w="4723" w:type="dxa"/>
            <w:vAlign w:val="center"/>
          </w:tcPr>
          <w:p w14:paraId="561A4F03">
            <w:pPr>
              <w:spacing w:before="24" w:after="24" w:line="360" w:lineRule="auto"/>
              <w:jc w:val="center"/>
              <w:rPr>
                <w:rFonts w:ascii="仿宋" w:hAnsi="仿宋" w:eastAsia="仿宋" w:cs="仿宋"/>
                <w:szCs w:val="21"/>
              </w:rPr>
            </w:pPr>
            <w:r>
              <w:rPr>
                <w:rFonts w:hint="eastAsia" w:ascii="仿宋" w:hAnsi="仿宋" w:eastAsia="仿宋" w:cs="仿宋"/>
                <w:szCs w:val="21"/>
              </w:rPr>
              <w:t>无违法违规记录</w:t>
            </w:r>
          </w:p>
        </w:tc>
        <w:tc>
          <w:tcPr>
            <w:tcW w:w="2562" w:type="dxa"/>
          </w:tcPr>
          <w:p w14:paraId="66E56599">
            <w:pPr>
              <w:spacing w:before="24" w:after="24" w:line="360" w:lineRule="auto"/>
              <w:jc w:val="left"/>
              <w:rPr>
                <w:rFonts w:ascii="仿宋" w:hAnsi="仿宋" w:eastAsia="仿宋" w:cs="仿宋"/>
                <w:szCs w:val="21"/>
              </w:rPr>
            </w:pPr>
          </w:p>
        </w:tc>
      </w:tr>
      <w:tr w14:paraId="2F16F99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912" w:type="dxa"/>
            <w:vMerge w:val="continue"/>
            <w:vAlign w:val="center"/>
          </w:tcPr>
          <w:p w14:paraId="722F53E4">
            <w:pPr>
              <w:widowControl/>
              <w:spacing w:line="360" w:lineRule="auto"/>
              <w:jc w:val="left"/>
              <w:rPr>
                <w:rFonts w:ascii="仿宋" w:hAnsi="仿宋" w:eastAsia="仿宋" w:cs="仿宋"/>
                <w:kern w:val="0"/>
                <w:szCs w:val="21"/>
              </w:rPr>
            </w:pPr>
          </w:p>
        </w:tc>
        <w:tc>
          <w:tcPr>
            <w:tcW w:w="1277" w:type="dxa"/>
            <w:vMerge w:val="continue"/>
            <w:vAlign w:val="center"/>
          </w:tcPr>
          <w:p w14:paraId="2E4288FE">
            <w:pPr>
              <w:widowControl/>
              <w:spacing w:line="360" w:lineRule="auto"/>
              <w:jc w:val="left"/>
              <w:rPr>
                <w:rFonts w:ascii="仿宋" w:hAnsi="仿宋" w:eastAsia="仿宋" w:cs="仿宋"/>
                <w:kern w:val="0"/>
                <w:szCs w:val="21"/>
              </w:rPr>
            </w:pPr>
          </w:p>
        </w:tc>
        <w:tc>
          <w:tcPr>
            <w:tcW w:w="4723" w:type="dxa"/>
            <w:vAlign w:val="center"/>
          </w:tcPr>
          <w:p w14:paraId="67B20335">
            <w:pPr>
              <w:spacing w:before="24" w:after="24" w:line="360" w:lineRule="auto"/>
              <w:jc w:val="center"/>
              <w:rPr>
                <w:rFonts w:ascii="仿宋" w:hAnsi="仿宋" w:eastAsia="仿宋" w:cs="仿宋"/>
                <w:szCs w:val="21"/>
              </w:rPr>
            </w:pPr>
            <w:r>
              <w:rPr>
                <w:rFonts w:hint="eastAsia" w:ascii="仿宋" w:hAnsi="仿宋" w:eastAsia="仿宋" w:cs="仿宋"/>
                <w:szCs w:val="21"/>
              </w:rPr>
              <w:t>未被列入黑名单</w:t>
            </w:r>
          </w:p>
        </w:tc>
        <w:tc>
          <w:tcPr>
            <w:tcW w:w="2562" w:type="dxa"/>
          </w:tcPr>
          <w:p w14:paraId="17CCCB5F">
            <w:pPr>
              <w:spacing w:line="360" w:lineRule="auto"/>
              <w:rPr>
                <w:rFonts w:ascii="仿宋" w:hAnsi="仿宋" w:eastAsia="仿宋" w:cs="仿宋"/>
                <w:szCs w:val="21"/>
              </w:rPr>
            </w:pPr>
          </w:p>
        </w:tc>
      </w:tr>
      <w:tr w14:paraId="2B44790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912" w:type="dxa"/>
            <w:vMerge w:val="continue"/>
            <w:vAlign w:val="center"/>
          </w:tcPr>
          <w:p w14:paraId="49B521B9">
            <w:pPr>
              <w:widowControl/>
              <w:spacing w:line="360" w:lineRule="auto"/>
              <w:jc w:val="left"/>
              <w:rPr>
                <w:rFonts w:ascii="仿宋" w:hAnsi="仿宋" w:eastAsia="仿宋" w:cs="仿宋"/>
                <w:kern w:val="0"/>
                <w:szCs w:val="21"/>
              </w:rPr>
            </w:pPr>
          </w:p>
        </w:tc>
        <w:tc>
          <w:tcPr>
            <w:tcW w:w="1277" w:type="dxa"/>
            <w:vMerge w:val="continue"/>
            <w:vAlign w:val="center"/>
          </w:tcPr>
          <w:p w14:paraId="772C7D8E">
            <w:pPr>
              <w:widowControl/>
              <w:spacing w:line="360" w:lineRule="auto"/>
              <w:jc w:val="left"/>
              <w:rPr>
                <w:rFonts w:ascii="仿宋" w:hAnsi="仿宋" w:eastAsia="仿宋" w:cs="仿宋"/>
                <w:kern w:val="0"/>
                <w:szCs w:val="21"/>
              </w:rPr>
            </w:pPr>
          </w:p>
        </w:tc>
        <w:tc>
          <w:tcPr>
            <w:tcW w:w="4723" w:type="dxa"/>
            <w:vAlign w:val="center"/>
          </w:tcPr>
          <w:p w14:paraId="1F41BD90">
            <w:pPr>
              <w:spacing w:before="24" w:after="24" w:line="360" w:lineRule="auto"/>
              <w:jc w:val="center"/>
              <w:rPr>
                <w:rFonts w:ascii="仿宋" w:hAnsi="仿宋" w:eastAsia="仿宋" w:cs="仿宋"/>
                <w:szCs w:val="21"/>
              </w:rPr>
            </w:pPr>
            <w:r>
              <w:rPr>
                <w:rFonts w:hint="eastAsia" w:ascii="仿宋" w:hAnsi="仿宋" w:eastAsia="仿宋" w:cs="仿宋"/>
                <w:szCs w:val="21"/>
              </w:rPr>
              <w:t>控股及管理关系</w:t>
            </w:r>
          </w:p>
        </w:tc>
        <w:tc>
          <w:tcPr>
            <w:tcW w:w="2562" w:type="dxa"/>
            <w:vAlign w:val="center"/>
          </w:tcPr>
          <w:p w14:paraId="2092A994">
            <w:pPr>
              <w:spacing w:before="24" w:after="24" w:line="360" w:lineRule="auto"/>
              <w:jc w:val="left"/>
              <w:rPr>
                <w:rFonts w:ascii="仿宋" w:hAnsi="仿宋" w:eastAsia="仿宋" w:cs="仿宋"/>
                <w:kern w:val="0"/>
                <w:szCs w:val="21"/>
              </w:rPr>
            </w:pPr>
          </w:p>
        </w:tc>
      </w:tr>
      <w:tr w14:paraId="5B9655B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912" w:type="dxa"/>
            <w:vMerge w:val="continue"/>
            <w:vAlign w:val="center"/>
          </w:tcPr>
          <w:p w14:paraId="2C72C97D">
            <w:pPr>
              <w:widowControl/>
              <w:spacing w:line="360" w:lineRule="auto"/>
              <w:jc w:val="left"/>
              <w:rPr>
                <w:rFonts w:ascii="仿宋" w:hAnsi="仿宋" w:eastAsia="仿宋" w:cs="仿宋"/>
                <w:kern w:val="0"/>
                <w:szCs w:val="21"/>
              </w:rPr>
            </w:pPr>
          </w:p>
        </w:tc>
        <w:tc>
          <w:tcPr>
            <w:tcW w:w="1277" w:type="dxa"/>
            <w:vMerge w:val="continue"/>
            <w:vAlign w:val="center"/>
          </w:tcPr>
          <w:p w14:paraId="470E637C">
            <w:pPr>
              <w:widowControl/>
              <w:spacing w:line="360" w:lineRule="auto"/>
              <w:jc w:val="left"/>
              <w:rPr>
                <w:rFonts w:ascii="仿宋" w:hAnsi="仿宋" w:eastAsia="仿宋" w:cs="仿宋"/>
                <w:kern w:val="0"/>
                <w:szCs w:val="21"/>
              </w:rPr>
            </w:pPr>
          </w:p>
        </w:tc>
        <w:tc>
          <w:tcPr>
            <w:tcW w:w="4723" w:type="dxa"/>
            <w:vAlign w:val="center"/>
          </w:tcPr>
          <w:p w14:paraId="31C64FDB">
            <w:pPr>
              <w:spacing w:before="24" w:after="24" w:line="360" w:lineRule="auto"/>
              <w:jc w:val="center"/>
              <w:rPr>
                <w:rFonts w:ascii="仿宋" w:hAnsi="仿宋" w:eastAsia="仿宋" w:cs="仿宋"/>
                <w:szCs w:val="21"/>
              </w:rPr>
            </w:pPr>
            <w:r>
              <w:rPr>
                <w:rFonts w:hint="eastAsia" w:ascii="仿宋" w:hAnsi="仿宋" w:eastAsia="仿宋" w:cs="仿宋"/>
                <w:szCs w:val="21"/>
              </w:rPr>
              <w:t>非联合体投标</w:t>
            </w:r>
          </w:p>
        </w:tc>
        <w:tc>
          <w:tcPr>
            <w:tcW w:w="2562" w:type="dxa"/>
            <w:vAlign w:val="center"/>
          </w:tcPr>
          <w:p w14:paraId="2512887C">
            <w:pPr>
              <w:spacing w:before="24" w:after="24" w:line="360" w:lineRule="auto"/>
              <w:jc w:val="left"/>
              <w:rPr>
                <w:rFonts w:ascii="仿宋" w:hAnsi="仿宋" w:eastAsia="仿宋" w:cs="仿宋"/>
                <w:kern w:val="0"/>
                <w:szCs w:val="21"/>
              </w:rPr>
            </w:pPr>
          </w:p>
        </w:tc>
      </w:tr>
      <w:tr w14:paraId="0951F43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912" w:type="dxa"/>
            <w:vMerge w:val="continue"/>
            <w:vAlign w:val="center"/>
          </w:tcPr>
          <w:p w14:paraId="0D016226">
            <w:pPr>
              <w:widowControl/>
              <w:spacing w:line="360" w:lineRule="auto"/>
              <w:jc w:val="left"/>
              <w:rPr>
                <w:rFonts w:ascii="仿宋" w:hAnsi="仿宋" w:eastAsia="仿宋" w:cs="仿宋"/>
                <w:kern w:val="0"/>
                <w:szCs w:val="21"/>
              </w:rPr>
            </w:pPr>
          </w:p>
        </w:tc>
        <w:tc>
          <w:tcPr>
            <w:tcW w:w="1277" w:type="dxa"/>
            <w:vMerge w:val="continue"/>
            <w:vAlign w:val="center"/>
          </w:tcPr>
          <w:p w14:paraId="6FF6E7DC">
            <w:pPr>
              <w:widowControl/>
              <w:spacing w:line="360" w:lineRule="auto"/>
              <w:jc w:val="left"/>
              <w:rPr>
                <w:rFonts w:ascii="仿宋" w:hAnsi="仿宋" w:eastAsia="仿宋" w:cs="仿宋"/>
                <w:kern w:val="0"/>
                <w:szCs w:val="21"/>
              </w:rPr>
            </w:pPr>
          </w:p>
        </w:tc>
        <w:tc>
          <w:tcPr>
            <w:tcW w:w="4723" w:type="dxa"/>
            <w:vAlign w:val="center"/>
          </w:tcPr>
          <w:p w14:paraId="370F83B2">
            <w:pPr>
              <w:spacing w:before="24" w:after="24" w:line="360" w:lineRule="auto"/>
              <w:jc w:val="center"/>
              <w:rPr>
                <w:rFonts w:ascii="仿宋" w:hAnsi="仿宋" w:eastAsia="仿宋" w:cs="仿宋"/>
                <w:szCs w:val="21"/>
              </w:rPr>
            </w:pPr>
            <w:r>
              <w:rPr>
                <w:rFonts w:hint="eastAsia" w:ascii="仿宋" w:hAnsi="仿宋" w:eastAsia="仿宋" w:cs="仿宋"/>
                <w:kern w:val="0"/>
                <w:szCs w:val="21"/>
              </w:rPr>
              <w:t>其它资格评审要求</w:t>
            </w:r>
          </w:p>
        </w:tc>
        <w:tc>
          <w:tcPr>
            <w:tcW w:w="2562" w:type="dxa"/>
            <w:vAlign w:val="center"/>
          </w:tcPr>
          <w:p w14:paraId="1EBC1E63">
            <w:pPr>
              <w:spacing w:before="24" w:after="24" w:line="360" w:lineRule="auto"/>
              <w:jc w:val="left"/>
              <w:rPr>
                <w:rFonts w:ascii="仿宋" w:hAnsi="仿宋" w:eastAsia="仿宋" w:cs="仿宋"/>
                <w:kern w:val="0"/>
                <w:szCs w:val="21"/>
              </w:rPr>
            </w:pPr>
          </w:p>
        </w:tc>
      </w:tr>
      <w:tr w14:paraId="0E7385D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912" w:type="dxa"/>
            <w:vMerge w:val="restart"/>
            <w:vAlign w:val="center"/>
          </w:tcPr>
          <w:p w14:paraId="28F092E6">
            <w:pPr>
              <w:widowControl/>
              <w:spacing w:line="360" w:lineRule="auto"/>
              <w:jc w:val="center"/>
              <w:rPr>
                <w:rFonts w:ascii="仿宋" w:hAnsi="仿宋" w:eastAsia="仿宋" w:cs="仿宋"/>
                <w:kern w:val="0"/>
                <w:szCs w:val="21"/>
              </w:rPr>
            </w:pPr>
            <w:r>
              <w:rPr>
                <w:rFonts w:hint="eastAsia" w:ascii="仿宋" w:hAnsi="仿宋" w:eastAsia="仿宋" w:cs="仿宋"/>
                <w:kern w:val="0"/>
                <w:szCs w:val="21"/>
              </w:rPr>
              <w:t>3</w:t>
            </w:r>
          </w:p>
        </w:tc>
        <w:tc>
          <w:tcPr>
            <w:tcW w:w="1277" w:type="dxa"/>
            <w:vMerge w:val="restart"/>
            <w:vAlign w:val="center"/>
          </w:tcPr>
          <w:p w14:paraId="6E41DCC3">
            <w:pPr>
              <w:widowControl/>
              <w:spacing w:line="360" w:lineRule="auto"/>
              <w:jc w:val="center"/>
              <w:rPr>
                <w:rFonts w:ascii="仿宋" w:hAnsi="仿宋" w:eastAsia="仿宋" w:cs="仿宋"/>
                <w:kern w:val="0"/>
                <w:szCs w:val="21"/>
              </w:rPr>
            </w:pPr>
            <w:r>
              <w:rPr>
                <w:rFonts w:hint="eastAsia" w:ascii="仿宋" w:hAnsi="仿宋" w:eastAsia="仿宋" w:cs="仿宋"/>
                <w:kern w:val="0"/>
                <w:szCs w:val="21"/>
              </w:rPr>
              <w:t>响应性评审标准</w:t>
            </w:r>
          </w:p>
        </w:tc>
        <w:tc>
          <w:tcPr>
            <w:tcW w:w="4723" w:type="dxa"/>
            <w:vAlign w:val="center"/>
          </w:tcPr>
          <w:p w14:paraId="32132183">
            <w:pPr>
              <w:spacing w:before="24" w:after="24" w:line="360" w:lineRule="auto"/>
              <w:jc w:val="center"/>
              <w:rPr>
                <w:rFonts w:ascii="仿宋" w:hAnsi="仿宋" w:eastAsia="仿宋" w:cs="仿宋"/>
                <w:kern w:val="0"/>
                <w:szCs w:val="21"/>
              </w:rPr>
            </w:pPr>
            <w:r>
              <w:rPr>
                <w:rFonts w:hint="eastAsia" w:ascii="仿宋" w:hAnsi="仿宋" w:eastAsia="仿宋" w:cs="仿宋"/>
                <w:szCs w:val="21"/>
              </w:rPr>
              <w:t>投标函</w:t>
            </w:r>
          </w:p>
        </w:tc>
        <w:tc>
          <w:tcPr>
            <w:tcW w:w="2562" w:type="dxa"/>
            <w:vAlign w:val="center"/>
          </w:tcPr>
          <w:p w14:paraId="1679739A">
            <w:pPr>
              <w:spacing w:line="360" w:lineRule="auto"/>
              <w:rPr>
                <w:rFonts w:ascii="仿宋" w:hAnsi="仿宋" w:eastAsia="仿宋" w:cs="仿宋"/>
                <w:kern w:val="0"/>
                <w:szCs w:val="21"/>
              </w:rPr>
            </w:pPr>
          </w:p>
        </w:tc>
      </w:tr>
      <w:tr w14:paraId="6CAD2CF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912" w:type="dxa"/>
            <w:vMerge w:val="continue"/>
            <w:vAlign w:val="center"/>
          </w:tcPr>
          <w:p w14:paraId="4424A934">
            <w:pPr>
              <w:widowControl/>
              <w:spacing w:line="360" w:lineRule="auto"/>
              <w:jc w:val="left"/>
              <w:rPr>
                <w:rFonts w:ascii="仿宋" w:hAnsi="仿宋" w:eastAsia="仿宋" w:cs="仿宋"/>
                <w:kern w:val="0"/>
                <w:szCs w:val="21"/>
              </w:rPr>
            </w:pPr>
          </w:p>
        </w:tc>
        <w:tc>
          <w:tcPr>
            <w:tcW w:w="1277" w:type="dxa"/>
            <w:vMerge w:val="continue"/>
            <w:vAlign w:val="center"/>
          </w:tcPr>
          <w:p w14:paraId="2C6BF48C">
            <w:pPr>
              <w:widowControl/>
              <w:spacing w:line="360" w:lineRule="auto"/>
              <w:jc w:val="left"/>
              <w:rPr>
                <w:rFonts w:ascii="仿宋" w:hAnsi="仿宋" w:eastAsia="仿宋" w:cs="仿宋"/>
                <w:kern w:val="0"/>
                <w:szCs w:val="21"/>
              </w:rPr>
            </w:pPr>
          </w:p>
        </w:tc>
        <w:tc>
          <w:tcPr>
            <w:tcW w:w="4723" w:type="dxa"/>
            <w:vAlign w:val="center"/>
          </w:tcPr>
          <w:p w14:paraId="28AE6080">
            <w:pPr>
              <w:spacing w:before="24" w:after="24" w:line="360" w:lineRule="auto"/>
              <w:jc w:val="center"/>
              <w:rPr>
                <w:rFonts w:ascii="仿宋" w:hAnsi="仿宋" w:eastAsia="仿宋" w:cs="仿宋"/>
                <w:kern w:val="0"/>
                <w:szCs w:val="21"/>
              </w:rPr>
            </w:pPr>
            <w:r>
              <w:rPr>
                <w:rFonts w:hint="eastAsia" w:ascii="仿宋" w:hAnsi="仿宋" w:eastAsia="仿宋" w:cs="仿宋"/>
                <w:szCs w:val="21"/>
              </w:rPr>
              <w:t>投标保证金</w:t>
            </w:r>
          </w:p>
        </w:tc>
        <w:tc>
          <w:tcPr>
            <w:tcW w:w="2562" w:type="dxa"/>
            <w:vAlign w:val="center"/>
          </w:tcPr>
          <w:p w14:paraId="005299BE">
            <w:pPr>
              <w:spacing w:line="360" w:lineRule="auto"/>
              <w:rPr>
                <w:rFonts w:ascii="仿宋" w:hAnsi="仿宋" w:eastAsia="仿宋" w:cs="仿宋"/>
                <w:kern w:val="0"/>
                <w:szCs w:val="21"/>
              </w:rPr>
            </w:pPr>
          </w:p>
        </w:tc>
      </w:tr>
      <w:tr w14:paraId="0557744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912" w:type="dxa"/>
            <w:vMerge w:val="continue"/>
            <w:vAlign w:val="center"/>
          </w:tcPr>
          <w:p w14:paraId="1F2948ED">
            <w:pPr>
              <w:widowControl/>
              <w:spacing w:line="360" w:lineRule="auto"/>
              <w:jc w:val="left"/>
              <w:rPr>
                <w:rFonts w:ascii="仿宋" w:hAnsi="仿宋" w:eastAsia="仿宋" w:cs="仿宋"/>
                <w:kern w:val="0"/>
                <w:szCs w:val="21"/>
              </w:rPr>
            </w:pPr>
          </w:p>
        </w:tc>
        <w:tc>
          <w:tcPr>
            <w:tcW w:w="1277" w:type="dxa"/>
            <w:vMerge w:val="continue"/>
            <w:vAlign w:val="center"/>
          </w:tcPr>
          <w:p w14:paraId="1883EA57">
            <w:pPr>
              <w:widowControl/>
              <w:spacing w:line="360" w:lineRule="auto"/>
              <w:jc w:val="left"/>
              <w:rPr>
                <w:rFonts w:ascii="仿宋" w:hAnsi="仿宋" w:eastAsia="仿宋" w:cs="仿宋"/>
                <w:kern w:val="0"/>
                <w:szCs w:val="21"/>
              </w:rPr>
            </w:pPr>
          </w:p>
        </w:tc>
        <w:tc>
          <w:tcPr>
            <w:tcW w:w="4723" w:type="dxa"/>
            <w:vAlign w:val="center"/>
          </w:tcPr>
          <w:p w14:paraId="1D5FDA7B">
            <w:pPr>
              <w:spacing w:before="24" w:after="24" w:line="360" w:lineRule="auto"/>
              <w:jc w:val="center"/>
              <w:rPr>
                <w:rFonts w:ascii="仿宋" w:hAnsi="仿宋" w:eastAsia="仿宋" w:cs="仿宋"/>
                <w:szCs w:val="21"/>
              </w:rPr>
            </w:pPr>
            <w:r>
              <w:rPr>
                <w:rFonts w:hint="eastAsia" w:ascii="仿宋" w:hAnsi="仿宋" w:eastAsia="仿宋" w:cs="仿宋"/>
                <w:szCs w:val="21"/>
              </w:rPr>
              <w:t>供应商行为准则承诺书</w:t>
            </w:r>
          </w:p>
        </w:tc>
        <w:tc>
          <w:tcPr>
            <w:tcW w:w="2562" w:type="dxa"/>
            <w:vAlign w:val="center"/>
          </w:tcPr>
          <w:p w14:paraId="30846BD1">
            <w:pPr>
              <w:spacing w:line="360" w:lineRule="auto"/>
              <w:rPr>
                <w:rFonts w:ascii="仿宋" w:hAnsi="仿宋" w:eastAsia="仿宋" w:cs="仿宋"/>
                <w:kern w:val="0"/>
                <w:szCs w:val="21"/>
              </w:rPr>
            </w:pPr>
          </w:p>
        </w:tc>
      </w:tr>
      <w:tr w14:paraId="77C80AE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912" w:type="dxa"/>
            <w:vMerge w:val="continue"/>
            <w:vAlign w:val="center"/>
          </w:tcPr>
          <w:p w14:paraId="568B6DC0">
            <w:pPr>
              <w:widowControl/>
              <w:spacing w:line="360" w:lineRule="auto"/>
              <w:jc w:val="left"/>
              <w:rPr>
                <w:rFonts w:ascii="仿宋" w:hAnsi="仿宋" w:eastAsia="仿宋" w:cs="仿宋"/>
                <w:kern w:val="0"/>
                <w:szCs w:val="21"/>
              </w:rPr>
            </w:pPr>
          </w:p>
        </w:tc>
        <w:tc>
          <w:tcPr>
            <w:tcW w:w="1277" w:type="dxa"/>
            <w:vMerge w:val="continue"/>
            <w:vAlign w:val="center"/>
          </w:tcPr>
          <w:p w14:paraId="75244B20">
            <w:pPr>
              <w:widowControl/>
              <w:spacing w:line="360" w:lineRule="auto"/>
              <w:jc w:val="left"/>
              <w:rPr>
                <w:rFonts w:ascii="仿宋" w:hAnsi="仿宋" w:eastAsia="仿宋" w:cs="仿宋"/>
                <w:kern w:val="0"/>
                <w:szCs w:val="21"/>
              </w:rPr>
            </w:pPr>
          </w:p>
        </w:tc>
        <w:tc>
          <w:tcPr>
            <w:tcW w:w="4723" w:type="dxa"/>
            <w:vAlign w:val="center"/>
          </w:tcPr>
          <w:p w14:paraId="0BF8808D">
            <w:pPr>
              <w:spacing w:before="24" w:after="24" w:line="360" w:lineRule="auto"/>
              <w:jc w:val="center"/>
              <w:rPr>
                <w:rFonts w:ascii="仿宋" w:hAnsi="仿宋" w:eastAsia="仿宋" w:cs="仿宋"/>
                <w:szCs w:val="21"/>
              </w:rPr>
            </w:pPr>
            <w:r>
              <w:rPr>
                <w:rFonts w:hint="eastAsia" w:ascii="仿宋" w:hAnsi="仿宋" w:eastAsia="仿宋" w:cs="仿宋"/>
                <w:szCs w:val="21"/>
              </w:rPr>
              <w:t>供应商廉洁诚信承诺书</w:t>
            </w:r>
          </w:p>
        </w:tc>
        <w:tc>
          <w:tcPr>
            <w:tcW w:w="2562" w:type="dxa"/>
            <w:vAlign w:val="center"/>
          </w:tcPr>
          <w:p w14:paraId="75699399">
            <w:pPr>
              <w:spacing w:line="360" w:lineRule="auto"/>
              <w:rPr>
                <w:rFonts w:ascii="仿宋" w:hAnsi="仿宋" w:eastAsia="仿宋" w:cs="仿宋"/>
                <w:kern w:val="0"/>
                <w:szCs w:val="21"/>
              </w:rPr>
            </w:pPr>
          </w:p>
        </w:tc>
      </w:tr>
      <w:tr w14:paraId="10EFC07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912" w:type="dxa"/>
            <w:vMerge w:val="continue"/>
            <w:vAlign w:val="center"/>
          </w:tcPr>
          <w:p w14:paraId="6D96CB9D">
            <w:pPr>
              <w:widowControl/>
              <w:spacing w:line="360" w:lineRule="auto"/>
              <w:jc w:val="left"/>
              <w:rPr>
                <w:rFonts w:ascii="仿宋" w:hAnsi="仿宋" w:eastAsia="仿宋" w:cs="仿宋"/>
                <w:kern w:val="0"/>
                <w:szCs w:val="21"/>
              </w:rPr>
            </w:pPr>
          </w:p>
        </w:tc>
        <w:tc>
          <w:tcPr>
            <w:tcW w:w="1277" w:type="dxa"/>
            <w:vMerge w:val="continue"/>
            <w:vAlign w:val="center"/>
          </w:tcPr>
          <w:p w14:paraId="0EA2AC1C">
            <w:pPr>
              <w:widowControl/>
              <w:spacing w:line="360" w:lineRule="auto"/>
              <w:jc w:val="left"/>
              <w:rPr>
                <w:rFonts w:ascii="仿宋" w:hAnsi="仿宋" w:eastAsia="仿宋" w:cs="仿宋"/>
                <w:kern w:val="0"/>
                <w:szCs w:val="21"/>
              </w:rPr>
            </w:pPr>
          </w:p>
        </w:tc>
        <w:tc>
          <w:tcPr>
            <w:tcW w:w="4723" w:type="dxa"/>
            <w:vAlign w:val="center"/>
          </w:tcPr>
          <w:p w14:paraId="744F2774">
            <w:pPr>
              <w:spacing w:before="24" w:after="24" w:line="360" w:lineRule="auto"/>
              <w:jc w:val="center"/>
              <w:rPr>
                <w:rFonts w:ascii="仿宋" w:hAnsi="仿宋" w:eastAsia="仿宋" w:cs="仿宋"/>
                <w:kern w:val="0"/>
                <w:szCs w:val="21"/>
              </w:rPr>
            </w:pPr>
            <w:r>
              <w:rPr>
                <w:rFonts w:hint="eastAsia" w:ascii="仿宋" w:hAnsi="仿宋" w:eastAsia="仿宋" w:cs="仿宋"/>
                <w:szCs w:val="21"/>
              </w:rPr>
              <w:t>投标一览表</w:t>
            </w:r>
          </w:p>
        </w:tc>
        <w:tc>
          <w:tcPr>
            <w:tcW w:w="2562" w:type="dxa"/>
            <w:vAlign w:val="center"/>
          </w:tcPr>
          <w:p w14:paraId="529551A6">
            <w:pPr>
              <w:spacing w:line="360" w:lineRule="auto"/>
              <w:rPr>
                <w:rFonts w:ascii="仿宋" w:hAnsi="仿宋" w:eastAsia="仿宋" w:cs="仿宋"/>
                <w:kern w:val="0"/>
                <w:szCs w:val="21"/>
              </w:rPr>
            </w:pPr>
          </w:p>
        </w:tc>
      </w:tr>
      <w:tr w14:paraId="4EFA091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912" w:type="dxa"/>
            <w:vMerge w:val="continue"/>
            <w:vAlign w:val="center"/>
          </w:tcPr>
          <w:p w14:paraId="749B732C">
            <w:pPr>
              <w:widowControl/>
              <w:spacing w:line="360" w:lineRule="auto"/>
              <w:jc w:val="left"/>
              <w:rPr>
                <w:rFonts w:ascii="仿宋" w:hAnsi="仿宋" w:eastAsia="仿宋" w:cs="仿宋"/>
                <w:kern w:val="0"/>
                <w:szCs w:val="21"/>
              </w:rPr>
            </w:pPr>
          </w:p>
        </w:tc>
        <w:tc>
          <w:tcPr>
            <w:tcW w:w="1277" w:type="dxa"/>
            <w:vMerge w:val="continue"/>
            <w:vAlign w:val="center"/>
          </w:tcPr>
          <w:p w14:paraId="642CD22A">
            <w:pPr>
              <w:widowControl/>
              <w:spacing w:line="360" w:lineRule="auto"/>
              <w:jc w:val="left"/>
              <w:rPr>
                <w:rFonts w:ascii="仿宋" w:hAnsi="仿宋" w:eastAsia="仿宋" w:cs="仿宋"/>
                <w:kern w:val="0"/>
                <w:szCs w:val="21"/>
              </w:rPr>
            </w:pPr>
          </w:p>
        </w:tc>
        <w:tc>
          <w:tcPr>
            <w:tcW w:w="4723" w:type="dxa"/>
            <w:vAlign w:val="center"/>
          </w:tcPr>
          <w:p w14:paraId="6358CF59">
            <w:pPr>
              <w:spacing w:before="24" w:after="24" w:line="360" w:lineRule="auto"/>
              <w:jc w:val="center"/>
              <w:rPr>
                <w:rFonts w:ascii="仿宋" w:hAnsi="仿宋" w:eastAsia="仿宋" w:cs="仿宋"/>
                <w:kern w:val="0"/>
                <w:szCs w:val="21"/>
              </w:rPr>
            </w:pPr>
            <w:r>
              <w:rPr>
                <w:rFonts w:hint="eastAsia" w:ascii="仿宋" w:hAnsi="仿宋" w:eastAsia="仿宋" w:cs="仿宋"/>
                <w:szCs w:val="21"/>
              </w:rPr>
              <w:t>偏离表应答</w:t>
            </w:r>
          </w:p>
        </w:tc>
        <w:tc>
          <w:tcPr>
            <w:tcW w:w="2562" w:type="dxa"/>
            <w:vAlign w:val="center"/>
          </w:tcPr>
          <w:p w14:paraId="266375F1">
            <w:pPr>
              <w:spacing w:line="360" w:lineRule="auto"/>
              <w:rPr>
                <w:rFonts w:ascii="仿宋" w:hAnsi="仿宋" w:eastAsia="仿宋" w:cs="仿宋"/>
                <w:kern w:val="0"/>
                <w:szCs w:val="21"/>
              </w:rPr>
            </w:pPr>
          </w:p>
        </w:tc>
      </w:tr>
      <w:tr w14:paraId="5749FAD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912" w:type="dxa"/>
            <w:vMerge w:val="continue"/>
            <w:vAlign w:val="center"/>
          </w:tcPr>
          <w:p w14:paraId="2E4FEF1C">
            <w:pPr>
              <w:widowControl/>
              <w:spacing w:line="360" w:lineRule="auto"/>
              <w:jc w:val="left"/>
              <w:rPr>
                <w:rFonts w:ascii="仿宋" w:hAnsi="仿宋" w:eastAsia="仿宋" w:cs="仿宋"/>
                <w:kern w:val="0"/>
                <w:szCs w:val="21"/>
              </w:rPr>
            </w:pPr>
          </w:p>
        </w:tc>
        <w:tc>
          <w:tcPr>
            <w:tcW w:w="1277" w:type="dxa"/>
            <w:vMerge w:val="continue"/>
            <w:vAlign w:val="center"/>
          </w:tcPr>
          <w:p w14:paraId="11BEBFE1">
            <w:pPr>
              <w:widowControl/>
              <w:spacing w:line="360" w:lineRule="auto"/>
              <w:jc w:val="left"/>
              <w:rPr>
                <w:rFonts w:ascii="仿宋" w:hAnsi="仿宋" w:eastAsia="仿宋" w:cs="仿宋"/>
                <w:kern w:val="0"/>
                <w:szCs w:val="21"/>
              </w:rPr>
            </w:pPr>
          </w:p>
        </w:tc>
        <w:tc>
          <w:tcPr>
            <w:tcW w:w="4723" w:type="dxa"/>
            <w:vAlign w:val="center"/>
          </w:tcPr>
          <w:p w14:paraId="5010F1E1">
            <w:pPr>
              <w:spacing w:before="24" w:after="24" w:line="360" w:lineRule="auto"/>
              <w:jc w:val="center"/>
              <w:rPr>
                <w:rFonts w:ascii="仿宋" w:hAnsi="仿宋" w:eastAsia="仿宋" w:cs="仿宋"/>
                <w:kern w:val="0"/>
                <w:szCs w:val="21"/>
              </w:rPr>
            </w:pPr>
            <w:r>
              <w:rPr>
                <w:rFonts w:hint="eastAsia" w:ascii="仿宋" w:hAnsi="仿宋" w:eastAsia="仿宋" w:cs="仿宋"/>
                <w:szCs w:val="21"/>
              </w:rPr>
              <w:t>其他实质性响应情况</w:t>
            </w:r>
          </w:p>
        </w:tc>
        <w:tc>
          <w:tcPr>
            <w:tcW w:w="2562" w:type="dxa"/>
            <w:vAlign w:val="center"/>
          </w:tcPr>
          <w:p w14:paraId="5731D9DD">
            <w:pPr>
              <w:spacing w:line="360" w:lineRule="auto"/>
              <w:rPr>
                <w:rFonts w:ascii="仿宋" w:hAnsi="仿宋" w:eastAsia="仿宋" w:cs="仿宋"/>
                <w:kern w:val="0"/>
                <w:szCs w:val="21"/>
              </w:rPr>
            </w:pPr>
          </w:p>
        </w:tc>
      </w:tr>
    </w:tbl>
    <w:p w14:paraId="1982AD1A">
      <w:pPr>
        <w:pStyle w:val="10"/>
        <w:spacing w:line="360" w:lineRule="auto"/>
        <w:ind w:firstLine="0"/>
        <w:rPr>
          <w:rFonts w:ascii="仿宋" w:hAnsi="仿宋" w:eastAsia="仿宋" w:cs="仿宋"/>
          <w:b/>
          <w:bCs/>
          <w:sz w:val="24"/>
          <w:szCs w:val="24"/>
        </w:rPr>
      </w:pPr>
      <w:r>
        <w:rPr>
          <w:rFonts w:hint="eastAsia" w:ascii="仿宋" w:hAnsi="仿宋" w:eastAsia="仿宋" w:cs="仿宋"/>
          <w:b/>
          <w:bCs/>
          <w:sz w:val="24"/>
          <w:szCs w:val="24"/>
        </w:rPr>
        <w:t>注：本索引表仅提供格式参考，投标人可根据招标文件第三章的要求自行调整。</w:t>
      </w:r>
    </w:p>
    <w:p w14:paraId="29724148">
      <w:pPr>
        <w:spacing w:line="360" w:lineRule="auto"/>
        <w:rPr>
          <w:rFonts w:ascii="仿宋" w:hAnsi="仿宋" w:eastAsia="仿宋" w:cs="仿宋"/>
          <w:b/>
          <w:bCs/>
          <w:sz w:val="24"/>
          <w:szCs w:val="24"/>
        </w:rPr>
      </w:pPr>
      <w:r>
        <w:rPr>
          <w:rFonts w:hint="eastAsia" w:ascii="仿宋" w:hAnsi="仿宋" w:eastAsia="仿宋" w:cs="仿宋"/>
          <w:b/>
          <w:bCs/>
          <w:sz w:val="24"/>
          <w:szCs w:val="24"/>
        </w:rPr>
        <w:br w:type="page"/>
      </w:r>
    </w:p>
    <w:p w14:paraId="29BCFE23">
      <w:pPr>
        <w:pStyle w:val="5"/>
        <w:spacing w:line="360" w:lineRule="auto"/>
        <w:ind w:firstLine="482"/>
        <w:jc w:val="center"/>
        <w:rPr>
          <w:rFonts w:hint="default" w:ascii="仿宋" w:hAnsi="仿宋" w:cs="仿宋"/>
          <w:b w:val="0"/>
        </w:rPr>
      </w:pPr>
      <w:bookmarkStart w:id="922" w:name="_Toc23439"/>
      <w:bookmarkStart w:id="923" w:name="_Toc19663"/>
      <w:bookmarkStart w:id="924" w:name="_Toc1914"/>
      <w:bookmarkStart w:id="925" w:name="_Toc17398"/>
      <w:bookmarkStart w:id="926" w:name="_Toc7162"/>
      <w:r>
        <w:rPr>
          <w:rFonts w:ascii="仿宋" w:hAnsi="仿宋" w:cs="仿宋"/>
        </w:rPr>
        <w:t>详细评审索引表</w:t>
      </w:r>
      <w:bookmarkEnd w:id="922"/>
      <w:bookmarkEnd w:id="923"/>
      <w:bookmarkEnd w:id="924"/>
      <w:bookmarkEnd w:id="925"/>
      <w:bookmarkEnd w:id="926"/>
    </w:p>
    <w:tbl>
      <w:tblPr>
        <w:tblStyle w:val="33"/>
        <w:tblW w:w="95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9"/>
        <w:gridCol w:w="2132"/>
        <w:gridCol w:w="3421"/>
        <w:gridCol w:w="3231"/>
      </w:tblGrid>
      <w:tr w14:paraId="1CDFC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29" w:type="dxa"/>
            <w:tcMar>
              <w:top w:w="15" w:type="dxa"/>
              <w:left w:w="15" w:type="dxa"/>
              <w:right w:w="15" w:type="dxa"/>
            </w:tcMar>
            <w:vAlign w:val="center"/>
          </w:tcPr>
          <w:p w14:paraId="73ECC782">
            <w:pPr>
              <w:widowControl/>
              <w:spacing w:line="360" w:lineRule="auto"/>
              <w:jc w:val="center"/>
              <w:textAlignment w:val="center"/>
              <w:rPr>
                <w:rFonts w:ascii="仿宋" w:hAnsi="仿宋" w:eastAsia="仿宋" w:cs="仿宋"/>
                <w:b/>
                <w:szCs w:val="21"/>
              </w:rPr>
            </w:pPr>
            <w:r>
              <w:rPr>
                <w:rFonts w:hint="eastAsia" w:ascii="仿宋" w:hAnsi="仿宋" w:eastAsia="仿宋" w:cs="仿宋"/>
                <w:b/>
                <w:kern w:val="0"/>
                <w:szCs w:val="21"/>
                <w:lang w:bidi="ar"/>
              </w:rPr>
              <w:t>序号</w:t>
            </w:r>
          </w:p>
        </w:tc>
        <w:tc>
          <w:tcPr>
            <w:tcW w:w="2132" w:type="dxa"/>
            <w:tcMar>
              <w:top w:w="15" w:type="dxa"/>
              <w:left w:w="15" w:type="dxa"/>
              <w:right w:w="15" w:type="dxa"/>
            </w:tcMar>
            <w:vAlign w:val="center"/>
          </w:tcPr>
          <w:p w14:paraId="7484264F">
            <w:pPr>
              <w:spacing w:line="360" w:lineRule="auto"/>
              <w:jc w:val="center"/>
              <w:rPr>
                <w:rFonts w:ascii="仿宋" w:hAnsi="仿宋" w:eastAsia="仿宋" w:cs="仿宋"/>
                <w:b/>
                <w:kern w:val="0"/>
                <w:szCs w:val="21"/>
                <w:lang w:bidi="ar"/>
              </w:rPr>
            </w:pPr>
            <w:r>
              <w:rPr>
                <w:rFonts w:hint="eastAsia" w:ascii="仿宋" w:hAnsi="仿宋" w:eastAsia="仿宋" w:cs="仿宋"/>
                <w:b/>
                <w:bCs/>
                <w:szCs w:val="21"/>
              </w:rPr>
              <w:t>评审项</w:t>
            </w:r>
          </w:p>
        </w:tc>
        <w:tc>
          <w:tcPr>
            <w:tcW w:w="3421" w:type="dxa"/>
          </w:tcPr>
          <w:p w14:paraId="792143DA">
            <w:pPr>
              <w:widowControl/>
              <w:spacing w:line="360" w:lineRule="auto"/>
              <w:jc w:val="center"/>
              <w:rPr>
                <w:rFonts w:ascii="仿宋" w:hAnsi="仿宋" w:eastAsia="仿宋" w:cs="仿宋"/>
                <w:b/>
                <w:kern w:val="0"/>
                <w:szCs w:val="21"/>
              </w:rPr>
            </w:pPr>
            <w:r>
              <w:rPr>
                <w:rFonts w:hint="eastAsia" w:ascii="仿宋" w:hAnsi="仿宋" w:eastAsia="仿宋" w:cs="仿宋"/>
                <w:b/>
                <w:kern w:val="0"/>
                <w:szCs w:val="21"/>
                <w:lang w:bidi="ar"/>
              </w:rPr>
              <w:t>评审因素</w:t>
            </w:r>
          </w:p>
        </w:tc>
        <w:tc>
          <w:tcPr>
            <w:tcW w:w="3231" w:type="dxa"/>
            <w:tcMar>
              <w:top w:w="15" w:type="dxa"/>
              <w:left w:w="15" w:type="dxa"/>
              <w:right w:w="15" w:type="dxa"/>
            </w:tcMar>
            <w:vAlign w:val="center"/>
          </w:tcPr>
          <w:p w14:paraId="2FFFE42E">
            <w:pPr>
              <w:widowControl/>
              <w:spacing w:line="360" w:lineRule="auto"/>
              <w:jc w:val="center"/>
              <w:rPr>
                <w:rFonts w:ascii="仿宋" w:hAnsi="仿宋" w:eastAsia="仿宋" w:cs="仿宋"/>
                <w:b/>
                <w:kern w:val="0"/>
                <w:szCs w:val="21"/>
              </w:rPr>
            </w:pPr>
            <w:r>
              <w:rPr>
                <w:rFonts w:hint="eastAsia" w:ascii="仿宋" w:hAnsi="仿宋" w:eastAsia="仿宋" w:cs="仿宋"/>
                <w:b/>
                <w:kern w:val="0"/>
                <w:szCs w:val="21"/>
              </w:rPr>
              <w:t>页码范围</w:t>
            </w:r>
          </w:p>
        </w:tc>
      </w:tr>
      <w:tr w14:paraId="59D9D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jc w:val="center"/>
        </w:trPr>
        <w:tc>
          <w:tcPr>
            <w:tcW w:w="729" w:type="dxa"/>
            <w:tcMar>
              <w:top w:w="15" w:type="dxa"/>
              <w:left w:w="15" w:type="dxa"/>
              <w:right w:w="15" w:type="dxa"/>
            </w:tcMar>
            <w:vAlign w:val="center"/>
          </w:tcPr>
          <w:p w14:paraId="50C4D2A0">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w:t>
            </w:r>
          </w:p>
        </w:tc>
        <w:tc>
          <w:tcPr>
            <w:tcW w:w="2132" w:type="dxa"/>
            <w:vMerge w:val="restart"/>
            <w:tcMar>
              <w:top w:w="15" w:type="dxa"/>
              <w:left w:w="15" w:type="dxa"/>
              <w:right w:w="15" w:type="dxa"/>
            </w:tcMar>
            <w:vAlign w:val="center"/>
          </w:tcPr>
          <w:p w14:paraId="172BDAF6">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商务得分</w:t>
            </w:r>
          </w:p>
          <w:p w14:paraId="49B19BFB">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（10分）</w:t>
            </w:r>
          </w:p>
        </w:tc>
        <w:tc>
          <w:tcPr>
            <w:tcW w:w="3421" w:type="dxa"/>
            <w:vAlign w:val="center"/>
          </w:tcPr>
          <w:p w14:paraId="384CCD9C">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资质证书</w:t>
            </w:r>
          </w:p>
          <w:p w14:paraId="055BEAD0">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（5分）</w:t>
            </w:r>
          </w:p>
        </w:tc>
        <w:tc>
          <w:tcPr>
            <w:tcW w:w="3231" w:type="dxa"/>
            <w:tcMar>
              <w:top w:w="15" w:type="dxa"/>
              <w:left w:w="15" w:type="dxa"/>
              <w:right w:w="15" w:type="dxa"/>
            </w:tcMar>
            <w:vAlign w:val="center"/>
          </w:tcPr>
          <w:p w14:paraId="6DA83292">
            <w:pPr>
              <w:spacing w:line="360" w:lineRule="auto"/>
              <w:jc w:val="center"/>
              <w:rPr>
                <w:rStyle w:val="105"/>
                <w:rFonts w:hint="default"/>
                <w:color w:val="auto"/>
                <w:lang w:bidi="ar"/>
              </w:rPr>
            </w:pPr>
            <w:r>
              <w:rPr>
                <w:rFonts w:hint="eastAsia" w:ascii="仿宋" w:hAnsi="仿宋" w:eastAsia="仿宋" w:cs="仿宋"/>
                <w:kern w:val="0"/>
                <w:szCs w:val="21"/>
              </w:rPr>
              <w:t>详见N-M页</w:t>
            </w:r>
          </w:p>
        </w:tc>
      </w:tr>
      <w:tr w14:paraId="5D44A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jc w:val="center"/>
        </w:trPr>
        <w:tc>
          <w:tcPr>
            <w:tcW w:w="729" w:type="dxa"/>
            <w:tcMar>
              <w:top w:w="15" w:type="dxa"/>
              <w:left w:w="15" w:type="dxa"/>
              <w:right w:w="15" w:type="dxa"/>
            </w:tcMar>
            <w:vAlign w:val="center"/>
          </w:tcPr>
          <w:p w14:paraId="6BE0A53A">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2</w:t>
            </w:r>
          </w:p>
        </w:tc>
        <w:tc>
          <w:tcPr>
            <w:tcW w:w="2132" w:type="dxa"/>
            <w:vMerge w:val="continue"/>
            <w:tcMar>
              <w:top w:w="15" w:type="dxa"/>
              <w:left w:w="15" w:type="dxa"/>
              <w:right w:w="15" w:type="dxa"/>
            </w:tcMar>
            <w:vAlign w:val="center"/>
          </w:tcPr>
          <w:p w14:paraId="6FD23B7C">
            <w:pPr>
              <w:widowControl/>
              <w:spacing w:line="360" w:lineRule="auto"/>
              <w:jc w:val="center"/>
              <w:textAlignment w:val="center"/>
              <w:rPr>
                <w:rFonts w:ascii="仿宋" w:hAnsi="仿宋" w:eastAsia="仿宋" w:cs="仿宋"/>
                <w:kern w:val="0"/>
                <w:szCs w:val="21"/>
                <w:lang w:bidi="ar"/>
              </w:rPr>
            </w:pPr>
          </w:p>
        </w:tc>
        <w:tc>
          <w:tcPr>
            <w:tcW w:w="3421" w:type="dxa"/>
            <w:vAlign w:val="center"/>
          </w:tcPr>
          <w:p w14:paraId="26C01006">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同类业绩</w:t>
            </w:r>
          </w:p>
          <w:p w14:paraId="0912B1B1">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（5分）</w:t>
            </w:r>
          </w:p>
        </w:tc>
        <w:tc>
          <w:tcPr>
            <w:tcW w:w="3231" w:type="dxa"/>
            <w:tcMar>
              <w:top w:w="15" w:type="dxa"/>
              <w:left w:w="15" w:type="dxa"/>
              <w:right w:w="15" w:type="dxa"/>
            </w:tcMar>
            <w:vAlign w:val="center"/>
          </w:tcPr>
          <w:p w14:paraId="77545394">
            <w:pPr>
              <w:spacing w:line="360" w:lineRule="auto"/>
              <w:jc w:val="center"/>
              <w:rPr>
                <w:rStyle w:val="105"/>
                <w:rFonts w:hint="default"/>
                <w:color w:val="auto"/>
                <w:lang w:bidi="ar"/>
              </w:rPr>
            </w:pPr>
            <w:r>
              <w:rPr>
                <w:rFonts w:hint="eastAsia" w:ascii="仿宋" w:hAnsi="仿宋" w:eastAsia="仿宋" w:cs="仿宋"/>
                <w:kern w:val="0"/>
                <w:szCs w:val="21"/>
              </w:rPr>
              <w:t>详见N-M页</w:t>
            </w:r>
          </w:p>
        </w:tc>
      </w:tr>
    </w:tbl>
    <w:p w14:paraId="5F7E8E50">
      <w:pPr>
        <w:pStyle w:val="10"/>
        <w:spacing w:line="360" w:lineRule="auto"/>
        <w:ind w:firstLine="0"/>
        <w:rPr>
          <w:rFonts w:ascii="仿宋" w:hAnsi="仿宋" w:eastAsia="仿宋" w:cs="仿宋"/>
          <w:b/>
          <w:bCs/>
          <w:sz w:val="24"/>
          <w:szCs w:val="24"/>
        </w:rPr>
      </w:pPr>
      <w:r>
        <w:rPr>
          <w:rFonts w:hint="eastAsia" w:ascii="仿宋" w:hAnsi="仿宋" w:eastAsia="仿宋" w:cs="仿宋"/>
          <w:b/>
          <w:bCs/>
          <w:sz w:val="24"/>
          <w:szCs w:val="24"/>
        </w:rPr>
        <w:t>注：本索引表仅提供格式参考，投标人可根据招标文件第三章的要求自行调整。</w:t>
      </w:r>
    </w:p>
    <w:p w14:paraId="5D796634">
      <w:pPr>
        <w:spacing w:line="360" w:lineRule="auto"/>
        <w:rPr>
          <w:rFonts w:ascii="仿宋" w:hAnsi="仿宋" w:eastAsia="仿宋" w:cs="仿宋"/>
          <w:b/>
          <w:bCs/>
          <w:sz w:val="24"/>
          <w:szCs w:val="24"/>
        </w:rPr>
      </w:pPr>
      <w:r>
        <w:rPr>
          <w:rFonts w:hint="eastAsia" w:ascii="仿宋" w:hAnsi="仿宋" w:eastAsia="仿宋" w:cs="仿宋"/>
          <w:b/>
          <w:bCs/>
          <w:sz w:val="24"/>
          <w:szCs w:val="24"/>
        </w:rPr>
        <w:br w:type="page"/>
      </w:r>
    </w:p>
    <w:p w14:paraId="3660D131">
      <w:pPr>
        <w:pStyle w:val="10"/>
        <w:spacing w:line="360" w:lineRule="auto"/>
        <w:ind w:firstLine="0"/>
        <w:outlineLvl w:val="2"/>
        <w:rPr>
          <w:rFonts w:ascii="仿宋" w:hAnsi="仿宋" w:eastAsia="仿宋" w:cs="仿宋"/>
          <w:b/>
          <w:bCs/>
          <w:sz w:val="24"/>
          <w:szCs w:val="24"/>
        </w:rPr>
      </w:pPr>
      <w:bookmarkStart w:id="927" w:name="_Toc20186"/>
      <w:bookmarkStart w:id="928" w:name="_Toc9244"/>
      <w:bookmarkStart w:id="929" w:name="_Toc15464"/>
      <w:bookmarkStart w:id="930" w:name="_Toc30618"/>
      <w:bookmarkStart w:id="931" w:name="_Toc2524"/>
      <w:r>
        <w:rPr>
          <w:rFonts w:hint="eastAsia" w:ascii="仿宋" w:hAnsi="仿宋" w:eastAsia="仿宋" w:cs="仿宋"/>
          <w:b/>
          <w:bCs/>
          <w:sz w:val="24"/>
          <w:szCs w:val="24"/>
        </w:rPr>
        <w:t>（一）投标函</w:t>
      </w:r>
      <w:bookmarkEnd w:id="919"/>
      <w:bookmarkEnd w:id="920"/>
      <w:bookmarkEnd w:id="921"/>
      <w:bookmarkEnd w:id="927"/>
      <w:bookmarkEnd w:id="928"/>
      <w:bookmarkEnd w:id="929"/>
      <w:bookmarkEnd w:id="930"/>
      <w:bookmarkEnd w:id="931"/>
    </w:p>
    <w:p w14:paraId="6C23F3D7">
      <w:pPr>
        <w:pStyle w:val="117"/>
        <w:spacing w:line="360" w:lineRule="auto"/>
        <w:jc w:val="center"/>
        <w:rPr>
          <w:rFonts w:ascii="仿宋" w:hAnsi="仿宋" w:eastAsia="仿宋" w:cs="仿宋"/>
          <w:b/>
          <w:sz w:val="24"/>
          <w:szCs w:val="24"/>
        </w:rPr>
      </w:pPr>
      <w:r>
        <w:rPr>
          <w:rFonts w:hint="eastAsia" w:ascii="仿宋" w:hAnsi="仿宋" w:eastAsia="仿宋" w:cs="仿宋"/>
          <w:b/>
          <w:sz w:val="24"/>
          <w:szCs w:val="24"/>
        </w:rPr>
        <w:t>投标函</w:t>
      </w:r>
    </w:p>
    <w:p w14:paraId="0DA60AEC">
      <w:pPr>
        <w:pStyle w:val="117"/>
        <w:spacing w:line="360" w:lineRule="auto"/>
        <w:rPr>
          <w:rFonts w:ascii="仿宋" w:hAnsi="仿宋" w:eastAsia="仿宋" w:cs="仿宋"/>
          <w:sz w:val="24"/>
          <w:szCs w:val="24"/>
        </w:rPr>
      </w:pPr>
      <w:r>
        <w:rPr>
          <w:rFonts w:hint="eastAsia" w:ascii="仿宋" w:hAnsi="仿宋" w:eastAsia="仿宋" w:cs="仿宋"/>
          <w:sz w:val="24"/>
          <w:szCs w:val="24"/>
          <w:u w:val="single"/>
        </w:rPr>
        <w:t xml:space="preserve">致：（招标人名称）   </w:t>
      </w:r>
    </w:p>
    <w:p w14:paraId="35FA3302">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u w:val="single"/>
        </w:rPr>
        <w:t xml:space="preserve">   （投标人名称）   </w:t>
      </w:r>
      <w:r>
        <w:rPr>
          <w:rFonts w:hint="eastAsia" w:ascii="仿宋" w:hAnsi="仿宋" w:eastAsia="仿宋" w:cs="仿宋"/>
          <w:kern w:val="0"/>
          <w:sz w:val="24"/>
          <w:szCs w:val="24"/>
        </w:rPr>
        <w:t>（以下称“我方”）已仔细研究了</w:t>
      </w:r>
      <w:r>
        <w:rPr>
          <w:rFonts w:hint="eastAsia" w:ascii="仿宋" w:hAnsi="仿宋" w:eastAsia="仿宋" w:cs="仿宋"/>
          <w:kern w:val="0"/>
          <w:sz w:val="24"/>
          <w:szCs w:val="24"/>
          <w:u w:val="single"/>
        </w:rPr>
        <w:t xml:space="preserve">    （项目名称）   </w:t>
      </w:r>
      <w:r>
        <w:rPr>
          <w:rFonts w:hint="eastAsia" w:ascii="仿宋" w:hAnsi="仿宋" w:eastAsia="仿宋" w:cs="仿宋"/>
          <w:kern w:val="0"/>
          <w:sz w:val="24"/>
          <w:szCs w:val="24"/>
        </w:rPr>
        <w:t>招标文件的全部内容，包括澄清或者修改文件以及有关附件，我方将严格按照招标文件要求递交符合要求的全部投标文件。</w:t>
      </w:r>
    </w:p>
    <w:p w14:paraId="4E1A7004">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现我方承诺如下内容：</w:t>
      </w:r>
    </w:p>
    <w:p w14:paraId="3EA3BD0F">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1. 本投标函及投标文件自投标文件提交截止日起</w:t>
      </w:r>
      <w:r>
        <w:rPr>
          <w:rFonts w:hint="eastAsia" w:ascii="仿宋" w:hAnsi="仿宋" w:eastAsia="仿宋" w:cs="仿宋"/>
          <w:kern w:val="0"/>
          <w:sz w:val="24"/>
          <w:szCs w:val="24"/>
          <w:u w:val="single"/>
        </w:rPr>
        <w:t>有效期为90天</w:t>
      </w:r>
      <w:r>
        <w:rPr>
          <w:rFonts w:hint="eastAsia" w:ascii="仿宋" w:hAnsi="仿宋" w:eastAsia="仿宋" w:cs="仿宋"/>
          <w:kern w:val="0"/>
          <w:sz w:val="24"/>
          <w:szCs w:val="24"/>
        </w:rPr>
        <w:t>，我方承诺在投标有效期内不修改、撤销投标文件。</w:t>
      </w:r>
    </w:p>
    <w:p w14:paraId="174635A0">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2. 随同本投标函提交投标保证金一份。</w:t>
      </w:r>
    </w:p>
    <w:p w14:paraId="1D003742">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3. 我方承诺提供评标过程中可能要求的澄清、说明、补正或者算术性错误修正确认，并同意我方提供的以上材料构成我方投标文件的组成部分。</w:t>
      </w:r>
    </w:p>
    <w:p w14:paraId="1136DB21">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4 我方同意提供贵方可能要求的与我方投标文件有关的一切数据、资料、</w:t>
      </w:r>
      <w:r>
        <w:rPr>
          <w:rFonts w:hint="eastAsia" w:ascii="仿宋" w:hAnsi="仿宋" w:eastAsia="仿宋" w:cs="仿宋"/>
          <w:kern w:val="0"/>
          <w:sz w:val="24"/>
        </w:rPr>
        <w:t>证明原件、证件原件</w:t>
      </w:r>
      <w:r>
        <w:rPr>
          <w:rFonts w:hint="eastAsia" w:ascii="仿宋" w:hAnsi="仿宋" w:eastAsia="仿宋" w:cs="仿宋"/>
          <w:kern w:val="0"/>
          <w:sz w:val="24"/>
          <w:szCs w:val="24"/>
        </w:rPr>
        <w:t>，并完全理解贵方不一定接受最低价的投标。</w:t>
      </w:r>
    </w:p>
    <w:p w14:paraId="7CB33527">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5. 我方承诺对在本次招标活动过程中所获知贵方一切商业秘密保密，不会向任何第三方泄露，不会用于本次招标活动之外的任何其他目的。</w:t>
      </w:r>
    </w:p>
    <w:p w14:paraId="11454670">
      <w:pPr>
        <w:widowControl/>
        <w:spacing w:line="360" w:lineRule="auto"/>
        <w:ind w:firstLine="420"/>
        <w:rPr>
          <w:rFonts w:ascii="仿宋" w:hAnsi="仿宋" w:eastAsia="仿宋" w:cs="仿宋"/>
          <w:kern w:val="0"/>
          <w:sz w:val="24"/>
        </w:rPr>
      </w:pPr>
      <w:r>
        <w:rPr>
          <w:rFonts w:hint="eastAsia" w:ascii="仿宋" w:hAnsi="仿宋" w:eastAsia="仿宋" w:cs="仿宋"/>
          <w:kern w:val="0"/>
          <w:sz w:val="24"/>
          <w:szCs w:val="24"/>
        </w:rPr>
        <w:t>6．我方承诺对所递交的投标文件及有关材料</w:t>
      </w:r>
      <w:r>
        <w:rPr>
          <w:rFonts w:hint="eastAsia" w:ascii="仿宋" w:hAnsi="仿宋" w:eastAsia="仿宋" w:cs="仿宋"/>
          <w:kern w:val="0"/>
          <w:sz w:val="24"/>
        </w:rPr>
        <w:t>的真实性、合法性、完整性、准确性承担法律责任。</w:t>
      </w:r>
      <w:r>
        <w:rPr>
          <w:rFonts w:hint="eastAsia" w:ascii="仿宋" w:hAnsi="仿宋" w:eastAsia="仿宋" w:cs="仿宋"/>
          <w:kern w:val="0"/>
          <w:sz w:val="24"/>
          <w:szCs w:val="24"/>
        </w:rPr>
        <w:t>如有弄虚作假、串通投标、行贿等违法违规行为，将承担相应的法律责任，并赔偿由此给贵方造成的一切损失。</w:t>
      </w:r>
    </w:p>
    <w:p w14:paraId="275D82FD">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7. 如我方中标：</w:t>
      </w:r>
    </w:p>
    <w:p w14:paraId="0758FDE9">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（1）我方承诺在收到中标通知书后，在中标通知书规定的期限内与贵方签订合同。</w:t>
      </w:r>
    </w:p>
    <w:p w14:paraId="3D98AB1B">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（2）我方承诺按照招标文件规定递交履约保证金、支付招标代理服务费。</w:t>
      </w:r>
    </w:p>
    <w:p w14:paraId="2A5BA2D4">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（3）我方承诺按照招标文件的规定及合同约定履行相关责任和义务。</w:t>
      </w:r>
    </w:p>
    <w:p w14:paraId="22511A92">
      <w:pPr>
        <w:widowControl/>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（4）我方承诺双方合作后，我方可开具增值税专用发票。</w:t>
      </w:r>
    </w:p>
    <w:p w14:paraId="52FCEE8E">
      <w:pPr>
        <w:pStyle w:val="117"/>
        <w:spacing w:line="360" w:lineRule="auto"/>
        <w:rPr>
          <w:rFonts w:ascii="仿宋" w:hAnsi="仿宋" w:eastAsia="仿宋" w:cs="仿宋"/>
          <w:sz w:val="24"/>
          <w:szCs w:val="24"/>
        </w:rPr>
      </w:pPr>
    </w:p>
    <w:p w14:paraId="71EC5E37">
      <w:pPr>
        <w:spacing w:line="360" w:lineRule="auto"/>
        <w:ind w:firstLine="4080" w:firstLineChars="1700"/>
        <w:jc w:val="right"/>
        <w:rPr>
          <w:rFonts w:ascii="仿宋" w:hAnsi="仿宋" w:eastAsia="仿宋" w:cs="仿宋"/>
          <w:sz w:val="24"/>
          <w:szCs w:val="24"/>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44A0E027">
      <w:pPr>
        <w:spacing w:line="360" w:lineRule="auto"/>
        <w:jc w:val="right"/>
        <w:rPr>
          <w:rFonts w:ascii="仿宋" w:hAnsi="仿宋" w:eastAsia="仿宋" w:cs="仿宋"/>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7EADCE95">
      <w:pPr>
        <w:tabs>
          <w:tab w:val="left" w:pos="338"/>
        </w:tabs>
        <w:spacing w:line="360" w:lineRule="auto"/>
        <w:ind w:right="120"/>
        <w:jc w:val="right"/>
        <w:rPr>
          <w:rFonts w:ascii="仿宋" w:hAnsi="仿宋" w:eastAsia="仿宋" w:cs="仿宋"/>
          <w:szCs w:val="24"/>
        </w:rPr>
      </w:pPr>
      <w:r>
        <w:rPr>
          <w:rFonts w:hint="eastAsia" w:ascii="仿宋" w:hAnsi="仿宋" w:eastAsia="仿宋" w:cs="仿宋"/>
          <w:sz w:val="24"/>
          <w:szCs w:val="24"/>
        </w:rPr>
        <w:tab/>
      </w:r>
      <w:bookmarkStart w:id="932" w:name="_Toc109124318"/>
      <w:bookmarkStart w:id="933" w:name="_Toc2403"/>
      <w:bookmarkStart w:id="934" w:name="_Toc65683006"/>
    </w:p>
    <w:p w14:paraId="4B9D519C">
      <w:pPr>
        <w:spacing w:line="360" w:lineRule="auto"/>
        <w:rPr>
          <w:rFonts w:ascii="仿宋" w:hAnsi="仿宋" w:eastAsia="仿宋" w:cs="仿宋"/>
          <w:szCs w:val="24"/>
        </w:rPr>
      </w:pPr>
    </w:p>
    <w:p w14:paraId="63BD16C6">
      <w:pPr>
        <w:pStyle w:val="5"/>
        <w:spacing w:line="360" w:lineRule="auto"/>
        <w:rPr>
          <w:rFonts w:hint="default" w:ascii="仿宋" w:hAnsi="仿宋" w:cs="仿宋"/>
          <w:szCs w:val="24"/>
        </w:rPr>
      </w:pPr>
      <w:bookmarkStart w:id="935" w:name="_Toc26835"/>
      <w:bookmarkStart w:id="936" w:name="_Toc19910"/>
      <w:bookmarkStart w:id="937" w:name="_Toc15786"/>
      <w:bookmarkStart w:id="938" w:name="_Toc27061"/>
      <w:bookmarkStart w:id="939" w:name="_Toc10355"/>
      <w:r>
        <w:rPr>
          <w:rFonts w:ascii="仿宋" w:hAnsi="仿宋" w:cs="仿宋"/>
          <w:szCs w:val="24"/>
        </w:rPr>
        <w:t>（二）法定代表人（负责人）身份证明</w:t>
      </w:r>
      <w:bookmarkEnd w:id="932"/>
      <w:bookmarkEnd w:id="933"/>
      <w:bookmarkEnd w:id="934"/>
      <w:bookmarkEnd w:id="935"/>
      <w:bookmarkEnd w:id="936"/>
      <w:bookmarkEnd w:id="937"/>
      <w:bookmarkEnd w:id="938"/>
      <w:bookmarkEnd w:id="939"/>
    </w:p>
    <w:p w14:paraId="24660139">
      <w:pPr>
        <w:pStyle w:val="117"/>
        <w:spacing w:line="360" w:lineRule="auto"/>
        <w:jc w:val="center"/>
        <w:rPr>
          <w:rFonts w:ascii="仿宋" w:hAnsi="仿宋" w:eastAsia="仿宋" w:cs="仿宋"/>
          <w:b/>
          <w:sz w:val="24"/>
          <w:szCs w:val="24"/>
        </w:rPr>
      </w:pPr>
      <w:r>
        <w:rPr>
          <w:rFonts w:hint="eastAsia" w:ascii="仿宋" w:hAnsi="仿宋" w:eastAsia="仿宋" w:cs="仿宋"/>
          <w:b/>
          <w:sz w:val="24"/>
          <w:szCs w:val="24"/>
        </w:rPr>
        <w:t>法定代表人（负责人）身份证明</w:t>
      </w:r>
    </w:p>
    <w:p w14:paraId="35C5AB99">
      <w:pPr>
        <w:widowControl/>
        <w:topLinePunct/>
        <w:spacing w:line="360" w:lineRule="auto"/>
        <w:rPr>
          <w:rFonts w:ascii="仿宋" w:hAnsi="仿宋" w:eastAsia="仿宋" w:cs="仿宋"/>
          <w:kern w:val="0"/>
          <w:sz w:val="24"/>
          <w:szCs w:val="24"/>
          <w:u w:val="single"/>
        </w:rPr>
      </w:pPr>
      <w:r>
        <w:rPr>
          <w:rFonts w:hint="eastAsia" w:ascii="仿宋" w:hAnsi="仿宋" w:eastAsia="仿宋" w:cs="仿宋"/>
          <w:kern w:val="0"/>
          <w:sz w:val="24"/>
          <w:szCs w:val="24"/>
        </w:rPr>
        <w:t>投标人名称：</w:t>
      </w:r>
      <w:r>
        <w:rPr>
          <w:rFonts w:hint="eastAsia" w:ascii="仿宋" w:hAnsi="仿宋" w:eastAsia="仿宋" w:cs="仿宋"/>
          <w:kern w:val="0"/>
          <w:sz w:val="24"/>
          <w:szCs w:val="24"/>
          <w:u w:val="single"/>
        </w:rPr>
        <w:t xml:space="preserve">                         </w:t>
      </w:r>
    </w:p>
    <w:p w14:paraId="6ED8B7DE">
      <w:pPr>
        <w:widowControl/>
        <w:topLinePunct/>
        <w:spacing w:line="360" w:lineRule="auto"/>
        <w:rPr>
          <w:rFonts w:ascii="仿宋" w:hAnsi="仿宋" w:eastAsia="仿宋" w:cs="仿宋"/>
          <w:kern w:val="0"/>
          <w:sz w:val="24"/>
          <w:szCs w:val="24"/>
        </w:rPr>
      </w:pPr>
      <w:r>
        <w:rPr>
          <w:rFonts w:hint="eastAsia" w:ascii="仿宋" w:hAnsi="仿宋" w:eastAsia="仿宋" w:cs="仿宋"/>
          <w:kern w:val="0"/>
          <w:sz w:val="24"/>
          <w:szCs w:val="24"/>
        </w:rPr>
        <w:t>成立时间：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月</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日</w:t>
      </w:r>
    </w:p>
    <w:p w14:paraId="7B985364">
      <w:pPr>
        <w:widowControl/>
        <w:topLinePunct/>
        <w:spacing w:line="360" w:lineRule="auto"/>
        <w:rPr>
          <w:rFonts w:ascii="仿宋" w:hAnsi="仿宋" w:eastAsia="仿宋" w:cs="仿宋"/>
          <w:kern w:val="0"/>
          <w:sz w:val="24"/>
          <w:szCs w:val="24"/>
          <w:u w:val="single"/>
        </w:rPr>
      </w:pPr>
      <w:r>
        <w:rPr>
          <w:rFonts w:hint="eastAsia" w:ascii="仿宋" w:hAnsi="仿宋" w:eastAsia="仿宋" w:cs="仿宋"/>
          <w:kern w:val="0"/>
          <w:sz w:val="24"/>
          <w:szCs w:val="24"/>
        </w:rPr>
        <w:t>姓名：</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性别：</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年龄：</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职务：</w:t>
      </w:r>
      <w:r>
        <w:rPr>
          <w:rFonts w:hint="eastAsia" w:ascii="仿宋" w:hAnsi="仿宋" w:eastAsia="仿宋" w:cs="仿宋"/>
          <w:kern w:val="0"/>
          <w:sz w:val="24"/>
          <w:szCs w:val="24"/>
          <w:u w:val="single"/>
        </w:rPr>
        <w:t xml:space="preserve">         </w:t>
      </w:r>
    </w:p>
    <w:p w14:paraId="08BBC2BA">
      <w:pPr>
        <w:widowControl/>
        <w:topLinePunct/>
        <w:spacing w:line="360" w:lineRule="auto"/>
        <w:rPr>
          <w:rFonts w:ascii="仿宋" w:hAnsi="仿宋" w:eastAsia="仿宋" w:cs="仿宋"/>
          <w:kern w:val="0"/>
          <w:sz w:val="24"/>
          <w:szCs w:val="24"/>
        </w:rPr>
      </w:pPr>
      <w:r>
        <w:rPr>
          <w:rFonts w:hint="eastAsia" w:ascii="仿宋" w:hAnsi="仿宋" w:eastAsia="仿宋" w:cs="仿宋"/>
          <w:kern w:val="0"/>
          <w:sz w:val="24"/>
          <w:szCs w:val="24"/>
        </w:rPr>
        <w:t>系</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（投标人名称）的法定代表人（负责人）。</w:t>
      </w:r>
    </w:p>
    <w:p w14:paraId="297C6361">
      <w:pPr>
        <w:widowControl/>
        <w:topLinePunct/>
        <w:spacing w:line="360" w:lineRule="auto"/>
        <w:rPr>
          <w:rFonts w:ascii="仿宋" w:hAnsi="仿宋" w:eastAsia="仿宋" w:cs="仿宋"/>
          <w:kern w:val="0"/>
          <w:sz w:val="24"/>
          <w:szCs w:val="24"/>
        </w:rPr>
      </w:pPr>
      <w:r>
        <w:rPr>
          <w:rFonts w:hint="eastAsia" w:ascii="仿宋" w:hAnsi="仿宋" w:eastAsia="仿宋" w:cs="仿宋"/>
          <w:kern w:val="0"/>
          <w:sz w:val="24"/>
          <w:szCs w:val="24"/>
        </w:rPr>
        <w:t>特此证明。</w:t>
      </w:r>
    </w:p>
    <w:p w14:paraId="0D9729F1">
      <w:pPr>
        <w:pStyle w:val="14"/>
        <w:spacing w:line="360" w:lineRule="auto"/>
        <w:rPr>
          <w:rFonts w:ascii="仿宋" w:hAnsi="仿宋" w:eastAsia="仿宋" w:cs="仿宋"/>
          <w:szCs w:val="21"/>
        </w:rPr>
      </w:pPr>
    </w:p>
    <w:p w14:paraId="4EB4632B">
      <w:pPr>
        <w:widowControl/>
        <w:spacing w:line="360" w:lineRule="auto"/>
        <w:rPr>
          <w:rFonts w:ascii="仿宋" w:hAnsi="仿宋" w:eastAsia="仿宋" w:cs="仿宋"/>
          <w:kern w:val="0"/>
          <w:sz w:val="24"/>
          <w:szCs w:val="24"/>
        </w:rPr>
      </w:pPr>
      <w:r>
        <w:rPr>
          <w:rFonts w:hint="eastAsia" w:ascii="仿宋" w:hAnsi="仿宋" w:eastAsia="仿宋" w:cs="仿宋"/>
          <w:b/>
          <w:bCs/>
          <w:kern w:val="0"/>
          <w:sz w:val="24"/>
          <w:szCs w:val="24"/>
        </w:rPr>
        <w:t>附：法定代表人（负责人）身份证复印件（需同时提供正面及背面）</w:t>
      </w:r>
      <w:r>
        <w:rPr>
          <w:rFonts w:hint="eastAsia" w:ascii="仿宋" w:hAnsi="仿宋" w:eastAsia="仿宋" w:cs="仿宋"/>
          <w:kern w:val="0"/>
          <w:sz w:val="24"/>
          <w:szCs w:val="24"/>
        </w:rPr>
        <w:t>。</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blLayout w:type="autofit"/>
        <w:tblCellMar>
          <w:top w:w="0" w:type="dxa"/>
          <w:left w:w="108" w:type="dxa"/>
          <w:bottom w:w="0" w:type="dxa"/>
          <w:right w:w="108" w:type="dxa"/>
        </w:tblCellMar>
      </w:tblPr>
      <w:tblGrid>
        <w:gridCol w:w="4927"/>
        <w:gridCol w:w="4927"/>
      </w:tblGrid>
      <w:tr w14:paraId="095C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blCellMar>
            <w:top w:w="0" w:type="dxa"/>
            <w:left w:w="108" w:type="dxa"/>
            <w:bottom w:w="0" w:type="dxa"/>
            <w:right w:w="108" w:type="dxa"/>
          </w:tblCellMar>
        </w:tblPrEx>
        <w:trPr>
          <w:trHeight w:val="3432" w:hRule="atLeast"/>
        </w:trPr>
        <w:tc>
          <w:tcPr>
            <w:tcW w:w="4927" w:type="dxa"/>
            <w:shd w:val="clear" w:color="auto" w:fill="auto"/>
          </w:tcPr>
          <w:p w14:paraId="4495C61A">
            <w:pPr>
              <w:widowControl/>
              <w:spacing w:line="360" w:lineRule="auto"/>
              <w:jc w:val="center"/>
              <w:rPr>
                <w:rFonts w:ascii="仿宋" w:hAnsi="仿宋" w:eastAsia="仿宋" w:cs="仿宋"/>
                <w:kern w:val="0"/>
              </w:rPr>
            </w:pPr>
            <w:r>
              <w:rPr>
                <w:rFonts w:hint="eastAsia" w:ascii="仿宋" w:hAnsi="仿宋" w:eastAsia="仿宋" w:cs="仿宋"/>
                <w:b/>
                <w:bCs/>
                <w:kern w:val="0"/>
                <w:sz w:val="24"/>
                <w:szCs w:val="24"/>
              </w:rPr>
              <w:t>正面</w:t>
            </w:r>
          </w:p>
        </w:tc>
        <w:tc>
          <w:tcPr>
            <w:tcW w:w="4927" w:type="dxa"/>
            <w:shd w:val="clear" w:color="auto" w:fill="auto"/>
          </w:tcPr>
          <w:p w14:paraId="64B4DEC5">
            <w:pPr>
              <w:widowControl/>
              <w:spacing w:line="360" w:lineRule="auto"/>
              <w:jc w:val="center"/>
              <w:rPr>
                <w:rFonts w:ascii="仿宋" w:hAnsi="仿宋" w:eastAsia="仿宋" w:cs="仿宋"/>
                <w:kern w:val="0"/>
              </w:rPr>
            </w:pPr>
            <w:r>
              <w:rPr>
                <w:rFonts w:hint="eastAsia" w:ascii="仿宋" w:hAnsi="仿宋" w:eastAsia="仿宋" w:cs="仿宋"/>
                <w:b/>
                <w:bCs/>
                <w:kern w:val="0"/>
                <w:sz w:val="24"/>
                <w:szCs w:val="24"/>
              </w:rPr>
              <w:t>背面</w:t>
            </w:r>
          </w:p>
        </w:tc>
      </w:tr>
    </w:tbl>
    <w:p w14:paraId="78C60799">
      <w:pPr>
        <w:widowControl/>
        <w:spacing w:line="360" w:lineRule="auto"/>
        <w:rPr>
          <w:rFonts w:ascii="仿宋" w:hAnsi="仿宋" w:eastAsia="仿宋" w:cs="仿宋"/>
          <w:kern w:val="0"/>
        </w:rPr>
      </w:pPr>
    </w:p>
    <w:p w14:paraId="76B781A3">
      <w:pPr>
        <w:pStyle w:val="117"/>
        <w:spacing w:line="360" w:lineRule="auto"/>
        <w:jc w:val="center"/>
        <w:rPr>
          <w:rFonts w:ascii="仿宋" w:hAnsi="仿宋" w:eastAsia="仿宋" w:cs="仿宋"/>
        </w:rPr>
      </w:pPr>
    </w:p>
    <w:p w14:paraId="5C0B624E">
      <w:pPr>
        <w:pStyle w:val="117"/>
        <w:spacing w:line="360" w:lineRule="auto"/>
        <w:jc w:val="center"/>
        <w:rPr>
          <w:rFonts w:ascii="仿宋" w:hAnsi="仿宋" w:eastAsia="仿宋" w:cs="仿宋"/>
        </w:rPr>
      </w:pPr>
    </w:p>
    <w:p w14:paraId="4BC3D143">
      <w:pPr>
        <w:spacing w:line="360" w:lineRule="auto"/>
        <w:ind w:firstLine="4080" w:firstLineChars="1700"/>
        <w:jc w:val="right"/>
        <w:rPr>
          <w:rFonts w:ascii="仿宋" w:hAnsi="仿宋" w:eastAsia="仿宋" w:cs="仿宋"/>
          <w:sz w:val="24"/>
          <w:szCs w:val="24"/>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7259D98F">
      <w:pPr>
        <w:spacing w:line="360" w:lineRule="auto"/>
        <w:jc w:val="right"/>
        <w:rPr>
          <w:rFonts w:ascii="仿宋" w:hAnsi="仿宋" w:eastAsia="仿宋" w:cs="仿宋"/>
          <w:b/>
          <w:bCs/>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1E59E49E">
      <w:pPr>
        <w:pStyle w:val="117"/>
        <w:spacing w:line="360" w:lineRule="auto"/>
        <w:jc w:val="center"/>
        <w:rPr>
          <w:rFonts w:ascii="仿宋" w:hAnsi="仿宋" w:eastAsia="仿宋" w:cs="仿宋"/>
          <w:sz w:val="24"/>
          <w:szCs w:val="24"/>
        </w:rPr>
      </w:pPr>
    </w:p>
    <w:p w14:paraId="18702C4D">
      <w:pPr>
        <w:pStyle w:val="5"/>
        <w:spacing w:line="360" w:lineRule="auto"/>
        <w:rPr>
          <w:rFonts w:hint="default" w:ascii="仿宋" w:hAnsi="仿宋" w:cs="仿宋"/>
          <w:szCs w:val="24"/>
        </w:rPr>
      </w:pPr>
      <w:r>
        <w:rPr>
          <w:rFonts w:ascii="仿宋" w:hAnsi="仿宋" w:cs="仿宋"/>
        </w:rPr>
        <w:br w:type="page"/>
      </w:r>
      <w:bookmarkStart w:id="940" w:name="_Toc4453"/>
      <w:bookmarkStart w:id="941" w:name="_Toc10066"/>
      <w:bookmarkStart w:id="942" w:name="_Toc11515"/>
      <w:bookmarkStart w:id="943" w:name="_Toc10917"/>
      <w:bookmarkStart w:id="944" w:name="_Toc6523"/>
      <w:bookmarkStart w:id="945" w:name="_Toc65683007"/>
      <w:bookmarkStart w:id="946" w:name="_Toc109124319"/>
      <w:bookmarkStart w:id="947" w:name="_Toc25863"/>
      <w:r>
        <w:rPr>
          <w:rFonts w:ascii="仿宋" w:hAnsi="仿宋" w:cs="仿宋"/>
          <w:szCs w:val="24"/>
        </w:rPr>
        <w:t>（三）法定代表人（负责人）授权委托书</w:t>
      </w:r>
      <w:bookmarkEnd w:id="940"/>
      <w:bookmarkEnd w:id="941"/>
      <w:bookmarkEnd w:id="942"/>
      <w:bookmarkEnd w:id="943"/>
      <w:bookmarkEnd w:id="944"/>
      <w:bookmarkEnd w:id="945"/>
      <w:bookmarkEnd w:id="946"/>
      <w:bookmarkEnd w:id="947"/>
    </w:p>
    <w:p w14:paraId="0348CA2B">
      <w:pPr>
        <w:pStyle w:val="117"/>
        <w:spacing w:line="360" w:lineRule="auto"/>
        <w:jc w:val="center"/>
        <w:rPr>
          <w:rFonts w:ascii="仿宋" w:hAnsi="仿宋" w:eastAsia="仿宋" w:cs="仿宋"/>
          <w:b/>
          <w:sz w:val="24"/>
          <w:szCs w:val="24"/>
        </w:rPr>
      </w:pPr>
      <w:r>
        <w:rPr>
          <w:rFonts w:hint="eastAsia" w:ascii="仿宋" w:hAnsi="仿宋" w:eastAsia="仿宋" w:cs="仿宋"/>
          <w:b/>
          <w:sz w:val="24"/>
          <w:szCs w:val="24"/>
        </w:rPr>
        <w:t>法定代表人（负责人）授权委托书</w:t>
      </w:r>
    </w:p>
    <w:p w14:paraId="4E999270">
      <w:pPr>
        <w:pStyle w:val="117"/>
        <w:topLinePunct/>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本人</w:t>
      </w:r>
      <w:r>
        <w:rPr>
          <w:rFonts w:hint="eastAsia" w:ascii="仿宋" w:hAnsi="仿宋" w:eastAsia="仿宋" w:cs="仿宋"/>
          <w:sz w:val="24"/>
          <w:szCs w:val="24"/>
          <w:u w:val="single"/>
        </w:rPr>
        <w:t>（姓名）</w:t>
      </w:r>
      <w:r>
        <w:rPr>
          <w:rFonts w:hint="eastAsia" w:ascii="仿宋" w:hAnsi="仿宋" w:eastAsia="仿宋" w:cs="仿宋"/>
          <w:sz w:val="24"/>
          <w:szCs w:val="24"/>
        </w:rPr>
        <w:t>系</w:t>
      </w:r>
      <w:r>
        <w:rPr>
          <w:rFonts w:hint="eastAsia" w:ascii="仿宋" w:hAnsi="仿宋" w:eastAsia="仿宋" w:cs="仿宋"/>
          <w:sz w:val="24"/>
          <w:szCs w:val="24"/>
          <w:u w:val="single"/>
        </w:rPr>
        <w:t>（投标人名称）</w:t>
      </w:r>
      <w:r>
        <w:rPr>
          <w:rFonts w:hint="eastAsia" w:ascii="仿宋" w:hAnsi="仿宋" w:eastAsia="仿宋" w:cs="仿宋"/>
          <w:sz w:val="24"/>
          <w:szCs w:val="24"/>
        </w:rPr>
        <w:t>的法定代表人（负责人），现委托</w:t>
      </w:r>
      <w:r>
        <w:rPr>
          <w:rFonts w:hint="eastAsia" w:ascii="仿宋" w:hAnsi="仿宋" w:eastAsia="仿宋" w:cs="仿宋"/>
          <w:sz w:val="24"/>
          <w:szCs w:val="24"/>
          <w:u w:val="single"/>
        </w:rPr>
        <w:t>（姓名）</w:t>
      </w:r>
      <w:r>
        <w:rPr>
          <w:rFonts w:hint="eastAsia" w:ascii="仿宋" w:hAnsi="仿宋" w:eastAsia="仿宋" w:cs="仿宋"/>
          <w:sz w:val="24"/>
          <w:szCs w:val="24"/>
        </w:rPr>
        <w:t>为我方代理人。代理人根据授权，以我方名义签署、澄清、说明、补正、递交、撤回、修改</w:t>
      </w:r>
      <w:r>
        <w:rPr>
          <w:rFonts w:hint="eastAsia" w:ascii="仿宋" w:hAnsi="仿宋" w:eastAsia="仿宋" w:cs="仿宋"/>
          <w:sz w:val="24"/>
          <w:szCs w:val="24"/>
          <w:u w:val="single"/>
        </w:rPr>
        <w:t>（项目名称）</w:t>
      </w:r>
      <w:r>
        <w:rPr>
          <w:rFonts w:hint="eastAsia" w:ascii="仿宋" w:hAnsi="仿宋" w:eastAsia="仿宋" w:cs="仿宋"/>
          <w:sz w:val="24"/>
          <w:szCs w:val="24"/>
        </w:rPr>
        <w:t>投标文件、签订合同和处理有关事宜，其法律后果由我方承担。</w:t>
      </w:r>
    </w:p>
    <w:p w14:paraId="5AFA8E5A">
      <w:pPr>
        <w:widowControl/>
        <w:spacing w:line="360" w:lineRule="auto"/>
        <w:ind w:firstLine="480" w:firstLineChars="200"/>
        <w:jc w:val="left"/>
        <w:rPr>
          <w:rFonts w:ascii="仿宋" w:hAnsi="仿宋" w:eastAsia="仿宋" w:cs="仿宋"/>
          <w:kern w:val="0"/>
          <w:sz w:val="24"/>
          <w:szCs w:val="24"/>
        </w:rPr>
      </w:pPr>
      <w:r>
        <w:rPr>
          <w:rFonts w:hint="eastAsia" w:ascii="仿宋" w:hAnsi="仿宋" w:eastAsia="仿宋" w:cs="仿宋"/>
          <w:kern w:val="0"/>
          <w:sz w:val="24"/>
          <w:szCs w:val="24"/>
        </w:rPr>
        <w:t>委托期限：</w:t>
      </w:r>
      <w:r>
        <w:rPr>
          <w:rFonts w:hint="eastAsia" w:ascii="仿宋" w:hAnsi="仿宋" w:eastAsia="仿宋" w:cs="仿宋"/>
          <w:kern w:val="0"/>
          <w:sz w:val="24"/>
          <w:szCs w:val="24"/>
          <w:u w:val="single"/>
        </w:rPr>
        <w:t>自本委托书签字盖章生效之日起至投标有效期到期之日为止</w:t>
      </w:r>
      <w:r>
        <w:rPr>
          <w:rFonts w:hint="eastAsia" w:ascii="仿宋" w:hAnsi="仿宋" w:eastAsia="仿宋" w:cs="仿宋"/>
          <w:kern w:val="0"/>
          <w:sz w:val="24"/>
          <w:szCs w:val="24"/>
        </w:rPr>
        <w:t>。</w:t>
      </w:r>
    </w:p>
    <w:p w14:paraId="1ADD2416">
      <w:pPr>
        <w:pStyle w:val="117"/>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代理人无转委托权。</w:t>
      </w:r>
    </w:p>
    <w:p w14:paraId="0A373C59">
      <w:pPr>
        <w:pStyle w:val="117"/>
        <w:spacing w:line="360" w:lineRule="auto"/>
        <w:ind w:firstLine="480" w:firstLineChars="200"/>
        <w:rPr>
          <w:rFonts w:ascii="仿宋" w:hAnsi="仿宋" w:eastAsia="仿宋" w:cs="仿宋"/>
          <w:sz w:val="24"/>
          <w:szCs w:val="24"/>
        </w:rPr>
      </w:pPr>
    </w:p>
    <w:p w14:paraId="5C2DE84B">
      <w:pPr>
        <w:pStyle w:val="117"/>
        <w:spacing w:line="360" w:lineRule="auto"/>
        <w:ind w:firstLine="200"/>
        <w:rPr>
          <w:rFonts w:ascii="仿宋" w:hAnsi="仿宋" w:eastAsia="仿宋" w:cs="仿宋"/>
          <w:sz w:val="24"/>
          <w:szCs w:val="24"/>
        </w:rPr>
      </w:pPr>
      <w:r>
        <w:rPr>
          <w:rFonts w:hint="eastAsia" w:ascii="仿宋" w:hAnsi="仿宋" w:eastAsia="仿宋" w:cs="仿宋"/>
          <w:b/>
          <w:bCs/>
          <w:sz w:val="24"/>
          <w:szCs w:val="24"/>
        </w:rPr>
        <w:t>附：委托代理人身份证复印件（需同时提供正面及背面）</w:t>
      </w:r>
      <w:r>
        <w:rPr>
          <w:rFonts w:hint="eastAsia" w:ascii="仿宋" w:hAnsi="仿宋" w:eastAsia="仿宋" w:cs="仿宋"/>
          <w:sz w:val="24"/>
          <w:szCs w:val="24"/>
        </w:rPr>
        <w:t>。</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blLayout w:type="autofit"/>
        <w:tblCellMar>
          <w:top w:w="0" w:type="dxa"/>
          <w:left w:w="108" w:type="dxa"/>
          <w:bottom w:w="0" w:type="dxa"/>
          <w:right w:w="108" w:type="dxa"/>
        </w:tblCellMar>
      </w:tblPr>
      <w:tblGrid>
        <w:gridCol w:w="4927"/>
        <w:gridCol w:w="4927"/>
      </w:tblGrid>
      <w:tr w14:paraId="5C37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2" w:hRule="atLeast"/>
        </w:trPr>
        <w:tc>
          <w:tcPr>
            <w:tcW w:w="4927" w:type="dxa"/>
            <w:shd w:val="clear" w:color="auto" w:fill="auto"/>
          </w:tcPr>
          <w:p w14:paraId="20E87B63">
            <w:pPr>
              <w:widowControl/>
              <w:spacing w:line="360" w:lineRule="auto"/>
              <w:jc w:val="center"/>
              <w:rPr>
                <w:rFonts w:ascii="仿宋" w:hAnsi="仿宋" w:eastAsia="仿宋" w:cs="仿宋"/>
                <w:kern w:val="0"/>
              </w:rPr>
            </w:pPr>
            <w:r>
              <w:rPr>
                <w:rFonts w:hint="eastAsia" w:ascii="仿宋" w:hAnsi="仿宋" w:eastAsia="仿宋" w:cs="仿宋"/>
                <w:b/>
                <w:bCs/>
                <w:kern w:val="0"/>
                <w:sz w:val="24"/>
                <w:szCs w:val="24"/>
              </w:rPr>
              <w:t>正面</w:t>
            </w:r>
          </w:p>
        </w:tc>
        <w:tc>
          <w:tcPr>
            <w:tcW w:w="4927" w:type="dxa"/>
            <w:shd w:val="clear" w:color="auto" w:fill="auto"/>
          </w:tcPr>
          <w:p w14:paraId="6584E92C">
            <w:pPr>
              <w:widowControl/>
              <w:spacing w:line="360" w:lineRule="auto"/>
              <w:jc w:val="center"/>
              <w:rPr>
                <w:rFonts w:ascii="仿宋" w:hAnsi="仿宋" w:eastAsia="仿宋" w:cs="仿宋"/>
                <w:kern w:val="0"/>
              </w:rPr>
            </w:pPr>
            <w:r>
              <w:rPr>
                <w:rFonts w:hint="eastAsia" w:ascii="仿宋" w:hAnsi="仿宋" w:eastAsia="仿宋" w:cs="仿宋"/>
                <w:b/>
                <w:bCs/>
                <w:kern w:val="0"/>
                <w:sz w:val="24"/>
                <w:szCs w:val="24"/>
              </w:rPr>
              <w:t>背面</w:t>
            </w:r>
          </w:p>
        </w:tc>
      </w:tr>
    </w:tbl>
    <w:p w14:paraId="65DA3A0C">
      <w:pPr>
        <w:pStyle w:val="117"/>
        <w:spacing w:line="360" w:lineRule="auto"/>
        <w:jc w:val="center"/>
        <w:rPr>
          <w:rFonts w:ascii="仿宋" w:hAnsi="仿宋" w:eastAsia="仿宋" w:cs="仿宋"/>
          <w:sz w:val="24"/>
          <w:szCs w:val="24"/>
        </w:rPr>
      </w:pPr>
    </w:p>
    <w:p w14:paraId="2FC0E407">
      <w:pPr>
        <w:spacing w:line="360" w:lineRule="auto"/>
        <w:ind w:right="420"/>
        <w:jc w:val="right"/>
        <w:rPr>
          <w:rFonts w:ascii="仿宋" w:hAnsi="仿宋" w:eastAsia="仿宋" w:cs="仿宋"/>
          <w:sz w:val="24"/>
          <w:szCs w:val="24"/>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68D2B53E">
      <w:pPr>
        <w:spacing w:line="360" w:lineRule="auto"/>
        <w:ind w:right="420"/>
        <w:jc w:val="right"/>
        <w:rPr>
          <w:rFonts w:ascii="仿宋" w:hAnsi="仿宋" w:eastAsia="仿宋" w:cs="仿宋"/>
          <w:sz w:val="24"/>
          <w:szCs w:val="24"/>
        </w:rPr>
      </w:pPr>
      <w:r>
        <w:rPr>
          <w:rFonts w:hint="eastAsia" w:ascii="仿宋" w:hAnsi="仿宋" w:eastAsia="仿宋" w:cs="仿宋"/>
          <w:sz w:val="24"/>
          <w:szCs w:val="24"/>
        </w:rPr>
        <w:t>法定代表人（负责人）：</w:t>
      </w:r>
      <w:r>
        <w:rPr>
          <w:rFonts w:hint="eastAsia" w:ascii="仿宋" w:hAnsi="仿宋" w:eastAsia="仿宋" w:cs="仿宋"/>
          <w:sz w:val="24"/>
          <w:szCs w:val="24"/>
          <w:u w:val="single"/>
        </w:rPr>
        <w:t xml:space="preserve">               </w:t>
      </w:r>
      <w:r>
        <w:rPr>
          <w:rFonts w:hint="eastAsia" w:ascii="仿宋" w:hAnsi="仿宋" w:eastAsia="仿宋" w:cs="仿宋"/>
          <w:sz w:val="24"/>
          <w:szCs w:val="24"/>
        </w:rPr>
        <w:t>（签字或盖章）</w:t>
      </w:r>
    </w:p>
    <w:p w14:paraId="5FEA81E6">
      <w:pPr>
        <w:pStyle w:val="117"/>
        <w:wordWrap w:val="0"/>
        <w:spacing w:line="360" w:lineRule="auto"/>
        <w:ind w:right="105"/>
        <w:jc w:val="right"/>
        <w:rPr>
          <w:rFonts w:ascii="仿宋" w:hAnsi="仿宋" w:eastAsia="仿宋" w:cs="仿宋"/>
          <w:sz w:val="24"/>
          <w:szCs w:val="24"/>
        </w:rPr>
      </w:pPr>
      <w:r>
        <w:rPr>
          <w:rFonts w:hint="eastAsia" w:ascii="仿宋" w:hAnsi="仿宋" w:eastAsia="仿宋" w:cs="仿宋"/>
          <w:sz w:val="24"/>
          <w:szCs w:val="24"/>
        </w:rPr>
        <w:t>委托代理人：</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（签字或盖章） </w:t>
      </w:r>
    </w:p>
    <w:p w14:paraId="1BAFCC74">
      <w:pPr>
        <w:wordWrap w:val="0"/>
        <w:spacing w:line="360" w:lineRule="auto"/>
        <w:jc w:val="right"/>
        <w:rPr>
          <w:rFonts w:ascii="仿宋" w:hAnsi="仿宋" w:eastAsia="仿宋" w:cs="仿宋"/>
          <w:b/>
          <w:bCs/>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1D3A8D16">
      <w:pPr>
        <w:pStyle w:val="117"/>
        <w:spacing w:line="360" w:lineRule="auto"/>
        <w:jc w:val="center"/>
        <w:rPr>
          <w:rFonts w:ascii="仿宋" w:hAnsi="仿宋" w:eastAsia="仿宋" w:cs="仿宋"/>
          <w:sz w:val="20"/>
        </w:rPr>
        <w:sectPr>
          <w:pgSz w:w="11906" w:h="16838"/>
          <w:pgMar w:top="1417" w:right="1134" w:bottom="1134" w:left="1134" w:header="851" w:footer="992" w:gutter="0"/>
          <w:cols w:space="720" w:num="1"/>
          <w:titlePg/>
          <w:docGrid w:type="lines" w:linePitch="312" w:charSpace="0"/>
        </w:sectPr>
      </w:pPr>
    </w:p>
    <w:p w14:paraId="6D689D37">
      <w:pPr>
        <w:pStyle w:val="5"/>
        <w:spacing w:line="360" w:lineRule="auto"/>
        <w:rPr>
          <w:rFonts w:hint="default" w:ascii="仿宋" w:hAnsi="仿宋" w:cs="仿宋"/>
          <w:szCs w:val="24"/>
        </w:rPr>
      </w:pPr>
      <w:bookmarkStart w:id="948" w:name="_Toc65683008"/>
      <w:bookmarkStart w:id="949" w:name="_Toc30360"/>
      <w:bookmarkStart w:id="950" w:name="_Toc18405"/>
      <w:bookmarkStart w:id="951" w:name="_Toc9277"/>
      <w:bookmarkStart w:id="952" w:name="_Toc28544"/>
      <w:bookmarkStart w:id="953" w:name="_Toc109124320"/>
      <w:bookmarkStart w:id="954" w:name="_Toc31058"/>
      <w:bookmarkStart w:id="955" w:name="_Toc8696"/>
      <w:r>
        <w:rPr>
          <w:rFonts w:ascii="仿宋" w:hAnsi="仿宋" w:cs="仿宋"/>
          <w:szCs w:val="24"/>
        </w:rPr>
        <w:t>（四）资格证明文件</w:t>
      </w:r>
      <w:bookmarkEnd w:id="948"/>
      <w:bookmarkEnd w:id="949"/>
      <w:bookmarkEnd w:id="950"/>
      <w:bookmarkEnd w:id="951"/>
      <w:bookmarkEnd w:id="952"/>
      <w:bookmarkEnd w:id="953"/>
      <w:bookmarkEnd w:id="954"/>
      <w:bookmarkEnd w:id="955"/>
    </w:p>
    <w:p w14:paraId="62FC1996">
      <w:pPr>
        <w:pStyle w:val="6"/>
        <w:rPr>
          <w:rFonts w:ascii="仿宋" w:hAnsi="仿宋" w:cs="仿宋"/>
        </w:rPr>
      </w:pPr>
      <w:bookmarkStart w:id="956" w:name="_Toc65683009"/>
      <w:bookmarkStart w:id="957" w:name="_Toc918"/>
      <w:bookmarkStart w:id="958" w:name="_Toc15315"/>
      <w:bookmarkStart w:id="959" w:name="_Toc8469"/>
      <w:bookmarkStart w:id="960" w:name="_Toc21369"/>
      <w:bookmarkStart w:id="961" w:name="_Toc18208"/>
      <w:bookmarkStart w:id="962" w:name="_Toc109124321"/>
      <w:bookmarkStart w:id="963" w:name="_Toc5467"/>
      <w:r>
        <w:rPr>
          <w:rFonts w:hint="eastAsia" w:ascii="仿宋" w:hAnsi="仿宋" w:cs="仿宋"/>
        </w:rPr>
        <w:t>1、投标人基本情况信息表</w:t>
      </w:r>
    </w:p>
    <w:p w14:paraId="7ED22F24">
      <w:pPr>
        <w:widowControl/>
        <w:spacing w:line="360" w:lineRule="auto"/>
        <w:jc w:val="center"/>
        <w:rPr>
          <w:rFonts w:ascii="仿宋" w:hAnsi="仿宋" w:eastAsia="仿宋" w:cs="仿宋"/>
          <w:b/>
          <w:kern w:val="0"/>
          <w:sz w:val="24"/>
          <w:szCs w:val="24"/>
        </w:rPr>
      </w:pPr>
      <w:r>
        <w:rPr>
          <w:rFonts w:hint="eastAsia" w:ascii="仿宋" w:hAnsi="仿宋" w:eastAsia="仿宋" w:cs="仿宋"/>
          <w:b/>
          <w:kern w:val="0"/>
          <w:sz w:val="24"/>
          <w:szCs w:val="24"/>
        </w:rPr>
        <w:t>投标人基本情况信息表</w:t>
      </w:r>
    </w:p>
    <w:tbl>
      <w:tblPr>
        <w:tblStyle w:val="33"/>
        <w:tblW w:w="0" w:type="auto"/>
        <w:tblInd w:w="0" w:type="dxa"/>
        <w:tblLayout w:type="fixed"/>
        <w:tblCellMar>
          <w:top w:w="0" w:type="dxa"/>
          <w:left w:w="108" w:type="dxa"/>
          <w:bottom w:w="0" w:type="dxa"/>
          <w:right w:w="108" w:type="dxa"/>
        </w:tblCellMar>
      </w:tblPr>
      <w:tblGrid>
        <w:gridCol w:w="2243"/>
        <w:gridCol w:w="775"/>
        <w:gridCol w:w="366"/>
        <w:gridCol w:w="979"/>
        <w:gridCol w:w="713"/>
        <w:gridCol w:w="755"/>
        <w:gridCol w:w="1789"/>
        <w:gridCol w:w="102"/>
        <w:gridCol w:w="985"/>
        <w:gridCol w:w="1145"/>
      </w:tblGrid>
      <w:tr w14:paraId="3C02B8F5">
        <w:tblPrEx>
          <w:tblCellMar>
            <w:top w:w="0" w:type="dxa"/>
            <w:left w:w="108" w:type="dxa"/>
            <w:bottom w:w="0" w:type="dxa"/>
            <w:right w:w="108" w:type="dxa"/>
          </w:tblCellMar>
        </w:tblPrEx>
        <w:trPr>
          <w:trHeight w:val="283" w:hRule="atLeast"/>
        </w:trPr>
        <w:tc>
          <w:tcPr>
            <w:tcW w:w="2243" w:type="dxa"/>
            <w:tcBorders>
              <w:top w:val="single" w:color="000000" w:sz="4" w:space="0"/>
              <w:left w:val="single" w:color="000000" w:sz="4" w:space="0"/>
              <w:bottom w:val="single" w:color="000000" w:sz="4" w:space="0"/>
              <w:right w:val="single" w:color="000000" w:sz="4" w:space="0"/>
            </w:tcBorders>
            <w:vAlign w:val="center"/>
          </w:tcPr>
          <w:p w14:paraId="1B226598">
            <w:pPr>
              <w:widowControl/>
              <w:topLinePunct/>
              <w:jc w:val="center"/>
              <w:rPr>
                <w:rFonts w:ascii="仿宋" w:hAnsi="仿宋" w:eastAsia="仿宋" w:cs="仿宋"/>
                <w:kern w:val="0"/>
                <w:szCs w:val="21"/>
              </w:rPr>
            </w:pPr>
            <w:r>
              <w:rPr>
                <w:rFonts w:hint="eastAsia" w:ascii="仿宋" w:hAnsi="仿宋" w:eastAsia="仿宋" w:cs="仿宋"/>
                <w:kern w:val="0"/>
                <w:szCs w:val="21"/>
              </w:rPr>
              <w:t>投标人名称</w:t>
            </w:r>
          </w:p>
        </w:tc>
        <w:tc>
          <w:tcPr>
            <w:tcW w:w="7609" w:type="dxa"/>
            <w:gridSpan w:val="9"/>
            <w:tcBorders>
              <w:top w:val="single" w:color="000000" w:sz="4" w:space="0"/>
              <w:left w:val="nil"/>
              <w:bottom w:val="single" w:color="000000" w:sz="4" w:space="0"/>
              <w:right w:val="single" w:color="000000" w:sz="4" w:space="0"/>
            </w:tcBorders>
            <w:vAlign w:val="center"/>
          </w:tcPr>
          <w:p w14:paraId="569BCF10">
            <w:pPr>
              <w:widowControl/>
              <w:topLinePunct/>
              <w:jc w:val="center"/>
              <w:rPr>
                <w:rFonts w:ascii="仿宋" w:hAnsi="仿宋" w:eastAsia="仿宋" w:cs="仿宋"/>
                <w:kern w:val="0"/>
                <w:szCs w:val="21"/>
              </w:rPr>
            </w:pPr>
          </w:p>
        </w:tc>
      </w:tr>
      <w:tr w14:paraId="05F0FD25">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45FCE5F6">
            <w:pPr>
              <w:widowControl/>
              <w:topLinePunct/>
              <w:jc w:val="center"/>
              <w:rPr>
                <w:rFonts w:ascii="仿宋" w:hAnsi="仿宋" w:eastAsia="仿宋" w:cs="仿宋"/>
                <w:kern w:val="0"/>
                <w:szCs w:val="21"/>
              </w:rPr>
            </w:pPr>
            <w:r>
              <w:rPr>
                <w:rFonts w:hint="eastAsia" w:ascii="仿宋" w:hAnsi="仿宋" w:eastAsia="仿宋" w:cs="仿宋"/>
                <w:kern w:val="0"/>
                <w:szCs w:val="21"/>
              </w:rPr>
              <w:t>注册地址</w:t>
            </w:r>
          </w:p>
        </w:tc>
        <w:tc>
          <w:tcPr>
            <w:tcW w:w="3588" w:type="dxa"/>
            <w:gridSpan w:val="5"/>
            <w:tcBorders>
              <w:top w:val="nil"/>
              <w:left w:val="nil"/>
              <w:bottom w:val="single" w:color="000000" w:sz="4" w:space="0"/>
              <w:right w:val="single" w:color="000000" w:sz="4" w:space="0"/>
            </w:tcBorders>
            <w:vAlign w:val="center"/>
          </w:tcPr>
          <w:p w14:paraId="15211C89">
            <w:pPr>
              <w:widowControl/>
              <w:topLinePunct/>
              <w:jc w:val="center"/>
              <w:rPr>
                <w:rFonts w:ascii="仿宋" w:hAnsi="仿宋" w:eastAsia="仿宋" w:cs="仿宋"/>
                <w:kern w:val="0"/>
                <w:szCs w:val="21"/>
              </w:rPr>
            </w:pPr>
          </w:p>
        </w:tc>
        <w:tc>
          <w:tcPr>
            <w:tcW w:w="1789" w:type="dxa"/>
            <w:tcBorders>
              <w:top w:val="single" w:color="000000" w:sz="4" w:space="0"/>
              <w:left w:val="nil"/>
              <w:bottom w:val="single" w:color="000000" w:sz="4" w:space="0"/>
              <w:right w:val="single" w:color="000000" w:sz="4" w:space="0"/>
            </w:tcBorders>
            <w:vAlign w:val="center"/>
          </w:tcPr>
          <w:p w14:paraId="4AA53ACC">
            <w:pPr>
              <w:widowControl/>
              <w:topLinePunct/>
              <w:jc w:val="center"/>
              <w:rPr>
                <w:rFonts w:ascii="仿宋" w:hAnsi="仿宋" w:eastAsia="仿宋" w:cs="仿宋"/>
                <w:kern w:val="0"/>
                <w:szCs w:val="21"/>
              </w:rPr>
            </w:pPr>
            <w:r>
              <w:rPr>
                <w:rFonts w:hint="eastAsia" w:ascii="仿宋" w:hAnsi="仿宋" w:eastAsia="仿宋" w:cs="仿宋"/>
                <w:kern w:val="0"/>
                <w:szCs w:val="21"/>
              </w:rPr>
              <w:t>邮政编码</w:t>
            </w:r>
          </w:p>
        </w:tc>
        <w:tc>
          <w:tcPr>
            <w:tcW w:w="2232" w:type="dxa"/>
            <w:gridSpan w:val="3"/>
            <w:tcBorders>
              <w:top w:val="single" w:color="000000" w:sz="4" w:space="0"/>
              <w:left w:val="nil"/>
              <w:bottom w:val="single" w:color="000000" w:sz="4" w:space="0"/>
              <w:right w:val="single" w:color="000000" w:sz="4" w:space="0"/>
            </w:tcBorders>
            <w:vAlign w:val="center"/>
          </w:tcPr>
          <w:p w14:paraId="016557FB">
            <w:pPr>
              <w:widowControl/>
              <w:topLinePunct/>
              <w:jc w:val="center"/>
              <w:rPr>
                <w:rFonts w:ascii="仿宋" w:hAnsi="仿宋" w:eastAsia="仿宋" w:cs="仿宋"/>
                <w:kern w:val="0"/>
                <w:szCs w:val="21"/>
              </w:rPr>
            </w:pPr>
          </w:p>
        </w:tc>
      </w:tr>
      <w:tr w14:paraId="1BAB8D72">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43238625">
            <w:pPr>
              <w:widowControl/>
              <w:topLinePunct/>
              <w:jc w:val="center"/>
              <w:rPr>
                <w:rFonts w:ascii="仿宋" w:hAnsi="仿宋" w:eastAsia="仿宋" w:cs="仿宋"/>
                <w:kern w:val="0"/>
                <w:szCs w:val="21"/>
              </w:rPr>
            </w:pPr>
            <w:r>
              <w:rPr>
                <w:rFonts w:hint="eastAsia" w:ascii="仿宋" w:hAnsi="仿宋" w:eastAsia="仿宋" w:cs="仿宋"/>
                <w:kern w:val="0"/>
                <w:szCs w:val="21"/>
              </w:rPr>
              <w:t>公司办公场所面职</w:t>
            </w:r>
          </w:p>
        </w:tc>
        <w:tc>
          <w:tcPr>
            <w:tcW w:w="3588" w:type="dxa"/>
            <w:gridSpan w:val="5"/>
            <w:tcBorders>
              <w:top w:val="nil"/>
              <w:left w:val="nil"/>
              <w:bottom w:val="single" w:color="000000" w:sz="4" w:space="0"/>
              <w:right w:val="single" w:color="000000" w:sz="4" w:space="0"/>
            </w:tcBorders>
            <w:vAlign w:val="center"/>
          </w:tcPr>
          <w:p w14:paraId="2787E766">
            <w:pPr>
              <w:widowControl/>
              <w:topLinePunct/>
              <w:jc w:val="center"/>
              <w:rPr>
                <w:rFonts w:ascii="仿宋" w:hAnsi="仿宋" w:eastAsia="仿宋" w:cs="仿宋"/>
                <w:kern w:val="0"/>
                <w:szCs w:val="21"/>
              </w:rPr>
            </w:pPr>
            <w:r>
              <w:rPr>
                <w:rFonts w:hint="eastAsia" w:ascii="仿宋" w:hAnsi="仿宋" w:eastAsia="仿宋" w:cs="仿宋"/>
                <w:kern w:val="0"/>
                <w:szCs w:val="21"/>
              </w:rPr>
              <w:t>平方米</w:t>
            </w:r>
          </w:p>
        </w:tc>
        <w:tc>
          <w:tcPr>
            <w:tcW w:w="1789" w:type="dxa"/>
            <w:tcBorders>
              <w:top w:val="nil"/>
              <w:left w:val="nil"/>
              <w:bottom w:val="single" w:color="000000" w:sz="4" w:space="0"/>
              <w:right w:val="single" w:color="000000" w:sz="4" w:space="0"/>
            </w:tcBorders>
            <w:vAlign w:val="center"/>
          </w:tcPr>
          <w:p w14:paraId="457D57D0">
            <w:pPr>
              <w:widowControl/>
              <w:topLinePunct/>
              <w:jc w:val="center"/>
              <w:rPr>
                <w:rFonts w:ascii="仿宋" w:hAnsi="仿宋" w:eastAsia="仿宋" w:cs="仿宋"/>
                <w:kern w:val="0"/>
                <w:szCs w:val="21"/>
              </w:rPr>
            </w:pPr>
            <w:r>
              <w:rPr>
                <w:rFonts w:hint="eastAsia" w:ascii="仿宋" w:hAnsi="仿宋" w:eastAsia="仿宋" w:cs="仿宋"/>
                <w:kern w:val="0"/>
                <w:szCs w:val="21"/>
              </w:rPr>
              <w:t>办事处地址</w:t>
            </w:r>
          </w:p>
        </w:tc>
        <w:tc>
          <w:tcPr>
            <w:tcW w:w="2232" w:type="dxa"/>
            <w:gridSpan w:val="3"/>
            <w:tcBorders>
              <w:top w:val="nil"/>
              <w:left w:val="nil"/>
              <w:bottom w:val="single" w:color="000000" w:sz="4" w:space="0"/>
              <w:right w:val="single" w:color="000000" w:sz="4" w:space="0"/>
            </w:tcBorders>
            <w:vAlign w:val="center"/>
          </w:tcPr>
          <w:p w14:paraId="5B1165B6">
            <w:pPr>
              <w:widowControl/>
              <w:topLinePunct/>
              <w:jc w:val="center"/>
              <w:rPr>
                <w:rFonts w:ascii="仿宋" w:hAnsi="仿宋" w:eastAsia="仿宋" w:cs="仿宋"/>
                <w:kern w:val="0"/>
                <w:szCs w:val="21"/>
              </w:rPr>
            </w:pPr>
          </w:p>
        </w:tc>
      </w:tr>
      <w:tr w14:paraId="2067DBC3">
        <w:tblPrEx>
          <w:tblCellMar>
            <w:top w:w="0" w:type="dxa"/>
            <w:left w:w="108" w:type="dxa"/>
            <w:bottom w:w="0" w:type="dxa"/>
            <w:right w:w="108" w:type="dxa"/>
          </w:tblCellMar>
        </w:tblPrEx>
        <w:trPr>
          <w:trHeight w:val="283" w:hRule="atLeast"/>
        </w:trPr>
        <w:tc>
          <w:tcPr>
            <w:tcW w:w="2243" w:type="dxa"/>
            <w:vMerge w:val="restart"/>
            <w:tcBorders>
              <w:top w:val="nil"/>
              <w:left w:val="single" w:color="000000" w:sz="4" w:space="0"/>
              <w:bottom w:val="single" w:color="000000" w:sz="4" w:space="0"/>
              <w:right w:val="single" w:color="000000" w:sz="4" w:space="0"/>
            </w:tcBorders>
            <w:vAlign w:val="center"/>
          </w:tcPr>
          <w:p w14:paraId="708070CC">
            <w:pPr>
              <w:widowControl/>
              <w:topLinePunct/>
              <w:jc w:val="center"/>
              <w:rPr>
                <w:rFonts w:ascii="仿宋" w:hAnsi="仿宋" w:eastAsia="仿宋" w:cs="仿宋"/>
                <w:kern w:val="0"/>
                <w:szCs w:val="21"/>
              </w:rPr>
            </w:pPr>
            <w:r>
              <w:rPr>
                <w:rFonts w:hint="eastAsia" w:ascii="仿宋" w:hAnsi="仿宋" w:eastAsia="仿宋" w:cs="仿宋"/>
                <w:kern w:val="0"/>
                <w:szCs w:val="21"/>
              </w:rPr>
              <w:t>联系方式</w:t>
            </w:r>
          </w:p>
        </w:tc>
        <w:tc>
          <w:tcPr>
            <w:tcW w:w="1141" w:type="dxa"/>
            <w:gridSpan w:val="2"/>
            <w:tcBorders>
              <w:top w:val="nil"/>
              <w:left w:val="nil"/>
              <w:bottom w:val="single" w:color="000000" w:sz="4" w:space="0"/>
              <w:right w:val="single" w:color="000000" w:sz="4" w:space="0"/>
            </w:tcBorders>
            <w:vAlign w:val="center"/>
          </w:tcPr>
          <w:p w14:paraId="6994C9EC">
            <w:pPr>
              <w:widowControl/>
              <w:topLinePunct/>
              <w:jc w:val="center"/>
              <w:rPr>
                <w:rFonts w:ascii="仿宋" w:hAnsi="仿宋" w:eastAsia="仿宋" w:cs="仿宋"/>
                <w:kern w:val="0"/>
                <w:szCs w:val="21"/>
              </w:rPr>
            </w:pPr>
            <w:r>
              <w:rPr>
                <w:rFonts w:hint="eastAsia" w:ascii="仿宋" w:hAnsi="仿宋" w:eastAsia="仿宋" w:cs="仿宋"/>
                <w:kern w:val="0"/>
                <w:szCs w:val="21"/>
              </w:rPr>
              <w:t>联系人</w:t>
            </w:r>
          </w:p>
        </w:tc>
        <w:tc>
          <w:tcPr>
            <w:tcW w:w="2447" w:type="dxa"/>
            <w:gridSpan w:val="3"/>
            <w:tcBorders>
              <w:top w:val="nil"/>
              <w:left w:val="nil"/>
              <w:bottom w:val="single" w:color="000000" w:sz="4" w:space="0"/>
              <w:right w:val="single" w:color="000000" w:sz="4" w:space="0"/>
            </w:tcBorders>
            <w:vAlign w:val="center"/>
          </w:tcPr>
          <w:p w14:paraId="1105ACD4">
            <w:pPr>
              <w:widowControl/>
              <w:topLinePunct/>
              <w:jc w:val="center"/>
              <w:rPr>
                <w:rFonts w:ascii="仿宋" w:hAnsi="仿宋" w:eastAsia="仿宋" w:cs="仿宋"/>
                <w:kern w:val="0"/>
                <w:szCs w:val="21"/>
              </w:rPr>
            </w:pPr>
          </w:p>
        </w:tc>
        <w:tc>
          <w:tcPr>
            <w:tcW w:w="1789" w:type="dxa"/>
            <w:tcBorders>
              <w:top w:val="nil"/>
              <w:left w:val="nil"/>
              <w:bottom w:val="single" w:color="000000" w:sz="4" w:space="0"/>
              <w:right w:val="single" w:color="000000" w:sz="4" w:space="0"/>
            </w:tcBorders>
            <w:vAlign w:val="center"/>
          </w:tcPr>
          <w:p w14:paraId="4FFD23F9">
            <w:pPr>
              <w:widowControl/>
              <w:topLinePunct/>
              <w:jc w:val="center"/>
              <w:rPr>
                <w:rFonts w:ascii="仿宋" w:hAnsi="仿宋" w:eastAsia="仿宋" w:cs="仿宋"/>
                <w:kern w:val="0"/>
                <w:szCs w:val="21"/>
              </w:rPr>
            </w:pPr>
            <w:r>
              <w:rPr>
                <w:rFonts w:hint="eastAsia" w:ascii="仿宋" w:hAnsi="仿宋" w:eastAsia="仿宋" w:cs="仿宋"/>
                <w:kern w:val="0"/>
                <w:szCs w:val="21"/>
              </w:rPr>
              <w:t>电话</w:t>
            </w:r>
          </w:p>
        </w:tc>
        <w:tc>
          <w:tcPr>
            <w:tcW w:w="2232" w:type="dxa"/>
            <w:gridSpan w:val="3"/>
            <w:tcBorders>
              <w:top w:val="single" w:color="000000" w:sz="4" w:space="0"/>
              <w:left w:val="nil"/>
              <w:bottom w:val="single" w:color="000000" w:sz="4" w:space="0"/>
              <w:right w:val="single" w:color="000000" w:sz="4" w:space="0"/>
            </w:tcBorders>
            <w:vAlign w:val="center"/>
          </w:tcPr>
          <w:p w14:paraId="338F1BE9">
            <w:pPr>
              <w:widowControl/>
              <w:topLinePunct/>
              <w:jc w:val="center"/>
              <w:rPr>
                <w:rFonts w:ascii="仿宋" w:hAnsi="仿宋" w:eastAsia="仿宋" w:cs="仿宋"/>
                <w:kern w:val="0"/>
                <w:szCs w:val="21"/>
              </w:rPr>
            </w:pPr>
          </w:p>
        </w:tc>
      </w:tr>
      <w:tr w14:paraId="403C495C">
        <w:tblPrEx>
          <w:tblCellMar>
            <w:top w:w="0" w:type="dxa"/>
            <w:left w:w="108" w:type="dxa"/>
            <w:bottom w:w="0" w:type="dxa"/>
            <w:right w:w="108" w:type="dxa"/>
          </w:tblCellMar>
        </w:tblPrEx>
        <w:trPr>
          <w:trHeight w:val="283" w:hRule="atLeast"/>
        </w:trPr>
        <w:tc>
          <w:tcPr>
            <w:tcW w:w="2243" w:type="dxa"/>
            <w:vMerge w:val="continue"/>
            <w:tcBorders>
              <w:top w:val="nil"/>
              <w:left w:val="single" w:color="000000" w:sz="4" w:space="0"/>
              <w:bottom w:val="single" w:color="000000" w:sz="4" w:space="0"/>
              <w:right w:val="single" w:color="000000" w:sz="4" w:space="0"/>
            </w:tcBorders>
            <w:vAlign w:val="center"/>
          </w:tcPr>
          <w:p w14:paraId="6D1CA83D">
            <w:pPr>
              <w:rPr>
                <w:rFonts w:ascii="仿宋" w:hAnsi="仿宋" w:eastAsia="仿宋" w:cs="仿宋"/>
                <w:szCs w:val="21"/>
              </w:rPr>
            </w:pPr>
          </w:p>
        </w:tc>
        <w:tc>
          <w:tcPr>
            <w:tcW w:w="1141" w:type="dxa"/>
            <w:gridSpan w:val="2"/>
            <w:tcBorders>
              <w:top w:val="nil"/>
              <w:left w:val="nil"/>
              <w:bottom w:val="single" w:color="000000" w:sz="4" w:space="0"/>
              <w:right w:val="single" w:color="000000" w:sz="4" w:space="0"/>
            </w:tcBorders>
            <w:vAlign w:val="center"/>
          </w:tcPr>
          <w:p w14:paraId="2F3AA6D9">
            <w:pPr>
              <w:widowControl/>
              <w:topLinePunct/>
              <w:jc w:val="center"/>
              <w:rPr>
                <w:rFonts w:ascii="仿宋" w:hAnsi="仿宋" w:eastAsia="仿宋" w:cs="仿宋"/>
                <w:kern w:val="0"/>
                <w:szCs w:val="21"/>
              </w:rPr>
            </w:pPr>
            <w:r>
              <w:rPr>
                <w:rFonts w:hint="eastAsia" w:ascii="仿宋" w:hAnsi="仿宋" w:eastAsia="仿宋" w:cs="仿宋"/>
                <w:kern w:val="0"/>
                <w:szCs w:val="21"/>
              </w:rPr>
              <w:t>传真</w:t>
            </w:r>
          </w:p>
        </w:tc>
        <w:tc>
          <w:tcPr>
            <w:tcW w:w="2447" w:type="dxa"/>
            <w:gridSpan w:val="3"/>
            <w:tcBorders>
              <w:top w:val="nil"/>
              <w:left w:val="nil"/>
              <w:bottom w:val="single" w:color="000000" w:sz="4" w:space="0"/>
              <w:right w:val="single" w:color="000000" w:sz="4" w:space="0"/>
            </w:tcBorders>
            <w:vAlign w:val="center"/>
          </w:tcPr>
          <w:p w14:paraId="14F6EBBF">
            <w:pPr>
              <w:widowControl/>
              <w:topLinePunct/>
              <w:jc w:val="center"/>
              <w:rPr>
                <w:rFonts w:ascii="仿宋" w:hAnsi="仿宋" w:eastAsia="仿宋" w:cs="仿宋"/>
                <w:kern w:val="0"/>
                <w:szCs w:val="21"/>
              </w:rPr>
            </w:pPr>
          </w:p>
        </w:tc>
        <w:tc>
          <w:tcPr>
            <w:tcW w:w="1789" w:type="dxa"/>
            <w:tcBorders>
              <w:top w:val="nil"/>
              <w:left w:val="nil"/>
              <w:bottom w:val="single" w:color="000000" w:sz="4" w:space="0"/>
              <w:right w:val="single" w:color="000000" w:sz="4" w:space="0"/>
            </w:tcBorders>
            <w:vAlign w:val="center"/>
          </w:tcPr>
          <w:p w14:paraId="2BFAE7E0">
            <w:pPr>
              <w:widowControl/>
              <w:topLinePunct/>
              <w:jc w:val="center"/>
              <w:rPr>
                <w:rFonts w:ascii="仿宋" w:hAnsi="仿宋" w:eastAsia="仿宋" w:cs="仿宋"/>
                <w:kern w:val="0"/>
                <w:szCs w:val="21"/>
              </w:rPr>
            </w:pPr>
            <w:r>
              <w:rPr>
                <w:rFonts w:hint="eastAsia" w:ascii="仿宋" w:hAnsi="仿宋" w:eastAsia="仿宋" w:cs="仿宋"/>
                <w:kern w:val="0"/>
                <w:szCs w:val="21"/>
              </w:rPr>
              <w:t>网址</w:t>
            </w:r>
          </w:p>
        </w:tc>
        <w:tc>
          <w:tcPr>
            <w:tcW w:w="2232" w:type="dxa"/>
            <w:gridSpan w:val="3"/>
            <w:tcBorders>
              <w:top w:val="nil"/>
              <w:left w:val="nil"/>
              <w:bottom w:val="single" w:color="000000" w:sz="4" w:space="0"/>
              <w:right w:val="single" w:color="000000" w:sz="4" w:space="0"/>
            </w:tcBorders>
            <w:vAlign w:val="center"/>
          </w:tcPr>
          <w:p w14:paraId="039546A3">
            <w:pPr>
              <w:widowControl/>
              <w:topLinePunct/>
              <w:jc w:val="center"/>
              <w:rPr>
                <w:rFonts w:ascii="仿宋" w:hAnsi="仿宋" w:eastAsia="仿宋" w:cs="仿宋"/>
                <w:kern w:val="0"/>
                <w:szCs w:val="21"/>
              </w:rPr>
            </w:pPr>
          </w:p>
        </w:tc>
      </w:tr>
      <w:tr w14:paraId="3FAC7B50">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3E1F1A9B">
            <w:pPr>
              <w:widowControl/>
              <w:topLinePunct/>
              <w:jc w:val="center"/>
              <w:rPr>
                <w:rFonts w:ascii="仿宋" w:hAnsi="仿宋" w:eastAsia="仿宋" w:cs="仿宋"/>
                <w:kern w:val="0"/>
                <w:szCs w:val="21"/>
              </w:rPr>
            </w:pPr>
            <w:r>
              <w:rPr>
                <w:rFonts w:hint="eastAsia" w:ascii="仿宋" w:hAnsi="仿宋" w:eastAsia="仿宋" w:cs="仿宋"/>
                <w:kern w:val="0"/>
                <w:szCs w:val="21"/>
              </w:rPr>
              <w:t>组织结构</w:t>
            </w:r>
          </w:p>
        </w:tc>
        <w:tc>
          <w:tcPr>
            <w:tcW w:w="7609" w:type="dxa"/>
            <w:gridSpan w:val="9"/>
            <w:tcBorders>
              <w:top w:val="nil"/>
              <w:left w:val="nil"/>
              <w:bottom w:val="single" w:color="000000" w:sz="4" w:space="0"/>
              <w:right w:val="single" w:color="000000" w:sz="4" w:space="0"/>
            </w:tcBorders>
            <w:vAlign w:val="center"/>
          </w:tcPr>
          <w:p w14:paraId="3FCD0B74">
            <w:pPr>
              <w:widowControl/>
              <w:topLinePunct/>
              <w:jc w:val="center"/>
              <w:rPr>
                <w:rFonts w:ascii="仿宋" w:hAnsi="仿宋" w:eastAsia="仿宋" w:cs="仿宋"/>
                <w:kern w:val="0"/>
                <w:szCs w:val="21"/>
              </w:rPr>
            </w:pPr>
          </w:p>
        </w:tc>
      </w:tr>
      <w:tr w14:paraId="6098B367">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5F157EEF">
            <w:pPr>
              <w:widowControl/>
              <w:topLinePunct/>
              <w:jc w:val="center"/>
              <w:rPr>
                <w:rFonts w:ascii="仿宋" w:hAnsi="仿宋" w:eastAsia="仿宋" w:cs="仿宋"/>
                <w:kern w:val="0"/>
                <w:szCs w:val="21"/>
              </w:rPr>
            </w:pPr>
            <w:r>
              <w:rPr>
                <w:rFonts w:hint="eastAsia" w:ascii="仿宋" w:hAnsi="仿宋" w:eastAsia="仿宋" w:cs="仿宋"/>
                <w:kern w:val="0"/>
                <w:szCs w:val="21"/>
              </w:rPr>
              <w:t>法定代表人（负责人）</w:t>
            </w:r>
          </w:p>
        </w:tc>
        <w:tc>
          <w:tcPr>
            <w:tcW w:w="775" w:type="dxa"/>
            <w:tcBorders>
              <w:top w:val="nil"/>
              <w:left w:val="nil"/>
              <w:bottom w:val="single" w:color="000000" w:sz="4" w:space="0"/>
              <w:right w:val="single" w:color="000000" w:sz="4" w:space="0"/>
            </w:tcBorders>
            <w:vAlign w:val="center"/>
          </w:tcPr>
          <w:p w14:paraId="151587E2">
            <w:pPr>
              <w:widowControl/>
              <w:topLinePunct/>
              <w:jc w:val="center"/>
              <w:rPr>
                <w:rFonts w:ascii="仿宋" w:hAnsi="仿宋" w:eastAsia="仿宋" w:cs="仿宋"/>
                <w:kern w:val="0"/>
                <w:szCs w:val="21"/>
              </w:rPr>
            </w:pPr>
            <w:r>
              <w:rPr>
                <w:rFonts w:hint="eastAsia" w:ascii="仿宋" w:hAnsi="仿宋" w:eastAsia="仿宋" w:cs="仿宋"/>
                <w:kern w:val="0"/>
                <w:szCs w:val="21"/>
              </w:rPr>
              <w:t>姓名</w:t>
            </w:r>
          </w:p>
        </w:tc>
        <w:tc>
          <w:tcPr>
            <w:tcW w:w="1345" w:type="dxa"/>
            <w:gridSpan w:val="2"/>
            <w:tcBorders>
              <w:top w:val="single" w:color="000000" w:sz="4" w:space="0"/>
              <w:left w:val="nil"/>
              <w:bottom w:val="single" w:color="000000" w:sz="4" w:space="0"/>
              <w:right w:val="single" w:color="000000" w:sz="4" w:space="0"/>
            </w:tcBorders>
            <w:vAlign w:val="center"/>
          </w:tcPr>
          <w:p w14:paraId="0110D123">
            <w:pPr>
              <w:widowControl/>
              <w:topLinePunct/>
              <w:jc w:val="center"/>
              <w:rPr>
                <w:rFonts w:ascii="仿宋" w:hAnsi="仿宋" w:eastAsia="仿宋" w:cs="仿宋"/>
                <w:kern w:val="0"/>
                <w:szCs w:val="21"/>
              </w:rPr>
            </w:pPr>
          </w:p>
        </w:tc>
        <w:tc>
          <w:tcPr>
            <w:tcW w:w="1468" w:type="dxa"/>
            <w:gridSpan w:val="2"/>
            <w:tcBorders>
              <w:top w:val="single" w:color="000000" w:sz="4" w:space="0"/>
              <w:left w:val="nil"/>
              <w:bottom w:val="single" w:color="000000" w:sz="4" w:space="0"/>
              <w:right w:val="single" w:color="000000" w:sz="4" w:space="0"/>
            </w:tcBorders>
            <w:vAlign w:val="center"/>
          </w:tcPr>
          <w:p w14:paraId="0398F9CC">
            <w:pPr>
              <w:widowControl/>
              <w:topLinePunct/>
              <w:jc w:val="center"/>
              <w:rPr>
                <w:rFonts w:ascii="仿宋" w:hAnsi="仿宋" w:eastAsia="仿宋" w:cs="仿宋"/>
                <w:kern w:val="0"/>
                <w:szCs w:val="21"/>
              </w:rPr>
            </w:pPr>
            <w:r>
              <w:rPr>
                <w:rFonts w:hint="eastAsia" w:ascii="仿宋" w:hAnsi="仿宋" w:eastAsia="仿宋" w:cs="仿宋"/>
                <w:kern w:val="0"/>
                <w:szCs w:val="21"/>
              </w:rPr>
              <w:t>职称</w:t>
            </w:r>
          </w:p>
        </w:tc>
        <w:tc>
          <w:tcPr>
            <w:tcW w:w="1891" w:type="dxa"/>
            <w:gridSpan w:val="2"/>
            <w:tcBorders>
              <w:top w:val="single" w:color="000000" w:sz="4" w:space="0"/>
              <w:left w:val="nil"/>
              <w:bottom w:val="single" w:color="000000" w:sz="4" w:space="0"/>
              <w:right w:val="single" w:color="000000" w:sz="4" w:space="0"/>
            </w:tcBorders>
            <w:vAlign w:val="center"/>
          </w:tcPr>
          <w:p w14:paraId="4FF83FC4">
            <w:pPr>
              <w:widowControl/>
              <w:topLinePunct/>
              <w:jc w:val="center"/>
              <w:rPr>
                <w:rFonts w:ascii="仿宋" w:hAnsi="仿宋" w:eastAsia="仿宋" w:cs="仿宋"/>
                <w:kern w:val="0"/>
                <w:szCs w:val="21"/>
              </w:rPr>
            </w:pPr>
          </w:p>
        </w:tc>
        <w:tc>
          <w:tcPr>
            <w:tcW w:w="985" w:type="dxa"/>
            <w:tcBorders>
              <w:top w:val="single" w:color="000000" w:sz="4" w:space="0"/>
              <w:left w:val="nil"/>
              <w:bottom w:val="single" w:color="000000" w:sz="4" w:space="0"/>
              <w:right w:val="single" w:color="000000" w:sz="4" w:space="0"/>
            </w:tcBorders>
            <w:vAlign w:val="center"/>
          </w:tcPr>
          <w:p w14:paraId="0141EE79">
            <w:pPr>
              <w:widowControl/>
              <w:topLinePunct/>
              <w:jc w:val="center"/>
              <w:rPr>
                <w:rFonts w:ascii="仿宋" w:hAnsi="仿宋" w:eastAsia="仿宋" w:cs="仿宋"/>
                <w:kern w:val="0"/>
                <w:szCs w:val="21"/>
              </w:rPr>
            </w:pPr>
            <w:r>
              <w:rPr>
                <w:rFonts w:hint="eastAsia" w:ascii="仿宋" w:hAnsi="仿宋" w:eastAsia="仿宋" w:cs="仿宋"/>
                <w:kern w:val="0"/>
                <w:szCs w:val="21"/>
              </w:rPr>
              <w:t>电话</w:t>
            </w:r>
          </w:p>
        </w:tc>
        <w:tc>
          <w:tcPr>
            <w:tcW w:w="1145" w:type="dxa"/>
            <w:tcBorders>
              <w:top w:val="single" w:color="000000" w:sz="4" w:space="0"/>
              <w:left w:val="nil"/>
              <w:bottom w:val="single" w:color="000000" w:sz="4" w:space="0"/>
              <w:right w:val="single" w:color="000000" w:sz="4" w:space="0"/>
            </w:tcBorders>
            <w:vAlign w:val="center"/>
          </w:tcPr>
          <w:p w14:paraId="048B5578">
            <w:pPr>
              <w:widowControl/>
              <w:topLinePunct/>
              <w:jc w:val="center"/>
              <w:rPr>
                <w:rFonts w:ascii="仿宋" w:hAnsi="仿宋" w:eastAsia="仿宋" w:cs="仿宋"/>
                <w:kern w:val="0"/>
                <w:szCs w:val="21"/>
              </w:rPr>
            </w:pPr>
          </w:p>
        </w:tc>
      </w:tr>
      <w:tr w14:paraId="5C4A26CC">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753CF8F3">
            <w:pPr>
              <w:widowControl/>
              <w:topLinePunct/>
              <w:jc w:val="center"/>
              <w:rPr>
                <w:rFonts w:ascii="仿宋" w:hAnsi="仿宋" w:eastAsia="仿宋" w:cs="仿宋"/>
                <w:kern w:val="0"/>
                <w:szCs w:val="21"/>
              </w:rPr>
            </w:pPr>
            <w:r>
              <w:rPr>
                <w:rFonts w:hint="eastAsia" w:ascii="仿宋" w:hAnsi="仿宋" w:eastAsia="仿宋" w:cs="仿宋"/>
                <w:kern w:val="0"/>
                <w:szCs w:val="21"/>
              </w:rPr>
              <w:t>技术负责人</w:t>
            </w:r>
          </w:p>
        </w:tc>
        <w:tc>
          <w:tcPr>
            <w:tcW w:w="775" w:type="dxa"/>
            <w:tcBorders>
              <w:top w:val="nil"/>
              <w:left w:val="nil"/>
              <w:bottom w:val="single" w:color="000000" w:sz="4" w:space="0"/>
              <w:right w:val="single" w:color="000000" w:sz="4" w:space="0"/>
            </w:tcBorders>
            <w:vAlign w:val="center"/>
          </w:tcPr>
          <w:p w14:paraId="7FC92FF2">
            <w:pPr>
              <w:widowControl/>
              <w:topLinePunct/>
              <w:jc w:val="center"/>
              <w:rPr>
                <w:rFonts w:ascii="仿宋" w:hAnsi="仿宋" w:eastAsia="仿宋" w:cs="仿宋"/>
                <w:kern w:val="0"/>
                <w:szCs w:val="21"/>
              </w:rPr>
            </w:pPr>
            <w:r>
              <w:rPr>
                <w:rFonts w:hint="eastAsia" w:ascii="仿宋" w:hAnsi="仿宋" w:eastAsia="仿宋" w:cs="仿宋"/>
                <w:kern w:val="0"/>
                <w:szCs w:val="21"/>
              </w:rPr>
              <w:t>姓名</w:t>
            </w:r>
          </w:p>
        </w:tc>
        <w:tc>
          <w:tcPr>
            <w:tcW w:w="1345" w:type="dxa"/>
            <w:gridSpan w:val="2"/>
            <w:tcBorders>
              <w:top w:val="nil"/>
              <w:left w:val="nil"/>
              <w:bottom w:val="single" w:color="000000" w:sz="4" w:space="0"/>
              <w:right w:val="single" w:color="000000" w:sz="4" w:space="0"/>
            </w:tcBorders>
            <w:vAlign w:val="center"/>
          </w:tcPr>
          <w:p w14:paraId="79A673BE">
            <w:pPr>
              <w:widowControl/>
              <w:topLinePunct/>
              <w:jc w:val="center"/>
              <w:rPr>
                <w:rFonts w:ascii="仿宋" w:hAnsi="仿宋" w:eastAsia="仿宋" w:cs="仿宋"/>
                <w:kern w:val="0"/>
                <w:szCs w:val="21"/>
              </w:rPr>
            </w:pPr>
          </w:p>
        </w:tc>
        <w:tc>
          <w:tcPr>
            <w:tcW w:w="1468" w:type="dxa"/>
            <w:gridSpan w:val="2"/>
            <w:tcBorders>
              <w:top w:val="nil"/>
              <w:left w:val="nil"/>
              <w:bottom w:val="single" w:color="000000" w:sz="4" w:space="0"/>
              <w:right w:val="single" w:color="000000" w:sz="4" w:space="0"/>
            </w:tcBorders>
            <w:vAlign w:val="center"/>
          </w:tcPr>
          <w:p w14:paraId="54B0940F">
            <w:pPr>
              <w:widowControl/>
              <w:topLinePunct/>
              <w:jc w:val="center"/>
              <w:rPr>
                <w:rFonts w:ascii="仿宋" w:hAnsi="仿宋" w:eastAsia="仿宋" w:cs="仿宋"/>
                <w:kern w:val="0"/>
                <w:szCs w:val="21"/>
              </w:rPr>
            </w:pPr>
            <w:r>
              <w:rPr>
                <w:rFonts w:hint="eastAsia" w:ascii="仿宋" w:hAnsi="仿宋" w:eastAsia="仿宋" w:cs="仿宋"/>
                <w:kern w:val="0"/>
                <w:szCs w:val="21"/>
              </w:rPr>
              <w:t>职称</w:t>
            </w:r>
          </w:p>
        </w:tc>
        <w:tc>
          <w:tcPr>
            <w:tcW w:w="1891" w:type="dxa"/>
            <w:gridSpan w:val="2"/>
            <w:tcBorders>
              <w:top w:val="nil"/>
              <w:left w:val="nil"/>
              <w:bottom w:val="single" w:color="000000" w:sz="4" w:space="0"/>
              <w:right w:val="single" w:color="000000" w:sz="4" w:space="0"/>
            </w:tcBorders>
            <w:vAlign w:val="center"/>
          </w:tcPr>
          <w:p w14:paraId="3B638781">
            <w:pPr>
              <w:widowControl/>
              <w:topLinePunct/>
              <w:jc w:val="center"/>
              <w:rPr>
                <w:rFonts w:ascii="仿宋" w:hAnsi="仿宋" w:eastAsia="仿宋" w:cs="仿宋"/>
                <w:kern w:val="0"/>
                <w:szCs w:val="21"/>
              </w:rPr>
            </w:pPr>
          </w:p>
        </w:tc>
        <w:tc>
          <w:tcPr>
            <w:tcW w:w="985" w:type="dxa"/>
            <w:tcBorders>
              <w:top w:val="nil"/>
              <w:left w:val="nil"/>
              <w:bottom w:val="single" w:color="000000" w:sz="4" w:space="0"/>
              <w:right w:val="single" w:color="000000" w:sz="4" w:space="0"/>
            </w:tcBorders>
            <w:vAlign w:val="center"/>
          </w:tcPr>
          <w:p w14:paraId="5424C4D4">
            <w:pPr>
              <w:widowControl/>
              <w:topLinePunct/>
              <w:jc w:val="center"/>
              <w:rPr>
                <w:rFonts w:ascii="仿宋" w:hAnsi="仿宋" w:eastAsia="仿宋" w:cs="仿宋"/>
                <w:kern w:val="0"/>
                <w:szCs w:val="21"/>
              </w:rPr>
            </w:pPr>
            <w:r>
              <w:rPr>
                <w:rFonts w:hint="eastAsia" w:ascii="仿宋" w:hAnsi="仿宋" w:eastAsia="仿宋" w:cs="仿宋"/>
                <w:kern w:val="0"/>
                <w:szCs w:val="21"/>
              </w:rPr>
              <w:t>电话</w:t>
            </w:r>
          </w:p>
        </w:tc>
        <w:tc>
          <w:tcPr>
            <w:tcW w:w="1145" w:type="dxa"/>
            <w:tcBorders>
              <w:top w:val="nil"/>
              <w:left w:val="nil"/>
              <w:bottom w:val="single" w:color="000000" w:sz="4" w:space="0"/>
              <w:right w:val="single" w:color="000000" w:sz="4" w:space="0"/>
            </w:tcBorders>
            <w:vAlign w:val="center"/>
          </w:tcPr>
          <w:p w14:paraId="1CE13141">
            <w:pPr>
              <w:widowControl/>
              <w:topLinePunct/>
              <w:jc w:val="center"/>
              <w:rPr>
                <w:rFonts w:ascii="仿宋" w:hAnsi="仿宋" w:eastAsia="仿宋" w:cs="仿宋"/>
                <w:kern w:val="0"/>
                <w:szCs w:val="21"/>
              </w:rPr>
            </w:pPr>
          </w:p>
        </w:tc>
      </w:tr>
      <w:tr w14:paraId="564A54F6">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24B006FD">
            <w:pPr>
              <w:widowControl/>
              <w:topLinePunct/>
              <w:jc w:val="center"/>
              <w:rPr>
                <w:rFonts w:ascii="仿宋" w:hAnsi="仿宋" w:eastAsia="仿宋" w:cs="仿宋"/>
                <w:kern w:val="0"/>
                <w:szCs w:val="21"/>
              </w:rPr>
            </w:pPr>
            <w:r>
              <w:rPr>
                <w:rFonts w:hint="eastAsia" w:ascii="仿宋" w:hAnsi="仿宋" w:eastAsia="仿宋" w:cs="仿宋"/>
                <w:kern w:val="0"/>
                <w:szCs w:val="21"/>
              </w:rPr>
              <w:t>成立时间</w:t>
            </w:r>
          </w:p>
        </w:tc>
        <w:tc>
          <w:tcPr>
            <w:tcW w:w="2120" w:type="dxa"/>
            <w:gridSpan w:val="3"/>
            <w:tcBorders>
              <w:top w:val="nil"/>
              <w:left w:val="nil"/>
              <w:bottom w:val="single" w:color="000000" w:sz="4" w:space="0"/>
              <w:right w:val="single" w:color="000000" w:sz="4" w:space="0"/>
            </w:tcBorders>
            <w:vAlign w:val="center"/>
          </w:tcPr>
          <w:p w14:paraId="2194C8A7">
            <w:pPr>
              <w:widowControl/>
              <w:topLinePunct/>
              <w:jc w:val="center"/>
              <w:rPr>
                <w:rFonts w:ascii="仿宋" w:hAnsi="仿宋" w:eastAsia="仿宋" w:cs="仿宋"/>
                <w:kern w:val="0"/>
                <w:szCs w:val="21"/>
              </w:rPr>
            </w:pPr>
          </w:p>
        </w:tc>
        <w:tc>
          <w:tcPr>
            <w:tcW w:w="5489" w:type="dxa"/>
            <w:gridSpan w:val="6"/>
            <w:tcBorders>
              <w:top w:val="nil"/>
              <w:left w:val="nil"/>
              <w:bottom w:val="single" w:color="000000" w:sz="4" w:space="0"/>
              <w:right w:val="single" w:color="000000" w:sz="4" w:space="0"/>
            </w:tcBorders>
            <w:vAlign w:val="center"/>
          </w:tcPr>
          <w:p w14:paraId="1A56FB87">
            <w:pPr>
              <w:widowControl/>
              <w:topLinePunct/>
              <w:ind w:firstLine="105"/>
              <w:jc w:val="center"/>
              <w:rPr>
                <w:rFonts w:ascii="仿宋" w:hAnsi="仿宋" w:eastAsia="仿宋" w:cs="仿宋"/>
                <w:kern w:val="0"/>
                <w:szCs w:val="21"/>
              </w:rPr>
            </w:pPr>
            <w:r>
              <w:rPr>
                <w:rFonts w:hint="eastAsia" w:ascii="仿宋" w:hAnsi="仿宋" w:eastAsia="仿宋" w:cs="仿宋"/>
                <w:kern w:val="0"/>
                <w:szCs w:val="21"/>
              </w:rPr>
              <w:t>员工总人数：</w:t>
            </w:r>
          </w:p>
        </w:tc>
      </w:tr>
      <w:tr w14:paraId="2939DCF3">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33ACD512">
            <w:pPr>
              <w:widowControl/>
              <w:topLinePunct/>
              <w:jc w:val="center"/>
              <w:rPr>
                <w:rFonts w:ascii="仿宋" w:hAnsi="仿宋" w:eastAsia="仿宋" w:cs="仿宋"/>
                <w:kern w:val="0"/>
                <w:szCs w:val="21"/>
              </w:rPr>
            </w:pPr>
            <w:r>
              <w:rPr>
                <w:rFonts w:hint="eastAsia" w:ascii="仿宋" w:hAnsi="仿宋" w:eastAsia="仿宋" w:cs="仿宋"/>
                <w:kern w:val="0"/>
                <w:szCs w:val="21"/>
              </w:rPr>
              <w:t>企业资质等级</w:t>
            </w:r>
          </w:p>
        </w:tc>
        <w:tc>
          <w:tcPr>
            <w:tcW w:w="2120" w:type="dxa"/>
            <w:gridSpan w:val="3"/>
            <w:tcBorders>
              <w:top w:val="nil"/>
              <w:left w:val="nil"/>
              <w:bottom w:val="single" w:color="000000" w:sz="4" w:space="0"/>
              <w:right w:val="single" w:color="000000" w:sz="4" w:space="0"/>
            </w:tcBorders>
            <w:vAlign w:val="center"/>
          </w:tcPr>
          <w:p w14:paraId="19A44BC1">
            <w:pPr>
              <w:widowControl/>
              <w:topLinePunct/>
              <w:jc w:val="center"/>
              <w:rPr>
                <w:rFonts w:ascii="仿宋" w:hAnsi="仿宋" w:eastAsia="仿宋" w:cs="仿宋"/>
                <w:kern w:val="0"/>
                <w:szCs w:val="21"/>
              </w:rPr>
            </w:pPr>
          </w:p>
        </w:tc>
        <w:tc>
          <w:tcPr>
            <w:tcW w:w="713" w:type="dxa"/>
            <w:vMerge w:val="restart"/>
            <w:tcBorders>
              <w:top w:val="nil"/>
              <w:left w:val="nil"/>
              <w:bottom w:val="single" w:color="000000" w:sz="4" w:space="0"/>
              <w:right w:val="single" w:color="000000" w:sz="4" w:space="0"/>
            </w:tcBorders>
            <w:vAlign w:val="center"/>
          </w:tcPr>
          <w:p w14:paraId="3ED0081C">
            <w:pPr>
              <w:widowControl/>
              <w:topLinePunct/>
              <w:jc w:val="center"/>
              <w:rPr>
                <w:rFonts w:ascii="仿宋" w:hAnsi="仿宋" w:eastAsia="仿宋" w:cs="仿宋"/>
                <w:kern w:val="0"/>
                <w:szCs w:val="21"/>
              </w:rPr>
            </w:pPr>
            <w:r>
              <w:rPr>
                <w:rFonts w:hint="eastAsia" w:ascii="仿宋" w:hAnsi="仿宋" w:eastAsia="仿宋" w:cs="仿宋"/>
                <w:kern w:val="0"/>
                <w:szCs w:val="21"/>
              </w:rPr>
              <w:t>其中</w:t>
            </w:r>
          </w:p>
        </w:tc>
        <w:tc>
          <w:tcPr>
            <w:tcW w:w="2646" w:type="dxa"/>
            <w:gridSpan w:val="3"/>
            <w:tcBorders>
              <w:top w:val="single" w:color="000000" w:sz="4" w:space="0"/>
              <w:left w:val="nil"/>
              <w:bottom w:val="single" w:color="000000" w:sz="4" w:space="0"/>
              <w:right w:val="single" w:color="000000" w:sz="4" w:space="0"/>
            </w:tcBorders>
            <w:vAlign w:val="center"/>
          </w:tcPr>
          <w:p w14:paraId="2CD42EAB">
            <w:pPr>
              <w:widowControl/>
              <w:topLinePunct/>
              <w:jc w:val="center"/>
              <w:rPr>
                <w:rFonts w:ascii="仿宋" w:hAnsi="仿宋" w:eastAsia="仿宋" w:cs="仿宋"/>
                <w:kern w:val="0"/>
                <w:szCs w:val="21"/>
              </w:rPr>
            </w:pPr>
            <w:r>
              <w:rPr>
                <w:rFonts w:hint="eastAsia" w:ascii="仿宋" w:hAnsi="仿宋" w:eastAsia="仿宋" w:cs="仿宋"/>
                <w:kern w:val="0"/>
                <w:szCs w:val="21"/>
              </w:rPr>
              <w:t>项目负责人</w:t>
            </w:r>
          </w:p>
        </w:tc>
        <w:tc>
          <w:tcPr>
            <w:tcW w:w="2130" w:type="dxa"/>
            <w:gridSpan w:val="2"/>
            <w:tcBorders>
              <w:top w:val="single" w:color="000000" w:sz="4" w:space="0"/>
              <w:left w:val="nil"/>
              <w:bottom w:val="single" w:color="000000" w:sz="4" w:space="0"/>
              <w:right w:val="single" w:color="000000" w:sz="4" w:space="0"/>
            </w:tcBorders>
            <w:vAlign w:val="center"/>
          </w:tcPr>
          <w:p w14:paraId="1A1F3677">
            <w:pPr>
              <w:widowControl/>
              <w:topLinePunct/>
              <w:jc w:val="center"/>
              <w:rPr>
                <w:rFonts w:ascii="仿宋" w:hAnsi="仿宋" w:eastAsia="仿宋" w:cs="仿宋"/>
                <w:kern w:val="0"/>
                <w:szCs w:val="21"/>
              </w:rPr>
            </w:pPr>
          </w:p>
        </w:tc>
      </w:tr>
      <w:tr w14:paraId="6CDBFB6E">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5245B88F">
            <w:pPr>
              <w:widowControl/>
              <w:topLinePunct/>
              <w:jc w:val="center"/>
              <w:rPr>
                <w:rFonts w:ascii="仿宋" w:hAnsi="仿宋" w:eastAsia="仿宋" w:cs="仿宋"/>
                <w:kern w:val="0"/>
                <w:szCs w:val="21"/>
              </w:rPr>
            </w:pPr>
            <w:r>
              <w:rPr>
                <w:rFonts w:hint="eastAsia" w:ascii="仿宋" w:hAnsi="仿宋" w:eastAsia="仿宋" w:cs="仿宋"/>
                <w:kern w:val="0"/>
                <w:szCs w:val="21"/>
              </w:rPr>
              <w:t>营业执照号</w:t>
            </w:r>
          </w:p>
        </w:tc>
        <w:tc>
          <w:tcPr>
            <w:tcW w:w="2120" w:type="dxa"/>
            <w:gridSpan w:val="3"/>
            <w:tcBorders>
              <w:top w:val="nil"/>
              <w:left w:val="nil"/>
              <w:bottom w:val="single" w:color="000000" w:sz="4" w:space="0"/>
              <w:right w:val="single" w:color="000000" w:sz="4" w:space="0"/>
            </w:tcBorders>
            <w:vAlign w:val="center"/>
          </w:tcPr>
          <w:p w14:paraId="0D9CB68C">
            <w:pPr>
              <w:widowControl/>
              <w:topLinePunct/>
              <w:jc w:val="center"/>
              <w:rPr>
                <w:rFonts w:ascii="仿宋" w:hAnsi="仿宋" w:eastAsia="仿宋" w:cs="仿宋"/>
                <w:kern w:val="0"/>
                <w:szCs w:val="21"/>
              </w:rPr>
            </w:pPr>
          </w:p>
        </w:tc>
        <w:tc>
          <w:tcPr>
            <w:tcW w:w="713" w:type="dxa"/>
            <w:vMerge w:val="continue"/>
            <w:tcBorders>
              <w:top w:val="nil"/>
              <w:left w:val="nil"/>
              <w:bottom w:val="single" w:color="000000" w:sz="4" w:space="0"/>
              <w:right w:val="single" w:color="000000" w:sz="4" w:space="0"/>
            </w:tcBorders>
            <w:vAlign w:val="center"/>
          </w:tcPr>
          <w:p w14:paraId="6AE3B840">
            <w:pPr>
              <w:rPr>
                <w:rFonts w:ascii="仿宋" w:hAnsi="仿宋" w:eastAsia="仿宋" w:cs="仿宋"/>
                <w:szCs w:val="21"/>
              </w:rPr>
            </w:pPr>
          </w:p>
        </w:tc>
        <w:tc>
          <w:tcPr>
            <w:tcW w:w="2646" w:type="dxa"/>
            <w:gridSpan w:val="3"/>
            <w:tcBorders>
              <w:top w:val="nil"/>
              <w:left w:val="nil"/>
              <w:bottom w:val="single" w:color="000000" w:sz="4" w:space="0"/>
              <w:right w:val="single" w:color="000000" w:sz="4" w:space="0"/>
            </w:tcBorders>
            <w:vAlign w:val="center"/>
          </w:tcPr>
          <w:p w14:paraId="35A2561F">
            <w:pPr>
              <w:widowControl/>
              <w:topLinePunct/>
              <w:jc w:val="center"/>
              <w:rPr>
                <w:rFonts w:ascii="仿宋" w:hAnsi="仿宋" w:eastAsia="仿宋" w:cs="仿宋"/>
                <w:kern w:val="0"/>
                <w:szCs w:val="21"/>
              </w:rPr>
            </w:pPr>
            <w:r>
              <w:rPr>
                <w:rFonts w:hint="eastAsia" w:ascii="仿宋" w:hAnsi="仿宋" w:eastAsia="仿宋" w:cs="仿宋"/>
                <w:kern w:val="0"/>
                <w:szCs w:val="21"/>
              </w:rPr>
              <w:t>高级职称人员</w:t>
            </w:r>
          </w:p>
        </w:tc>
        <w:tc>
          <w:tcPr>
            <w:tcW w:w="2130" w:type="dxa"/>
            <w:gridSpan w:val="2"/>
            <w:tcBorders>
              <w:top w:val="nil"/>
              <w:left w:val="nil"/>
              <w:bottom w:val="single" w:color="000000" w:sz="4" w:space="0"/>
              <w:right w:val="single" w:color="000000" w:sz="4" w:space="0"/>
            </w:tcBorders>
            <w:vAlign w:val="center"/>
          </w:tcPr>
          <w:p w14:paraId="4CB4CAC7">
            <w:pPr>
              <w:widowControl/>
              <w:topLinePunct/>
              <w:jc w:val="center"/>
              <w:rPr>
                <w:rFonts w:ascii="仿宋" w:hAnsi="仿宋" w:eastAsia="仿宋" w:cs="仿宋"/>
                <w:kern w:val="0"/>
                <w:szCs w:val="21"/>
              </w:rPr>
            </w:pPr>
          </w:p>
        </w:tc>
      </w:tr>
      <w:tr w14:paraId="1C9C51BD">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53B6D232">
            <w:pPr>
              <w:widowControl/>
              <w:topLinePunct/>
              <w:jc w:val="center"/>
              <w:rPr>
                <w:rFonts w:ascii="仿宋" w:hAnsi="仿宋" w:eastAsia="仿宋" w:cs="仿宋"/>
                <w:kern w:val="0"/>
                <w:szCs w:val="21"/>
              </w:rPr>
            </w:pPr>
            <w:r>
              <w:rPr>
                <w:rFonts w:hint="eastAsia" w:ascii="仿宋" w:hAnsi="仿宋" w:eastAsia="仿宋" w:cs="仿宋"/>
                <w:kern w:val="0"/>
                <w:szCs w:val="21"/>
              </w:rPr>
              <w:t>注册资金</w:t>
            </w:r>
          </w:p>
        </w:tc>
        <w:tc>
          <w:tcPr>
            <w:tcW w:w="2120" w:type="dxa"/>
            <w:gridSpan w:val="3"/>
            <w:tcBorders>
              <w:top w:val="nil"/>
              <w:left w:val="nil"/>
              <w:bottom w:val="single" w:color="000000" w:sz="4" w:space="0"/>
              <w:right w:val="single" w:color="000000" w:sz="4" w:space="0"/>
            </w:tcBorders>
            <w:vAlign w:val="center"/>
          </w:tcPr>
          <w:p w14:paraId="3A07B552">
            <w:pPr>
              <w:widowControl/>
              <w:topLinePunct/>
              <w:jc w:val="center"/>
              <w:rPr>
                <w:rFonts w:ascii="仿宋" w:hAnsi="仿宋" w:eastAsia="仿宋" w:cs="仿宋"/>
                <w:kern w:val="0"/>
                <w:szCs w:val="21"/>
              </w:rPr>
            </w:pPr>
          </w:p>
        </w:tc>
        <w:tc>
          <w:tcPr>
            <w:tcW w:w="713" w:type="dxa"/>
            <w:vMerge w:val="continue"/>
            <w:tcBorders>
              <w:top w:val="nil"/>
              <w:left w:val="nil"/>
              <w:bottom w:val="single" w:color="000000" w:sz="4" w:space="0"/>
              <w:right w:val="single" w:color="000000" w:sz="4" w:space="0"/>
            </w:tcBorders>
            <w:vAlign w:val="center"/>
          </w:tcPr>
          <w:p w14:paraId="6B38D4E9">
            <w:pPr>
              <w:rPr>
                <w:rFonts w:ascii="仿宋" w:hAnsi="仿宋" w:eastAsia="仿宋" w:cs="仿宋"/>
                <w:szCs w:val="21"/>
              </w:rPr>
            </w:pPr>
          </w:p>
        </w:tc>
        <w:tc>
          <w:tcPr>
            <w:tcW w:w="2646" w:type="dxa"/>
            <w:gridSpan w:val="3"/>
            <w:tcBorders>
              <w:top w:val="nil"/>
              <w:left w:val="nil"/>
              <w:bottom w:val="single" w:color="000000" w:sz="4" w:space="0"/>
              <w:right w:val="single" w:color="000000" w:sz="4" w:space="0"/>
            </w:tcBorders>
            <w:vAlign w:val="center"/>
          </w:tcPr>
          <w:p w14:paraId="11FE0C55">
            <w:pPr>
              <w:widowControl/>
              <w:topLinePunct/>
              <w:jc w:val="center"/>
              <w:rPr>
                <w:rFonts w:ascii="仿宋" w:hAnsi="仿宋" w:eastAsia="仿宋" w:cs="仿宋"/>
                <w:kern w:val="0"/>
                <w:szCs w:val="21"/>
              </w:rPr>
            </w:pPr>
            <w:r>
              <w:rPr>
                <w:rFonts w:hint="eastAsia" w:ascii="仿宋" w:hAnsi="仿宋" w:eastAsia="仿宋" w:cs="仿宋"/>
                <w:kern w:val="0"/>
                <w:szCs w:val="21"/>
              </w:rPr>
              <w:t>中级职称人员</w:t>
            </w:r>
          </w:p>
        </w:tc>
        <w:tc>
          <w:tcPr>
            <w:tcW w:w="2130" w:type="dxa"/>
            <w:gridSpan w:val="2"/>
            <w:tcBorders>
              <w:top w:val="nil"/>
              <w:left w:val="nil"/>
              <w:bottom w:val="single" w:color="000000" w:sz="4" w:space="0"/>
              <w:right w:val="single" w:color="000000" w:sz="4" w:space="0"/>
            </w:tcBorders>
            <w:vAlign w:val="center"/>
          </w:tcPr>
          <w:p w14:paraId="2A10387B">
            <w:pPr>
              <w:widowControl/>
              <w:topLinePunct/>
              <w:jc w:val="center"/>
              <w:rPr>
                <w:rFonts w:ascii="仿宋" w:hAnsi="仿宋" w:eastAsia="仿宋" w:cs="仿宋"/>
                <w:kern w:val="0"/>
                <w:szCs w:val="21"/>
              </w:rPr>
            </w:pPr>
          </w:p>
        </w:tc>
      </w:tr>
      <w:tr w14:paraId="59096AFF">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7457CE55">
            <w:pPr>
              <w:widowControl/>
              <w:topLinePunct/>
              <w:jc w:val="center"/>
              <w:rPr>
                <w:rFonts w:ascii="仿宋" w:hAnsi="仿宋" w:eastAsia="仿宋" w:cs="仿宋"/>
                <w:kern w:val="0"/>
                <w:szCs w:val="21"/>
              </w:rPr>
            </w:pPr>
            <w:r>
              <w:rPr>
                <w:rFonts w:hint="eastAsia" w:ascii="仿宋" w:hAnsi="仿宋" w:eastAsia="仿宋" w:cs="仿宋"/>
                <w:kern w:val="0"/>
                <w:szCs w:val="21"/>
              </w:rPr>
              <w:t>开户银行</w:t>
            </w:r>
          </w:p>
        </w:tc>
        <w:tc>
          <w:tcPr>
            <w:tcW w:w="2120" w:type="dxa"/>
            <w:gridSpan w:val="3"/>
            <w:tcBorders>
              <w:top w:val="nil"/>
              <w:left w:val="nil"/>
              <w:bottom w:val="single" w:color="000000" w:sz="4" w:space="0"/>
              <w:right w:val="single" w:color="000000" w:sz="4" w:space="0"/>
            </w:tcBorders>
            <w:vAlign w:val="center"/>
          </w:tcPr>
          <w:p w14:paraId="3DDEB768">
            <w:pPr>
              <w:widowControl/>
              <w:topLinePunct/>
              <w:jc w:val="center"/>
              <w:rPr>
                <w:rFonts w:ascii="仿宋" w:hAnsi="仿宋" w:eastAsia="仿宋" w:cs="仿宋"/>
                <w:kern w:val="0"/>
                <w:szCs w:val="21"/>
              </w:rPr>
            </w:pPr>
          </w:p>
        </w:tc>
        <w:tc>
          <w:tcPr>
            <w:tcW w:w="713" w:type="dxa"/>
            <w:vMerge w:val="continue"/>
            <w:tcBorders>
              <w:top w:val="nil"/>
              <w:left w:val="nil"/>
              <w:bottom w:val="single" w:color="000000" w:sz="4" w:space="0"/>
              <w:right w:val="single" w:color="000000" w:sz="4" w:space="0"/>
            </w:tcBorders>
            <w:vAlign w:val="center"/>
          </w:tcPr>
          <w:p w14:paraId="51A62642">
            <w:pPr>
              <w:rPr>
                <w:rFonts w:ascii="仿宋" w:hAnsi="仿宋" w:eastAsia="仿宋" w:cs="仿宋"/>
                <w:szCs w:val="21"/>
              </w:rPr>
            </w:pPr>
          </w:p>
        </w:tc>
        <w:tc>
          <w:tcPr>
            <w:tcW w:w="2646" w:type="dxa"/>
            <w:gridSpan w:val="3"/>
            <w:vMerge w:val="restart"/>
            <w:tcBorders>
              <w:top w:val="nil"/>
              <w:left w:val="nil"/>
              <w:right w:val="single" w:color="000000" w:sz="4" w:space="0"/>
            </w:tcBorders>
            <w:vAlign w:val="center"/>
          </w:tcPr>
          <w:p w14:paraId="264E3123">
            <w:pPr>
              <w:widowControl/>
              <w:topLinePunct/>
              <w:jc w:val="center"/>
              <w:rPr>
                <w:rFonts w:ascii="仿宋" w:hAnsi="仿宋" w:eastAsia="仿宋" w:cs="仿宋"/>
                <w:kern w:val="0"/>
                <w:szCs w:val="21"/>
              </w:rPr>
            </w:pPr>
            <w:r>
              <w:rPr>
                <w:rFonts w:hint="eastAsia" w:ascii="仿宋" w:hAnsi="仿宋" w:eastAsia="仿宋" w:cs="仿宋"/>
                <w:kern w:val="0"/>
                <w:szCs w:val="21"/>
              </w:rPr>
              <w:t>初级职称人员</w:t>
            </w:r>
          </w:p>
        </w:tc>
        <w:tc>
          <w:tcPr>
            <w:tcW w:w="2130" w:type="dxa"/>
            <w:gridSpan w:val="2"/>
            <w:vMerge w:val="restart"/>
            <w:tcBorders>
              <w:top w:val="nil"/>
              <w:left w:val="nil"/>
              <w:right w:val="single" w:color="000000" w:sz="4" w:space="0"/>
            </w:tcBorders>
            <w:vAlign w:val="center"/>
          </w:tcPr>
          <w:p w14:paraId="5FB53D2B">
            <w:pPr>
              <w:widowControl/>
              <w:topLinePunct/>
              <w:jc w:val="center"/>
              <w:rPr>
                <w:rFonts w:ascii="仿宋" w:hAnsi="仿宋" w:eastAsia="仿宋" w:cs="仿宋"/>
                <w:kern w:val="0"/>
                <w:szCs w:val="21"/>
              </w:rPr>
            </w:pPr>
          </w:p>
        </w:tc>
      </w:tr>
      <w:tr w14:paraId="65A97208">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1F6CACEE">
            <w:pPr>
              <w:widowControl/>
              <w:topLinePunct/>
              <w:jc w:val="center"/>
              <w:rPr>
                <w:rFonts w:ascii="仿宋" w:hAnsi="仿宋" w:eastAsia="仿宋" w:cs="仿宋"/>
                <w:kern w:val="0"/>
                <w:szCs w:val="21"/>
              </w:rPr>
            </w:pPr>
            <w:r>
              <w:rPr>
                <w:rFonts w:hint="eastAsia" w:ascii="仿宋" w:hAnsi="仿宋" w:eastAsia="仿宋" w:cs="仿宋"/>
                <w:kern w:val="0"/>
                <w:szCs w:val="21"/>
              </w:rPr>
              <w:t>账号</w:t>
            </w:r>
          </w:p>
        </w:tc>
        <w:tc>
          <w:tcPr>
            <w:tcW w:w="2120" w:type="dxa"/>
            <w:gridSpan w:val="3"/>
            <w:tcBorders>
              <w:top w:val="nil"/>
              <w:left w:val="nil"/>
              <w:bottom w:val="single" w:color="000000" w:sz="4" w:space="0"/>
              <w:right w:val="single" w:color="000000" w:sz="4" w:space="0"/>
            </w:tcBorders>
            <w:vAlign w:val="center"/>
          </w:tcPr>
          <w:p w14:paraId="236F7F32">
            <w:pPr>
              <w:widowControl/>
              <w:topLinePunct/>
              <w:jc w:val="center"/>
              <w:rPr>
                <w:rFonts w:ascii="仿宋" w:hAnsi="仿宋" w:eastAsia="仿宋" w:cs="仿宋"/>
                <w:kern w:val="0"/>
                <w:szCs w:val="21"/>
              </w:rPr>
            </w:pPr>
          </w:p>
        </w:tc>
        <w:tc>
          <w:tcPr>
            <w:tcW w:w="713" w:type="dxa"/>
            <w:vMerge w:val="continue"/>
            <w:tcBorders>
              <w:top w:val="nil"/>
              <w:left w:val="nil"/>
              <w:bottom w:val="single" w:color="000000" w:sz="4" w:space="0"/>
              <w:right w:val="single" w:color="000000" w:sz="4" w:space="0"/>
            </w:tcBorders>
            <w:vAlign w:val="center"/>
          </w:tcPr>
          <w:p w14:paraId="204275C6">
            <w:pPr>
              <w:rPr>
                <w:rFonts w:ascii="仿宋" w:hAnsi="仿宋" w:eastAsia="仿宋" w:cs="仿宋"/>
                <w:szCs w:val="21"/>
              </w:rPr>
            </w:pPr>
          </w:p>
        </w:tc>
        <w:tc>
          <w:tcPr>
            <w:tcW w:w="2646" w:type="dxa"/>
            <w:gridSpan w:val="3"/>
            <w:vMerge w:val="continue"/>
            <w:tcBorders>
              <w:left w:val="nil"/>
              <w:bottom w:val="single" w:color="000000" w:sz="4" w:space="0"/>
              <w:right w:val="single" w:color="000000" w:sz="4" w:space="0"/>
            </w:tcBorders>
            <w:vAlign w:val="center"/>
          </w:tcPr>
          <w:p w14:paraId="18937047">
            <w:pPr>
              <w:widowControl/>
              <w:topLinePunct/>
              <w:jc w:val="center"/>
              <w:rPr>
                <w:rFonts w:ascii="仿宋" w:hAnsi="仿宋" w:eastAsia="仿宋" w:cs="仿宋"/>
                <w:kern w:val="0"/>
                <w:szCs w:val="21"/>
              </w:rPr>
            </w:pPr>
          </w:p>
        </w:tc>
        <w:tc>
          <w:tcPr>
            <w:tcW w:w="2130" w:type="dxa"/>
            <w:gridSpan w:val="2"/>
            <w:vMerge w:val="continue"/>
            <w:tcBorders>
              <w:left w:val="nil"/>
              <w:bottom w:val="single" w:color="000000" w:sz="4" w:space="0"/>
              <w:right w:val="single" w:color="000000" w:sz="4" w:space="0"/>
            </w:tcBorders>
            <w:vAlign w:val="center"/>
          </w:tcPr>
          <w:p w14:paraId="1FF8575D">
            <w:pPr>
              <w:widowControl/>
              <w:topLinePunct/>
              <w:jc w:val="center"/>
              <w:rPr>
                <w:rFonts w:ascii="仿宋" w:hAnsi="仿宋" w:eastAsia="仿宋" w:cs="仿宋"/>
                <w:kern w:val="0"/>
                <w:szCs w:val="21"/>
              </w:rPr>
            </w:pPr>
          </w:p>
        </w:tc>
      </w:tr>
      <w:tr w14:paraId="34F30D22">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48865DCD">
            <w:pPr>
              <w:widowControl/>
              <w:topLinePunct/>
              <w:ind w:firstLine="210"/>
              <w:jc w:val="center"/>
              <w:rPr>
                <w:rFonts w:ascii="仿宋" w:hAnsi="仿宋" w:eastAsia="仿宋" w:cs="仿宋"/>
                <w:kern w:val="0"/>
                <w:szCs w:val="21"/>
              </w:rPr>
            </w:pPr>
            <w:r>
              <w:rPr>
                <w:rFonts w:hint="eastAsia" w:ascii="仿宋" w:hAnsi="仿宋" w:eastAsia="仿宋" w:cs="仿宋"/>
                <w:kern w:val="0"/>
                <w:szCs w:val="21"/>
              </w:rPr>
              <w:t>经营范围</w:t>
            </w:r>
          </w:p>
        </w:tc>
        <w:tc>
          <w:tcPr>
            <w:tcW w:w="7609" w:type="dxa"/>
            <w:gridSpan w:val="9"/>
            <w:tcBorders>
              <w:top w:val="nil"/>
              <w:left w:val="nil"/>
              <w:bottom w:val="single" w:color="000000" w:sz="4" w:space="0"/>
              <w:right w:val="single" w:color="000000" w:sz="4" w:space="0"/>
            </w:tcBorders>
            <w:vAlign w:val="center"/>
          </w:tcPr>
          <w:p w14:paraId="55609BF5">
            <w:pPr>
              <w:widowControl/>
              <w:topLinePunct/>
              <w:rPr>
                <w:rFonts w:ascii="仿宋" w:hAnsi="仿宋" w:eastAsia="仿宋" w:cs="仿宋"/>
                <w:kern w:val="0"/>
                <w:szCs w:val="21"/>
              </w:rPr>
            </w:pPr>
          </w:p>
        </w:tc>
      </w:tr>
      <w:tr w14:paraId="34F57899">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14:paraId="16CA61D4">
            <w:pPr>
              <w:widowControl/>
              <w:topLinePunct/>
              <w:jc w:val="center"/>
              <w:rPr>
                <w:rFonts w:ascii="仿宋" w:hAnsi="仿宋" w:eastAsia="仿宋" w:cs="仿宋"/>
                <w:kern w:val="0"/>
                <w:szCs w:val="21"/>
              </w:rPr>
            </w:pPr>
            <w:r>
              <w:rPr>
                <w:rFonts w:hint="eastAsia" w:ascii="仿宋" w:hAnsi="仿宋" w:eastAsia="仿宋" w:cs="仿宋"/>
                <w:kern w:val="0"/>
                <w:szCs w:val="21"/>
              </w:rPr>
              <w:t>备注</w:t>
            </w:r>
          </w:p>
        </w:tc>
        <w:tc>
          <w:tcPr>
            <w:tcW w:w="7609" w:type="dxa"/>
            <w:gridSpan w:val="9"/>
            <w:tcBorders>
              <w:top w:val="nil"/>
              <w:left w:val="nil"/>
              <w:bottom w:val="single" w:color="000000" w:sz="4" w:space="0"/>
              <w:right w:val="single" w:color="000000" w:sz="4" w:space="0"/>
            </w:tcBorders>
            <w:vAlign w:val="center"/>
          </w:tcPr>
          <w:p w14:paraId="31B8E4C2">
            <w:pPr>
              <w:widowControl/>
              <w:topLinePunct/>
              <w:jc w:val="center"/>
              <w:rPr>
                <w:rFonts w:ascii="仿宋" w:hAnsi="仿宋" w:eastAsia="仿宋" w:cs="仿宋"/>
                <w:kern w:val="0"/>
                <w:szCs w:val="21"/>
              </w:rPr>
            </w:pPr>
          </w:p>
        </w:tc>
      </w:tr>
    </w:tbl>
    <w:p w14:paraId="64C0F386">
      <w:pPr>
        <w:spacing w:line="360" w:lineRule="auto"/>
        <w:ind w:left="482" w:hanging="482" w:hangingChars="200"/>
        <w:rPr>
          <w:rFonts w:ascii="仿宋" w:hAnsi="仿宋" w:eastAsia="仿宋" w:cs="仿宋"/>
          <w:szCs w:val="21"/>
        </w:rPr>
      </w:pPr>
      <w:bookmarkStart w:id="964" w:name="_Hlk122532292"/>
      <w:r>
        <w:rPr>
          <w:rFonts w:hint="eastAsia" w:ascii="仿宋" w:hAnsi="仿宋" w:eastAsia="仿宋" w:cs="仿宋"/>
          <w:b/>
          <w:sz w:val="24"/>
          <w:szCs w:val="24"/>
        </w:rPr>
        <w:t>注：提供由工商部门核发的最新营业执照（正副本皆可）。</w:t>
      </w:r>
      <w:bookmarkEnd w:id="964"/>
    </w:p>
    <w:p w14:paraId="4938D924">
      <w:pPr>
        <w:spacing w:line="440" w:lineRule="exact"/>
        <w:ind w:firstLine="3570" w:firstLineChars="1700"/>
        <w:jc w:val="right"/>
        <w:rPr>
          <w:rFonts w:ascii="仿宋" w:hAnsi="仿宋" w:eastAsia="仿宋" w:cs="仿宋"/>
          <w:szCs w:val="21"/>
        </w:rPr>
      </w:pPr>
    </w:p>
    <w:p w14:paraId="5A7DE9B0">
      <w:pPr>
        <w:widowControl/>
        <w:jc w:val="left"/>
        <w:rPr>
          <w:rFonts w:ascii="仿宋" w:hAnsi="仿宋" w:eastAsia="仿宋" w:cs="仿宋"/>
          <w:b/>
          <w:kern w:val="0"/>
        </w:rPr>
      </w:pPr>
    </w:p>
    <w:p w14:paraId="6A168049">
      <w:pPr>
        <w:widowControl/>
        <w:jc w:val="left"/>
        <w:rPr>
          <w:rFonts w:ascii="仿宋" w:hAnsi="仿宋" w:eastAsia="仿宋" w:cs="仿宋"/>
          <w:b/>
          <w:kern w:val="0"/>
        </w:rPr>
      </w:pPr>
    </w:p>
    <w:p w14:paraId="56CC8E66">
      <w:pPr>
        <w:widowControl/>
        <w:jc w:val="left"/>
        <w:rPr>
          <w:rFonts w:ascii="仿宋" w:hAnsi="仿宋" w:eastAsia="仿宋" w:cs="仿宋"/>
          <w:b/>
          <w:kern w:val="0"/>
        </w:rPr>
      </w:pPr>
    </w:p>
    <w:p w14:paraId="6F3E1F69">
      <w:pPr>
        <w:spacing w:line="360" w:lineRule="auto"/>
        <w:textAlignment w:val="baseline"/>
        <w:rPr>
          <w:rFonts w:ascii="仿宋" w:hAnsi="仿宋" w:eastAsia="仿宋" w:cs="仿宋"/>
          <w:b/>
          <w:sz w:val="24"/>
          <w:szCs w:val="24"/>
        </w:rPr>
      </w:pPr>
    </w:p>
    <w:p w14:paraId="5DBFFB1A">
      <w:pPr>
        <w:spacing w:line="360" w:lineRule="auto"/>
        <w:jc w:val="left"/>
        <w:rPr>
          <w:rFonts w:ascii="仿宋" w:hAnsi="仿宋" w:eastAsia="仿宋" w:cs="仿宋"/>
          <w:sz w:val="24"/>
          <w:szCs w:val="24"/>
        </w:rPr>
      </w:pPr>
    </w:p>
    <w:p w14:paraId="7A248927">
      <w:pPr>
        <w:spacing w:line="360" w:lineRule="auto"/>
        <w:ind w:firstLine="4080" w:firstLineChars="1700"/>
        <w:jc w:val="right"/>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（盖章）</w:t>
      </w:r>
    </w:p>
    <w:p w14:paraId="51E22E19">
      <w:pPr>
        <w:spacing w:line="360" w:lineRule="auto"/>
        <w:jc w:val="right"/>
        <w:rPr>
          <w:rFonts w:ascii="仿宋" w:hAnsi="仿宋" w:eastAsia="仿宋" w:cs="仿宋"/>
          <w:b/>
          <w:bCs/>
          <w:sz w:val="24"/>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99EBCFB">
      <w:pPr>
        <w:topLinePunct/>
        <w:adjustRightInd w:val="0"/>
        <w:snapToGrid w:val="0"/>
        <w:spacing w:line="360" w:lineRule="auto"/>
        <w:ind w:left="1575"/>
        <w:rPr>
          <w:rFonts w:ascii="仿宋" w:hAnsi="仿宋" w:eastAsia="仿宋" w:cs="仿宋"/>
          <w:bCs/>
          <w:sz w:val="24"/>
          <w:szCs w:val="24"/>
        </w:rPr>
      </w:pPr>
    </w:p>
    <w:p w14:paraId="126E91CB">
      <w:pPr>
        <w:topLinePunct/>
        <w:adjustRightInd w:val="0"/>
        <w:snapToGrid w:val="0"/>
        <w:spacing w:line="360" w:lineRule="auto"/>
        <w:ind w:left="1575"/>
        <w:rPr>
          <w:rFonts w:ascii="仿宋" w:hAnsi="仿宋" w:eastAsia="仿宋" w:cs="仿宋"/>
          <w:bCs/>
          <w:sz w:val="24"/>
          <w:szCs w:val="24"/>
        </w:rPr>
      </w:pPr>
    </w:p>
    <w:p w14:paraId="35308753">
      <w:pPr>
        <w:spacing w:line="360" w:lineRule="auto"/>
        <w:textAlignment w:val="baseline"/>
        <w:rPr>
          <w:rFonts w:ascii="仿宋" w:hAnsi="仿宋" w:eastAsia="仿宋" w:cs="仿宋"/>
          <w:sz w:val="24"/>
          <w:szCs w:val="24"/>
        </w:rPr>
      </w:pPr>
    </w:p>
    <w:p w14:paraId="1D7C3CC3">
      <w:r>
        <w:rPr>
          <w:rFonts w:hint="eastAsia"/>
        </w:rPr>
        <w:br w:type="page"/>
      </w:r>
    </w:p>
    <w:p w14:paraId="5DED6D23">
      <w:pPr>
        <w:pStyle w:val="6"/>
        <w:spacing w:line="360" w:lineRule="auto"/>
        <w:rPr>
          <w:rFonts w:ascii="仿宋" w:hAnsi="仿宋" w:cs="仿宋"/>
          <w:szCs w:val="24"/>
        </w:rPr>
      </w:pPr>
      <w:r>
        <w:rPr>
          <w:rFonts w:hint="eastAsia" w:ascii="仿宋" w:hAnsi="仿宋" w:cs="仿宋"/>
          <w:szCs w:val="24"/>
        </w:rPr>
        <w:t xml:space="preserve">2、财务审计报告或银行资信证明 </w:t>
      </w:r>
    </w:p>
    <w:p w14:paraId="10D7D8F7">
      <w:pPr>
        <w:spacing w:line="360" w:lineRule="auto"/>
        <w:textAlignment w:val="baseline"/>
        <w:rPr>
          <w:rFonts w:ascii="仿宋" w:hAnsi="仿宋" w:eastAsia="仿宋" w:cs="仿宋"/>
          <w:sz w:val="24"/>
          <w:szCs w:val="24"/>
        </w:rPr>
      </w:pPr>
      <w:r>
        <w:rPr>
          <w:rFonts w:hint="eastAsia" w:ascii="仿宋" w:hAnsi="仿宋" w:eastAsia="仿宋" w:cs="仿宋"/>
          <w:sz w:val="24"/>
          <w:szCs w:val="24"/>
        </w:rPr>
        <w:t>提供2024年度经会计师事务所或审计机构审计的财务审计报告（至少包含会计师事务所或审计机构签章页、资产负债表、现金流量表、损益表/利润表）或开标日前6个月内开具的银行资信证明。</w:t>
      </w:r>
    </w:p>
    <w:p w14:paraId="3BAD24A6">
      <w:pPr>
        <w:rPr>
          <w:rFonts w:ascii="仿宋" w:hAnsi="仿宋" w:eastAsia="仿宋" w:cs="仿宋"/>
        </w:rPr>
      </w:pPr>
    </w:p>
    <w:p w14:paraId="576DCEF6">
      <w:pPr>
        <w:spacing w:after="120"/>
      </w:pPr>
    </w:p>
    <w:p w14:paraId="6A3988FD">
      <w:pPr>
        <w:pStyle w:val="6"/>
        <w:spacing w:line="360" w:lineRule="auto"/>
        <w:rPr>
          <w:rFonts w:ascii="仿宋" w:hAnsi="仿宋" w:cs="宋体"/>
          <w:szCs w:val="24"/>
        </w:rPr>
      </w:pPr>
      <w:r>
        <w:rPr>
          <w:rFonts w:hint="eastAsia" w:ascii="仿宋" w:hAnsi="仿宋" w:cs="宋体"/>
          <w:szCs w:val="24"/>
        </w:rPr>
        <w:t>3、投标人应具有履行合同所必需的设备和专业技术能力。</w:t>
      </w:r>
    </w:p>
    <w:p w14:paraId="4F691915">
      <w:pPr>
        <w:spacing w:line="360" w:lineRule="auto"/>
        <w:textAlignment w:val="baseline"/>
        <w:rPr>
          <w:rFonts w:ascii="仿宋" w:hAnsi="仿宋" w:eastAsia="仿宋" w:cs="宋体"/>
          <w:sz w:val="24"/>
          <w:szCs w:val="24"/>
        </w:rPr>
      </w:pPr>
      <w:r>
        <w:rPr>
          <w:rFonts w:hint="eastAsia" w:ascii="仿宋" w:hAnsi="仿宋" w:eastAsia="仿宋" w:cs="宋体"/>
          <w:sz w:val="24"/>
          <w:szCs w:val="24"/>
        </w:rPr>
        <w:t>须提供近三年（2022年1月1日至今）具备1个或以上同类项目实施案例，并提供符合上述要求的合同关键页作为有效的业绩证明材料。合同关键页包含但不限于合同首页、合同标的页、签署日期页及盖章页等。如合同为框架协议类，须同时提供该框架协议下经双方确认的、发生具体采购/服务事项的相关材料。</w:t>
      </w:r>
    </w:p>
    <w:p w14:paraId="76825E29"/>
    <w:p w14:paraId="152CD22E">
      <w:pPr>
        <w:pStyle w:val="2"/>
      </w:pPr>
    </w:p>
    <w:p w14:paraId="508D91B3"/>
    <w:p w14:paraId="31FBB14B">
      <w:pPr>
        <w:pStyle w:val="6"/>
        <w:spacing w:line="360" w:lineRule="auto"/>
        <w:rPr>
          <w:rFonts w:ascii="仿宋" w:hAnsi="仿宋" w:cs="仿宋"/>
          <w:szCs w:val="24"/>
        </w:rPr>
      </w:pPr>
      <w:r>
        <w:rPr>
          <w:rFonts w:hint="eastAsia" w:ascii="仿宋" w:hAnsi="仿宋" w:cs="仿宋"/>
          <w:szCs w:val="24"/>
        </w:rPr>
        <w:t xml:space="preserve">4、企业税收和社会保障资金缴纳凭证 </w:t>
      </w:r>
    </w:p>
    <w:p w14:paraId="729335DA">
      <w:pPr>
        <w:spacing w:line="360" w:lineRule="auto"/>
        <w:textAlignment w:val="baseline"/>
        <w:rPr>
          <w:rFonts w:ascii="仿宋" w:hAnsi="仿宋" w:eastAsia="仿宋" w:cs="仿宋"/>
          <w:sz w:val="24"/>
          <w:szCs w:val="24"/>
        </w:rPr>
      </w:pPr>
      <w:r>
        <w:rPr>
          <w:rFonts w:hint="eastAsia" w:ascii="仿宋" w:hAnsi="仿宋" w:eastAsia="仿宋" w:cs="仿宋"/>
          <w:sz w:val="24"/>
          <w:szCs w:val="24"/>
        </w:rPr>
        <w:t>提供近6个月任意一个月的企业税收和社会保障资金缴纳凭证。</w:t>
      </w:r>
    </w:p>
    <w:p w14:paraId="4FA15403">
      <w:pPr>
        <w:rPr>
          <w:rFonts w:ascii="仿宋" w:hAnsi="仿宋" w:eastAsia="仿宋" w:cs="仿宋"/>
          <w:szCs w:val="24"/>
        </w:rPr>
      </w:pPr>
    </w:p>
    <w:p w14:paraId="7EE0594B">
      <w:pPr>
        <w:pStyle w:val="2"/>
        <w:rPr>
          <w:rFonts w:ascii="仿宋" w:hAnsi="仿宋" w:eastAsia="仿宋" w:cs="仿宋"/>
          <w:szCs w:val="24"/>
        </w:rPr>
      </w:pPr>
    </w:p>
    <w:p w14:paraId="3A72C5A9"/>
    <w:p w14:paraId="1580CBBE">
      <w:pPr>
        <w:pStyle w:val="6"/>
        <w:spacing w:line="360" w:lineRule="auto"/>
        <w:rPr>
          <w:rFonts w:hint="eastAsia" w:ascii="仿宋" w:hAnsi="仿宋" w:cs="宋体"/>
          <w:color w:val="000000"/>
          <w:szCs w:val="24"/>
          <w:highlight w:val="none"/>
        </w:rPr>
      </w:pPr>
      <w:r>
        <w:rPr>
          <w:rFonts w:hint="eastAsia" w:ascii="仿宋" w:hAnsi="仿宋" w:cs="宋体"/>
          <w:color w:val="000000"/>
          <w:szCs w:val="24"/>
          <w:highlight w:val="none"/>
          <w:lang w:val="en-US" w:eastAsia="zh-CN"/>
        </w:rPr>
        <w:t>5</w:t>
      </w:r>
      <w:r>
        <w:rPr>
          <w:rFonts w:hint="eastAsia" w:ascii="仿宋" w:hAnsi="仿宋" w:cs="宋体"/>
          <w:color w:val="000000"/>
          <w:szCs w:val="24"/>
          <w:highlight w:val="none"/>
        </w:rPr>
        <w:t>、</w:t>
      </w:r>
      <w:r>
        <w:rPr>
          <w:rFonts w:hint="eastAsia" w:ascii="仿宋" w:hAnsi="仿宋" w:cs="仿宋"/>
          <w:color w:val="000000"/>
          <w:szCs w:val="24"/>
          <w:highlight w:val="none"/>
        </w:rPr>
        <w:t>无违法违规记录查询截图</w:t>
      </w:r>
    </w:p>
    <w:p w14:paraId="636643E5">
      <w:pPr>
        <w:rPr>
          <w:rFonts w:ascii="仿宋" w:hAnsi="仿宋" w:eastAsia="仿宋" w:cs="微软雅黑"/>
          <w:color w:val="000000"/>
          <w:sz w:val="24"/>
          <w:highlight w:val="none"/>
        </w:rPr>
      </w:pPr>
      <w:r>
        <w:rPr>
          <w:rFonts w:hint="eastAsia" w:ascii="仿宋" w:hAnsi="仿宋" w:eastAsia="仿宋" w:cs="微软雅黑"/>
          <w:color w:val="000000"/>
          <w:sz w:val="24"/>
          <w:highlight w:val="none"/>
        </w:rPr>
        <w:t>（1）失信被执行人查询截图范例：</w:t>
      </w:r>
    </w:p>
    <w:p w14:paraId="3F20AAC1">
      <w:pPr>
        <w:rPr>
          <w:rFonts w:ascii="仿宋" w:hAnsi="仿宋" w:eastAsia="仿宋"/>
          <w:color w:val="000000"/>
          <w:highlight w:val="none"/>
        </w:rPr>
      </w:pPr>
      <w:r>
        <w:rPr>
          <w:highlight w:val="none"/>
        </w:rPr>
        <w:drawing>
          <wp:inline distT="0" distB="0" distL="114300" distR="114300">
            <wp:extent cx="6120765" cy="4262755"/>
            <wp:effectExtent l="0" t="0" r="1333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6120765" cy="4262755"/>
                    </a:xfrm>
                    <a:prstGeom prst="rect">
                      <a:avLst/>
                    </a:prstGeom>
                    <a:noFill/>
                    <a:ln>
                      <a:noFill/>
                    </a:ln>
                  </pic:spPr>
                </pic:pic>
              </a:graphicData>
            </a:graphic>
          </wp:inline>
        </w:drawing>
      </w:r>
    </w:p>
    <w:p w14:paraId="2967E112">
      <w:pPr>
        <w:rPr>
          <w:rFonts w:hint="eastAsia" w:ascii="仿宋" w:hAnsi="仿宋" w:eastAsia="仿宋"/>
          <w:color w:val="000000"/>
          <w:szCs w:val="21"/>
          <w:highlight w:val="none"/>
        </w:rPr>
      </w:pPr>
      <w:r>
        <w:rPr>
          <w:rFonts w:hint="eastAsia" w:ascii="仿宋" w:hAnsi="仿宋" w:eastAsia="仿宋" w:cs="微软雅黑"/>
          <w:color w:val="000000"/>
          <w:sz w:val="24"/>
          <w:highlight w:val="none"/>
        </w:rPr>
        <w:t>（2）</w:t>
      </w:r>
      <w:bookmarkStart w:id="965" w:name="_Hlk112078474"/>
      <w:r>
        <w:rPr>
          <w:rFonts w:hint="eastAsia" w:ascii="仿宋" w:hAnsi="仿宋" w:eastAsia="仿宋" w:cs="微软雅黑"/>
          <w:color w:val="000000"/>
          <w:sz w:val="24"/>
          <w:highlight w:val="none"/>
        </w:rPr>
        <w:t>重大</w:t>
      </w:r>
      <w:r>
        <w:rPr>
          <w:rFonts w:hint="eastAsia" w:ascii="仿宋" w:hAnsi="仿宋" w:eastAsia="仿宋" w:cs="仿宋"/>
          <w:color w:val="000000"/>
          <w:sz w:val="24"/>
          <w:szCs w:val="24"/>
          <w:highlight w:val="none"/>
        </w:rPr>
        <w:t>税收违法失信主体</w:t>
      </w:r>
      <w:r>
        <w:rPr>
          <w:rFonts w:hint="eastAsia" w:ascii="仿宋" w:hAnsi="仿宋" w:eastAsia="仿宋" w:cs="微软雅黑"/>
          <w:color w:val="000000"/>
          <w:sz w:val="24"/>
          <w:highlight w:val="none"/>
        </w:rPr>
        <w:t>查询截图范例：</w:t>
      </w:r>
    </w:p>
    <w:bookmarkEnd w:id="965"/>
    <w:p w14:paraId="4B99062A">
      <w:pPr>
        <w:rPr>
          <w:rFonts w:ascii="仿宋" w:hAnsi="仿宋" w:eastAsia="仿宋"/>
          <w:color w:val="000000"/>
          <w:highlight w:val="none"/>
        </w:rPr>
      </w:pPr>
      <w:r>
        <w:drawing>
          <wp:anchor distT="0" distB="0" distL="114300" distR="114300" simplePos="0" relativeHeight="251661312" behindDoc="0" locked="0" layoutInCell="1" allowOverlap="1">
            <wp:simplePos x="0" y="0"/>
            <wp:positionH relativeFrom="column">
              <wp:posOffset>-6350</wp:posOffset>
            </wp:positionH>
            <wp:positionV relativeFrom="paragraph">
              <wp:posOffset>65405</wp:posOffset>
            </wp:positionV>
            <wp:extent cx="6122670" cy="3131185"/>
            <wp:effectExtent l="0" t="0" r="11430" b="12065"/>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a:stretch>
                      <a:fillRect/>
                    </a:stretch>
                  </pic:blipFill>
                  <pic:spPr>
                    <a:xfrm>
                      <a:off x="0" y="0"/>
                      <a:ext cx="6122670" cy="3131185"/>
                    </a:xfrm>
                    <a:prstGeom prst="rect">
                      <a:avLst/>
                    </a:prstGeom>
                    <a:noFill/>
                    <a:ln>
                      <a:noFill/>
                    </a:ln>
                  </pic:spPr>
                </pic:pic>
              </a:graphicData>
            </a:graphic>
          </wp:anchor>
        </w:drawing>
      </w:r>
    </w:p>
    <w:p w14:paraId="373A2ADF">
      <w:pPr>
        <w:rPr>
          <w:rFonts w:ascii="仿宋" w:hAnsi="仿宋" w:eastAsia="仿宋" w:cs="微软雅黑"/>
          <w:color w:val="000000"/>
          <w:sz w:val="24"/>
          <w:highlight w:val="none"/>
        </w:rPr>
      </w:pPr>
      <w:r>
        <w:rPr>
          <w:rFonts w:hint="eastAsia" w:ascii="仿宋" w:hAnsi="仿宋" w:eastAsia="仿宋" w:cs="微软雅黑"/>
          <w:color w:val="000000"/>
          <w:sz w:val="24"/>
          <w:highlight w:val="none"/>
        </w:rPr>
        <w:t>（3）政府采购严重违法失信行为记录名单查询截图范例：</w:t>
      </w:r>
    </w:p>
    <w:p w14:paraId="7A153DC6">
      <w:pPr>
        <w:rPr>
          <w:rFonts w:ascii="仿宋" w:hAnsi="仿宋" w:eastAsia="仿宋" w:cs="仿宋"/>
        </w:rPr>
      </w:pPr>
      <w:r>
        <w:drawing>
          <wp:inline distT="0" distB="0" distL="114300" distR="114300">
            <wp:extent cx="6112510" cy="3175000"/>
            <wp:effectExtent l="0" t="0" r="254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6112510" cy="3175000"/>
                    </a:xfrm>
                    <a:prstGeom prst="rect">
                      <a:avLst/>
                    </a:prstGeom>
                    <a:noFill/>
                    <a:ln>
                      <a:noFill/>
                    </a:ln>
                  </pic:spPr>
                </pic:pic>
              </a:graphicData>
            </a:graphic>
          </wp:inline>
        </w:drawing>
      </w:r>
    </w:p>
    <w:p w14:paraId="7B54137E">
      <w:pPr>
        <w:pStyle w:val="6"/>
        <w:rPr>
          <w:rFonts w:ascii="仿宋" w:hAnsi="仿宋" w:cs="仿宋"/>
          <w:szCs w:val="24"/>
        </w:rPr>
      </w:pPr>
      <w:r>
        <w:rPr>
          <w:rFonts w:hint="eastAsia" w:ascii="仿宋" w:hAnsi="仿宋" w:cs="仿宋"/>
        </w:rPr>
        <w:br w:type="page"/>
      </w:r>
      <w:r>
        <w:rPr>
          <w:rFonts w:hint="eastAsia" w:ascii="仿宋" w:hAnsi="仿宋" w:cs="仿宋"/>
        </w:rPr>
        <w:t>6、</w:t>
      </w:r>
      <w:r>
        <w:rPr>
          <w:rFonts w:hint="eastAsia" w:ascii="仿宋" w:hAnsi="仿宋" w:cs="仿宋"/>
          <w:szCs w:val="24"/>
        </w:rPr>
        <w:t>未列入供应商黑名单且未在禁入期承诺函</w:t>
      </w:r>
    </w:p>
    <w:p w14:paraId="30116D17">
      <w:pPr>
        <w:adjustRightInd w:val="0"/>
        <w:snapToGrid w:val="0"/>
        <w:spacing w:before="240" w:line="360" w:lineRule="auto"/>
        <w:jc w:val="center"/>
        <w:rPr>
          <w:rFonts w:ascii="仿宋" w:hAnsi="仿宋" w:eastAsia="仿宋" w:cs="仿宋"/>
          <w:b/>
          <w:bCs/>
          <w:sz w:val="24"/>
        </w:rPr>
      </w:pPr>
      <w:r>
        <w:rPr>
          <w:rFonts w:hint="eastAsia" w:ascii="仿宋" w:hAnsi="仿宋" w:eastAsia="仿宋" w:cs="仿宋"/>
          <w:b/>
          <w:bCs/>
          <w:sz w:val="24"/>
        </w:rPr>
        <w:t>承诺函</w:t>
      </w:r>
    </w:p>
    <w:p w14:paraId="55A1E1DB">
      <w:pPr>
        <w:adjustRightInd w:val="0"/>
        <w:snapToGrid w:val="0"/>
        <w:spacing w:before="240" w:line="360" w:lineRule="auto"/>
        <w:rPr>
          <w:rFonts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（招标人名称）：</w:t>
      </w:r>
    </w:p>
    <w:p w14:paraId="703F76BA">
      <w:pPr>
        <w:adjustRightInd w:val="0"/>
        <w:snapToGrid w:val="0"/>
        <w:spacing w:before="240" w:line="360" w:lineRule="auto"/>
        <w:ind w:firstLine="480" w:firstLineChars="200"/>
        <w:rPr>
          <w:rFonts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（投标人名称）  </w:t>
      </w:r>
      <w:r>
        <w:rPr>
          <w:rFonts w:hint="eastAsia" w:ascii="仿宋" w:hAnsi="仿宋" w:eastAsia="仿宋" w:cs="仿宋"/>
          <w:sz w:val="24"/>
        </w:rPr>
        <w:t>承诺截至本项目投标文件递交截止时间，我方未被列入招标人及其所隶属的中国人民保险各级机构的供应商黑名单且未在禁入期内。</w:t>
      </w:r>
    </w:p>
    <w:p w14:paraId="2BF2A7A0">
      <w:pPr>
        <w:spacing w:after="120"/>
        <w:ind w:firstLine="480" w:firstLineChars="200"/>
        <w:rPr>
          <w:rFonts w:ascii="仿宋" w:hAnsi="仿宋" w:eastAsia="仿宋" w:cs="仿宋"/>
          <w:sz w:val="24"/>
        </w:rPr>
      </w:pPr>
    </w:p>
    <w:p w14:paraId="30AE3126">
      <w:pPr>
        <w:spacing w:after="120"/>
        <w:ind w:firstLine="480" w:firstLineChars="200"/>
        <w:rPr>
          <w:rFonts w:ascii="仿宋" w:hAnsi="仿宋" w:eastAsia="仿宋" w:cs="仿宋"/>
          <w:sz w:val="24"/>
        </w:rPr>
      </w:pPr>
      <w:r>
        <w:rPr>
          <w:rFonts w:hint="eastAsia" w:ascii="仿宋" w:hAnsi="仿宋" w:eastAsia="仿宋" w:cs="仿宋"/>
          <w:sz w:val="24"/>
        </w:rPr>
        <w:t>特此承诺。</w:t>
      </w:r>
    </w:p>
    <w:p w14:paraId="1EC273DF">
      <w:pPr>
        <w:spacing w:line="560" w:lineRule="exact"/>
        <w:ind w:firstLine="640" w:firstLineChars="200"/>
        <w:rPr>
          <w:rFonts w:ascii="仿宋" w:hAnsi="仿宋" w:eastAsia="仿宋" w:cs="仿宋"/>
          <w:sz w:val="32"/>
          <w:szCs w:val="24"/>
        </w:rPr>
      </w:pPr>
    </w:p>
    <w:p w14:paraId="2684C11C">
      <w:pPr>
        <w:spacing w:line="360" w:lineRule="auto"/>
        <w:ind w:firstLine="4080" w:firstLineChars="1700"/>
        <w:jc w:val="right"/>
        <w:rPr>
          <w:rFonts w:ascii="仿宋" w:hAnsi="仿宋" w:eastAsia="仿宋" w:cs="仿宋"/>
          <w:sz w:val="24"/>
        </w:rPr>
      </w:pPr>
    </w:p>
    <w:p w14:paraId="1BA3CAE2">
      <w:pPr>
        <w:spacing w:line="360" w:lineRule="auto"/>
        <w:ind w:firstLine="4080" w:firstLineChars="1700"/>
        <w:jc w:val="right"/>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（盖章）</w:t>
      </w:r>
    </w:p>
    <w:p w14:paraId="64F5B1C4">
      <w:pPr>
        <w:spacing w:line="360" w:lineRule="auto"/>
        <w:jc w:val="right"/>
        <w:rPr>
          <w:rFonts w:ascii="仿宋" w:hAnsi="仿宋" w:eastAsia="仿宋" w:cs="仿宋"/>
          <w:b/>
          <w:bCs/>
          <w:sz w:val="24"/>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B6C0D6">
      <w:pPr>
        <w:pStyle w:val="6"/>
        <w:rPr>
          <w:rFonts w:ascii="仿宋" w:hAnsi="仿宋" w:cs="仿宋"/>
        </w:rPr>
      </w:pPr>
      <w:r>
        <w:rPr>
          <w:rFonts w:hint="eastAsia" w:ascii="仿宋" w:hAnsi="仿宋" w:cs="仿宋"/>
          <w:szCs w:val="24"/>
        </w:rPr>
        <w:br w:type="page"/>
      </w:r>
      <w:r>
        <w:rPr>
          <w:rFonts w:hint="eastAsia" w:ascii="仿宋" w:hAnsi="仿宋" w:cs="仿宋"/>
          <w:szCs w:val="24"/>
        </w:rPr>
        <w:t>7</w:t>
      </w:r>
      <w:r>
        <w:rPr>
          <w:rFonts w:hint="eastAsia" w:ascii="仿宋" w:hAnsi="仿宋" w:cs="仿宋"/>
        </w:rPr>
        <w:t>、投标人控股及管理关系情况申报表</w:t>
      </w:r>
    </w:p>
    <w:p w14:paraId="0A2BB9F4">
      <w:pPr>
        <w:spacing w:line="360" w:lineRule="auto"/>
        <w:jc w:val="center"/>
        <w:rPr>
          <w:rFonts w:ascii="仿宋" w:hAnsi="仿宋" w:eastAsia="仿宋" w:cs="仿宋"/>
          <w:b/>
          <w:sz w:val="24"/>
          <w:szCs w:val="24"/>
        </w:rPr>
      </w:pPr>
      <w:r>
        <w:rPr>
          <w:rFonts w:hint="eastAsia" w:ascii="仿宋" w:hAnsi="仿宋" w:eastAsia="仿宋" w:cs="仿宋"/>
          <w:b/>
          <w:sz w:val="24"/>
          <w:szCs w:val="24"/>
        </w:rPr>
        <w:t>投标人控股及管理关系情况申报表</w:t>
      </w:r>
    </w:p>
    <w:p w14:paraId="6D4B3F0F">
      <w:pPr>
        <w:spacing w:line="360" w:lineRule="auto"/>
        <w:jc w:val="center"/>
        <w:rPr>
          <w:rFonts w:ascii="仿宋" w:hAnsi="仿宋" w:eastAsia="仿宋" w:cs="仿宋"/>
          <w:b/>
          <w:sz w:val="24"/>
          <w:szCs w:val="24"/>
        </w:rPr>
      </w:pPr>
    </w:p>
    <w:p w14:paraId="4B7749B6">
      <w:pPr>
        <w:adjustRightInd w:val="0"/>
        <w:snapToGrid w:val="0"/>
        <w:spacing w:line="360" w:lineRule="auto"/>
        <w:ind w:leftChars="-295" w:hanging="619" w:hangingChars="258"/>
        <w:rPr>
          <w:rFonts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sz w:val="24"/>
          <w:szCs w:val="24"/>
          <w:u w:val="single"/>
        </w:rPr>
        <w:t xml:space="preserve">  （招标人名称）  </w:t>
      </w:r>
      <w:r>
        <w:rPr>
          <w:rFonts w:hint="eastAsia" w:ascii="仿宋" w:hAnsi="仿宋" w:eastAsia="仿宋" w:cs="仿宋"/>
          <w:sz w:val="24"/>
          <w:szCs w:val="24"/>
        </w:rPr>
        <w:t>：</w:t>
      </w:r>
    </w:p>
    <w:p w14:paraId="26A56E76">
      <w:pPr>
        <w:adjustRightInd w:val="0"/>
        <w:snapToGrid w:val="0"/>
        <w:spacing w:line="360" w:lineRule="auto"/>
        <w:ind w:left="-617" w:leftChars="-294" w:right="-512" w:rightChars="-244" w:firstLine="616" w:firstLineChars="257"/>
        <w:rPr>
          <w:rFonts w:ascii="仿宋" w:hAnsi="仿宋" w:eastAsia="仿宋" w:cs="仿宋"/>
          <w:sz w:val="24"/>
          <w:szCs w:val="24"/>
        </w:rPr>
      </w:pPr>
      <w:r>
        <w:rPr>
          <w:rFonts w:hint="eastAsia" w:ascii="仿宋" w:hAnsi="仿宋" w:eastAsia="仿宋" w:cs="仿宋"/>
          <w:sz w:val="24"/>
          <w:szCs w:val="24"/>
        </w:rPr>
        <w:t>我方参加</w:t>
      </w:r>
      <w:r>
        <w:rPr>
          <w:rFonts w:hint="eastAsia" w:ascii="仿宋" w:hAnsi="仿宋" w:eastAsia="仿宋" w:cs="仿宋"/>
          <w:sz w:val="24"/>
          <w:szCs w:val="24"/>
          <w:u w:val="single"/>
        </w:rPr>
        <w:t xml:space="preserve">           </w:t>
      </w:r>
      <w:r>
        <w:rPr>
          <w:rFonts w:hint="eastAsia" w:ascii="仿宋" w:hAnsi="仿宋" w:eastAsia="仿宋" w:cs="仿宋"/>
          <w:sz w:val="24"/>
          <w:szCs w:val="24"/>
        </w:rPr>
        <w:t>（项目名称）的投标，根据法律法规维护投标公正性的相关规定，我方与招标人之间不存在利害关系可能影响招标公正性的法人、其他组织或者个人，特就本单位控股及管理关系情况申报如下，并承担申报不实的责任。如我方中标该项目并签署合同后，一旦发现我方申报不实，招标人可无条件终止合同。</w:t>
      </w:r>
    </w:p>
    <w:tbl>
      <w:tblPr>
        <w:tblStyle w:val="33"/>
        <w:tblW w:w="9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2356"/>
        <w:gridCol w:w="5570"/>
      </w:tblGrid>
      <w:tr w14:paraId="58CA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926" w:type="dxa"/>
            <w:vAlign w:val="center"/>
          </w:tcPr>
          <w:p w14:paraId="3AF3BEEB">
            <w:pPr>
              <w:adjustRightInd w:val="0"/>
              <w:snapToGrid w:val="0"/>
              <w:spacing w:line="440" w:lineRule="exact"/>
              <w:rPr>
                <w:rFonts w:ascii="仿宋" w:hAnsi="仿宋" w:eastAsia="仿宋" w:cs="仿宋"/>
              </w:rPr>
            </w:pPr>
            <w:r>
              <w:rPr>
                <w:rFonts w:hint="eastAsia" w:ascii="仿宋" w:hAnsi="仿宋" w:eastAsia="仿宋" w:cs="仿宋"/>
              </w:rPr>
              <w:t>申报人名称</w:t>
            </w:r>
          </w:p>
        </w:tc>
        <w:tc>
          <w:tcPr>
            <w:tcW w:w="7926" w:type="dxa"/>
            <w:gridSpan w:val="2"/>
            <w:vAlign w:val="center"/>
          </w:tcPr>
          <w:p w14:paraId="4AB1876D">
            <w:pPr>
              <w:adjustRightInd w:val="0"/>
              <w:snapToGrid w:val="0"/>
              <w:spacing w:line="440" w:lineRule="exact"/>
              <w:rPr>
                <w:rFonts w:ascii="仿宋" w:hAnsi="仿宋" w:eastAsia="仿宋" w:cs="仿宋"/>
              </w:rPr>
            </w:pPr>
          </w:p>
        </w:tc>
      </w:tr>
      <w:tr w14:paraId="1EAA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926" w:type="dxa"/>
            <w:vMerge w:val="restart"/>
            <w:vAlign w:val="center"/>
          </w:tcPr>
          <w:p w14:paraId="4527F361">
            <w:pPr>
              <w:adjustRightInd w:val="0"/>
              <w:snapToGrid w:val="0"/>
              <w:spacing w:line="440" w:lineRule="exact"/>
              <w:rPr>
                <w:rFonts w:ascii="仿宋" w:hAnsi="仿宋" w:eastAsia="仿宋" w:cs="仿宋"/>
              </w:rPr>
            </w:pPr>
            <w:r>
              <w:rPr>
                <w:rFonts w:hint="eastAsia" w:ascii="仿宋" w:hAnsi="仿宋" w:eastAsia="仿宋" w:cs="仿宋"/>
              </w:rPr>
              <w:t>法定代表人/单位负责人</w:t>
            </w:r>
          </w:p>
        </w:tc>
        <w:tc>
          <w:tcPr>
            <w:tcW w:w="2356" w:type="dxa"/>
            <w:vAlign w:val="center"/>
          </w:tcPr>
          <w:p w14:paraId="1E7AF658">
            <w:pPr>
              <w:adjustRightInd w:val="0"/>
              <w:snapToGrid w:val="0"/>
              <w:spacing w:line="440" w:lineRule="exact"/>
              <w:rPr>
                <w:rFonts w:ascii="仿宋" w:hAnsi="仿宋" w:eastAsia="仿宋" w:cs="仿宋"/>
              </w:rPr>
            </w:pPr>
            <w:r>
              <w:rPr>
                <w:rFonts w:hint="eastAsia" w:ascii="仿宋" w:hAnsi="仿宋" w:eastAsia="仿宋" w:cs="仿宋"/>
              </w:rPr>
              <w:t>姓    名</w:t>
            </w:r>
          </w:p>
        </w:tc>
        <w:tc>
          <w:tcPr>
            <w:tcW w:w="5570" w:type="dxa"/>
            <w:vAlign w:val="center"/>
          </w:tcPr>
          <w:p w14:paraId="10063819">
            <w:pPr>
              <w:adjustRightInd w:val="0"/>
              <w:snapToGrid w:val="0"/>
              <w:spacing w:line="440" w:lineRule="exact"/>
              <w:rPr>
                <w:rFonts w:ascii="仿宋" w:hAnsi="仿宋" w:eastAsia="仿宋" w:cs="仿宋"/>
              </w:rPr>
            </w:pPr>
          </w:p>
        </w:tc>
      </w:tr>
      <w:tr w14:paraId="7519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926" w:type="dxa"/>
            <w:vMerge w:val="continue"/>
            <w:vAlign w:val="center"/>
          </w:tcPr>
          <w:p w14:paraId="575B51AC">
            <w:pPr>
              <w:adjustRightInd w:val="0"/>
              <w:snapToGrid w:val="0"/>
              <w:spacing w:line="440" w:lineRule="exact"/>
              <w:rPr>
                <w:rFonts w:ascii="仿宋" w:hAnsi="仿宋" w:eastAsia="仿宋" w:cs="仿宋"/>
              </w:rPr>
            </w:pPr>
          </w:p>
        </w:tc>
        <w:tc>
          <w:tcPr>
            <w:tcW w:w="2356" w:type="dxa"/>
            <w:vAlign w:val="center"/>
          </w:tcPr>
          <w:p w14:paraId="7CE94C96">
            <w:pPr>
              <w:adjustRightInd w:val="0"/>
              <w:snapToGrid w:val="0"/>
              <w:spacing w:line="440" w:lineRule="exact"/>
              <w:rPr>
                <w:rFonts w:ascii="仿宋" w:hAnsi="仿宋" w:eastAsia="仿宋" w:cs="仿宋"/>
              </w:rPr>
            </w:pPr>
            <w:r>
              <w:rPr>
                <w:rFonts w:hint="eastAsia" w:ascii="仿宋" w:hAnsi="仿宋" w:eastAsia="仿宋" w:cs="仿宋"/>
              </w:rPr>
              <w:t>身份证号</w:t>
            </w:r>
          </w:p>
        </w:tc>
        <w:tc>
          <w:tcPr>
            <w:tcW w:w="5570" w:type="dxa"/>
            <w:vAlign w:val="center"/>
          </w:tcPr>
          <w:p w14:paraId="68F608A8">
            <w:pPr>
              <w:adjustRightInd w:val="0"/>
              <w:snapToGrid w:val="0"/>
              <w:spacing w:line="440" w:lineRule="exact"/>
              <w:rPr>
                <w:rFonts w:ascii="仿宋" w:hAnsi="仿宋" w:eastAsia="仿宋" w:cs="仿宋"/>
              </w:rPr>
            </w:pPr>
          </w:p>
        </w:tc>
      </w:tr>
      <w:tr w14:paraId="29EB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926" w:type="dxa"/>
            <w:vAlign w:val="center"/>
          </w:tcPr>
          <w:p w14:paraId="5215CFC3">
            <w:pPr>
              <w:adjustRightInd w:val="0"/>
              <w:snapToGrid w:val="0"/>
              <w:spacing w:line="440" w:lineRule="exact"/>
              <w:rPr>
                <w:rFonts w:ascii="仿宋" w:hAnsi="仿宋" w:eastAsia="仿宋" w:cs="仿宋"/>
              </w:rPr>
            </w:pPr>
            <w:r>
              <w:rPr>
                <w:rFonts w:hint="eastAsia" w:ascii="仿宋" w:hAnsi="仿宋" w:eastAsia="仿宋" w:cs="仿宋"/>
              </w:rPr>
              <w:t>单位负责人为同一人单位名称</w:t>
            </w:r>
          </w:p>
        </w:tc>
        <w:tc>
          <w:tcPr>
            <w:tcW w:w="7926" w:type="dxa"/>
            <w:gridSpan w:val="2"/>
            <w:vAlign w:val="center"/>
          </w:tcPr>
          <w:p w14:paraId="4668A868">
            <w:pPr>
              <w:adjustRightInd w:val="0"/>
              <w:snapToGrid w:val="0"/>
              <w:spacing w:line="440" w:lineRule="exact"/>
              <w:rPr>
                <w:rFonts w:ascii="仿宋" w:hAnsi="仿宋" w:eastAsia="仿宋" w:cs="仿宋"/>
              </w:rPr>
            </w:pPr>
          </w:p>
        </w:tc>
      </w:tr>
      <w:tr w14:paraId="2CEE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926" w:type="dxa"/>
            <w:vMerge w:val="restart"/>
            <w:vAlign w:val="center"/>
          </w:tcPr>
          <w:p w14:paraId="3EDE8A24">
            <w:pPr>
              <w:adjustRightInd w:val="0"/>
              <w:snapToGrid w:val="0"/>
              <w:spacing w:line="440" w:lineRule="exact"/>
              <w:rPr>
                <w:rFonts w:ascii="仿宋" w:hAnsi="仿宋" w:eastAsia="仿宋" w:cs="仿宋"/>
              </w:rPr>
            </w:pPr>
            <w:r>
              <w:rPr>
                <w:rFonts w:hint="eastAsia" w:ascii="仿宋" w:hAnsi="仿宋" w:eastAsia="仿宋" w:cs="仿宋"/>
              </w:rPr>
              <w:t>控股关系</w:t>
            </w:r>
          </w:p>
        </w:tc>
        <w:tc>
          <w:tcPr>
            <w:tcW w:w="2356" w:type="dxa"/>
            <w:vAlign w:val="center"/>
          </w:tcPr>
          <w:p w14:paraId="02333DFE">
            <w:pPr>
              <w:adjustRightInd w:val="0"/>
              <w:snapToGrid w:val="0"/>
              <w:spacing w:line="440" w:lineRule="exact"/>
              <w:rPr>
                <w:rFonts w:ascii="仿宋" w:hAnsi="仿宋" w:eastAsia="仿宋" w:cs="仿宋"/>
              </w:rPr>
            </w:pPr>
            <w:r>
              <w:rPr>
                <w:rFonts w:hint="eastAsia" w:ascii="仿宋" w:hAnsi="仿宋" w:eastAsia="仿宋" w:cs="仿宋"/>
              </w:rPr>
              <w:t>控股股东/投资人名称及出资比例</w:t>
            </w:r>
          </w:p>
        </w:tc>
        <w:tc>
          <w:tcPr>
            <w:tcW w:w="5570" w:type="dxa"/>
            <w:vAlign w:val="center"/>
          </w:tcPr>
          <w:p w14:paraId="53FAE9C8">
            <w:pPr>
              <w:adjustRightInd w:val="0"/>
              <w:snapToGrid w:val="0"/>
              <w:spacing w:line="440" w:lineRule="exact"/>
              <w:rPr>
                <w:rFonts w:ascii="仿宋" w:hAnsi="仿宋" w:eastAsia="仿宋" w:cs="仿宋"/>
              </w:rPr>
            </w:pPr>
          </w:p>
        </w:tc>
      </w:tr>
      <w:tr w14:paraId="017B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926" w:type="dxa"/>
            <w:vMerge w:val="continue"/>
            <w:vAlign w:val="center"/>
          </w:tcPr>
          <w:p w14:paraId="2E4BCE41">
            <w:pPr>
              <w:adjustRightInd w:val="0"/>
              <w:snapToGrid w:val="0"/>
              <w:spacing w:line="440" w:lineRule="exact"/>
              <w:rPr>
                <w:rFonts w:ascii="仿宋" w:hAnsi="仿宋" w:eastAsia="仿宋" w:cs="仿宋"/>
              </w:rPr>
            </w:pPr>
          </w:p>
        </w:tc>
        <w:tc>
          <w:tcPr>
            <w:tcW w:w="2356" w:type="dxa"/>
            <w:vAlign w:val="center"/>
          </w:tcPr>
          <w:p w14:paraId="02820D66">
            <w:pPr>
              <w:adjustRightInd w:val="0"/>
              <w:snapToGrid w:val="0"/>
              <w:spacing w:line="440" w:lineRule="exact"/>
              <w:rPr>
                <w:rFonts w:ascii="仿宋" w:hAnsi="仿宋" w:eastAsia="仿宋" w:cs="仿宋"/>
              </w:rPr>
            </w:pPr>
            <w:r>
              <w:rPr>
                <w:rFonts w:hint="eastAsia" w:ascii="仿宋" w:hAnsi="仿宋" w:eastAsia="仿宋" w:cs="仿宋"/>
              </w:rPr>
              <w:t>被控股/被投资单位名称及出资比例</w:t>
            </w:r>
          </w:p>
        </w:tc>
        <w:tc>
          <w:tcPr>
            <w:tcW w:w="5570" w:type="dxa"/>
            <w:vAlign w:val="center"/>
          </w:tcPr>
          <w:p w14:paraId="6D7E4329">
            <w:pPr>
              <w:adjustRightInd w:val="0"/>
              <w:snapToGrid w:val="0"/>
              <w:spacing w:line="440" w:lineRule="exact"/>
              <w:rPr>
                <w:rFonts w:ascii="仿宋" w:hAnsi="仿宋" w:eastAsia="仿宋" w:cs="仿宋"/>
              </w:rPr>
            </w:pPr>
          </w:p>
        </w:tc>
      </w:tr>
      <w:tr w14:paraId="1DD0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926" w:type="dxa"/>
            <w:vMerge w:val="restart"/>
            <w:vAlign w:val="center"/>
          </w:tcPr>
          <w:p w14:paraId="585959FE">
            <w:pPr>
              <w:adjustRightInd w:val="0"/>
              <w:snapToGrid w:val="0"/>
              <w:spacing w:line="440" w:lineRule="exact"/>
              <w:rPr>
                <w:rFonts w:ascii="仿宋" w:hAnsi="仿宋" w:eastAsia="仿宋" w:cs="仿宋"/>
              </w:rPr>
            </w:pPr>
            <w:r>
              <w:rPr>
                <w:rFonts w:hint="eastAsia" w:ascii="仿宋" w:hAnsi="仿宋" w:eastAsia="仿宋" w:cs="仿宋"/>
              </w:rPr>
              <w:t>管理关系</w:t>
            </w:r>
          </w:p>
        </w:tc>
        <w:tc>
          <w:tcPr>
            <w:tcW w:w="2356" w:type="dxa"/>
            <w:vAlign w:val="center"/>
          </w:tcPr>
          <w:p w14:paraId="686FB786">
            <w:pPr>
              <w:adjustRightInd w:val="0"/>
              <w:snapToGrid w:val="0"/>
              <w:spacing w:line="440" w:lineRule="exact"/>
              <w:rPr>
                <w:rFonts w:ascii="仿宋" w:hAnsi="仿宋" w:eastAsia="仿宋" w:cs="仿宋"/>
              </w:rPr>
            </w:pPr>
            <w:r>
              <w:rPr>
                <w:rFonts w:hint="eastAsia" w:ascii="仿宋" w:hAnsi="仿宋" w:eastAsia="仿宋" w:cs="仿宋"/>
              </w:rPr>
              <w:t>管理关系单位名称</w:t>
            </w:r>
          </w:p>
        </w:tc>
        <w:tc>
          <w:tcPr>
            <w:tcW w:w="5570" w:type="dxa"/>
            <w:vAlign w:val="center"/>
          </w:tcPr>
          <w:p w14:paraId="662FF993">
            <w:pPr>
              <w:adjustRightInd w:val="0"/>
              <w:snapToGrid w:val="0"/>
              <w:spacing w:line="440" w:lineRule="exact"/>
              <w:rPr>
                <w:rFonts w:ascii="仿宋" w:hAnsi="仿宋" w:eastAsia="仿宋" w:cs="仿宋"/>
              </w:rPr>
            </w:pPr>
          </w:p>
        </w:tc>
      </w:tr>
      <w:tr w14:paraId="1174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926" w:type="dxa"/>
            <w:vMerge w:val="continue"/>
            <w:vAlign w:val="center"/>
          </w:tcPr>
          <w:p w14:paraId="17212A02">
            <w:pPr>
              <w:adjustRightInd w:val="0"/>
              <w:snapToGrid w:val="0"/>
              <w:spacing w:line="440" w:lineRule="exact"/>
              <w:rPr>
                <w:rFonts w:ascii="仿宋" w:hAnsi="仿宋" w:eastAsia="仿宋" w:cs="仿宋"/>
              </w:rPr>
            </w:pPr>
          </w:p>
        </w:tc>
        <w:tc>
          <w:tcPr>
            <w:tcW w:w="2356" w:type="dxa"/>
            <w:vAlign w:val="center"/>
          </w:tcPr>
          <w:p w14:paraId="1BD645F2">
            <w:pPr>
              <w:adjustRightInd w:val="0"/>
              <w:snapToGrid w:val="0"/>
              <w:spacing w:line="440" w:lineRule="exact"/>
              <w:rPr>
                <w:rFonts w:ascii="仿宋" w:hAnsi="仿宋" w:eastAsia="仿宋" w:cs="仿宋"/>
              </w:rPr>
            </w:pPr>
            <w:r>
              <w:rPr>
                <w:rFonts w:hint="eastAsia" w:ascii="仿宋" w:hAnsi="仿宋" w:eastAsia="仿宋" w:cs="仿宋"/>
              </w:rPr>
              <w:t>被管理关系单位名称</w:t>
            </w:r>
          </w:p>
        </w:tc>
        <w:tc>
          <w:tcPr>
            <w:tcW w:w="5570" w:type="dxa"/>
            <w:vAlign w:val="center"/>
          </w:tcPr>
          <w:p w14:paraId="7F003A93">
            <w:pPr>
              <w:adjustRightInd w:val="0"/>
              <w:snapToGrid w:val="0"/>
              <w:spacing w:line="440" w:lineRule="exact"/>
              <w:rPr>
                <w:rFonts w:ascii="仿宋" w:hAnsi="仿宋" w:eastAsia="仿宋" w:cs="仿宋"/>
              </w:rPr>
            </w:pPr>
          </w:p>
        </w:tc>
      </w:tr>
      <w:tr w14:paraId="00A4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852" w:type="dxa"/>
            <w:gridSpan w:val="3"/>
            <w:vAlign w:val="center"/>
          </w:tcPr>
          <w:p w14:paraId="722B0E3C">
            <w:pPr>
              <w:adjustRightInd w:val="0"/>
              <w:snapToGrid w:val="0"/>
              <w:spacing w:line="440" w:lineRule="exact"/>
              <w:rPr>
                <w:rFonts w:ascii="仿宋" w:hAnsi="仿宋" w:eastAsia="仿宋" w:cs="仿宋"/>
              </w:rPr>
            </w:pPr>
            <w:r>
              <w:rPr>
                <w:rFonts w:hint="eastAsia" w:ascii="仿宋" w:hAnsi="仿宋" w:eastAsia="仿宋" w:cs="仿宋"/>
              </w:rPr>
              <w:t>备注：</w:t>
            </w:r>
          </w:p>
        </w:tc>
      </w:tr>
    </w:tbl>
    <w:p w14:paraId="2D8D9E7B">
      <w:pPr>
        <w:adjustRightInd w:val="0"/>
        <w:snapToGrid w:val="0"/>
        <w:spacing w:line="360" w:lineRule="auto"/>
        <w:ind w:leftChars="-295" w:hanging="619" w:hangingChars="258"/>
        <w:rPr>
          <w:rFonts w:ascii="仿宋" w:hAnsi="仿宋" w:eastAsia="仿宋" w:cs="仿宋"/>
          <w:sz w:val="24"/>
        </w:rPr>
      </w:pPr>
      <w:r>
        <w:rPr>
          <w:rFonts w:hint="eastAsia" w:ascii="仿宋" w:hAnsi="仿宋" w:eastAsia="仿宋" w:cs="仿宋"/>
          <w:sz w:val="24"/>
          <w:szCs w:val="24"/>
        </w:rPr>
        <w:t>注 ：1.</w:t>
      </w:r>
      <w:r>
        <w:rPr>
          <w:rFonts w:hint="eastAsia" w:ascii="仿宋" w:hAnsi="仿宋" w:eastAsia="仿宋" w:cs="仿宋"/>
          <w:sz w:val="24"/>
        </w:rPr>
        <w:t>控股股东/投资人是指出资比例在50%以上，或者出资比例不足50%，但享有公司股东会/董事会控制权的投资方（含单位或者个人）；</w:t>
      </w:r>
    </w:p>
    <w:p w14:paraId="753B190C">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2.管理关系单位是指与不具有出资持股关系的其他单位之间存在管理与被管理关系的单位； </w:t>
      </w:r>
    </w:p>
    <w:p w14:paraId="31484FB0">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3.如未有相关情况，请在相应栏填写“无”。</w:t>
      </w:r>
    </w:p>
    <w:p w14:paraId="723429A8">
      <w:pPr>
        <w:spacing w:line="360" w:lineRule="auto"/>
        <w:ind w:left="480" w:hanging="480" w:hangingChars="200"/>
        <w:rPr>
          <w:rFonts w:ascii="仿宋" w:hAnsi="仿宋" w:eastAsia="仿宋" w:cs="仿宋"/>
          <w:sz w:val="24"/>
          <w:szCs w:val="24"/>
        </w:rPr>
      </w:pPr>
    </w:p>
    <w:p w14:paraId="2AA9FCE9">
      <w:pPr>
        <w:spacing w:line="360" w:lineRule="auto"/>
        <w:ind w:firstLine="4080" w:firstLineChars="1700"/>
        <w:jc w:val="right"/>
        <w:rPr>
          <w:rFonts w:ascii="仿宋" w:hAnsi="仿宋" w:eastAsia="仿宋" w:cs="仿宋"/>
          <w:sz w:val="24"/>
          <w:szCs w:val="24"/>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2FC1CF79">
      <w:pPr>
        <w:spacing w:line="360" w:lineRule="auto"/>
        <w:jc w:val="right"/>
        <w:rPr>
          <w:rFonts w:ascii="仿宋" w:hAnsi="仿宋" w:eastAsia="仿宋" w:cs="仿宋"/>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5087B302">
      <w:pPr>
        <w:pStyle w:val="6"/>
        <w:rPr>
          <w:rFonts w:ascii="仿宋" w:hAnsi="仿宋" w:cs="仿宋"/>
          <w:szCs w:val="24"/>
        </w:rPr>
      </w:pPr>
      <w:r>
        <w:rPr>
          <w:rFonts w:hint="eastAsia" w:ascii="仿宋" w:hAnsi="仿宋" w:cs="仿宋"/>
          <w:szCs w:val="24"/>
        </w:rPr>
        <w:br w:type="page"/>
      </w:r>
      <w:r>
        <w:rPr>
          <w:rFonts w:hint="eastAsia" w:ascii="仿宋" w:hAnsi="仿宋" w:cs="仿宋"/>
          <w:szCs w:val="24"/>
        </w:rPr>
        <w:t>8、非联合体投标声明</w:t>
      </w:r>
    </w:p>
    <w:p w14:paraId="6DCC03B8">
      <w:pPr>
        <w:spacing w:before="240" w:after="120"/>
        <w:jc w:val="center"/>
        <w:rPr>
          <w:rFonts w:ascii="仿宋" w:hAnsi="仿宋" w:eastAsia="仿宋" w:cs="仿宋"/>
          <w:b/>
          <w:bCs/>
          <w:sz w:val="24"/>
        </w:rPr>
      </w:pPr>
      <w:r>
        <w:rPr>
          <w:rFonts w:hint="eastAsia" w:ascii="仿宋" w:hAnsi="仿宋" w:eastAsia="仿宋" w:cs="仿宋"/>
          <w:b/>
          <w:bCs/>
          <w:sz w:val="24"/>
        </w:rPr>
        <w:t>非联合体投标声明</w:t>
      </w:r>
    </w:p>
    <w:p w14:paraId="2C1BB86A">
      <w:pPr>
        <w:adjustRightInd w:val="0"/>
        <w:snapToGrid w:val="0"/>
        <w:spacing w:before="240" w:line="360" w:lineRule="auto"/>
        <w:rPr>
          <w:rFonts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（招标人）：</w:t>
      </w:r>
    </w:p>
    <w:p w14:paraId="33DEAFE7">
      <w:pPr>
        <w:adjustRightInd w:val="0"/>
        <w:snapToGrid w:val="0"/>
        <w:spacing w:before="240" w:line="360" w:lineRule="auto"/>
        <w:ind w:firstLine="480" w:firstLineChars="200"/>
        <w:rPr>
          <w:rFonts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（投标人名称）   </w:t>
      </w:r>
      <w:r>
        <w:rPr>
          <w:rFonts w:hint="eastAsia" w:ascii="仿宋" w:hAnsi="仿宋" w:eastAsia="仿宋" w:cs="仿宋"/>
          <w:sz w:val="24"/>
        </w:rPr>
        <w:t>独立参与</w:t>
      </w:r>
      <w:r>
        <w:rPr>
          <w:rFonts w:hint="eastAsia" w:ascii="仿宋" w:hAnsi="仿宋" w:eastAsia="仿宋" w:cs="仿宋"/>
          <w:sz w:val="24"/>
          <w:u w:val="single"/>
        </w:rPr>
        <w:t xml:space="preserve">    （项目名称）  的</w:t>
      </w:r>
      <w:r>
        <w:rPr>
          <w:rFonts w:hint="eastAsia" w:ascii="仿宋" w:hAnsi="仿宋" w:eastAsia="仿宋" w:cs="仿宋"/>
          <w:sz w:val="24"/>
        </w:rPr>
        <w:t xml:space="preserve">投标，非联合体参与投标。 </w:t>
      </w:r>
    </w:p>
    <w:p w14:paraId="7676616D">
      <w:pPr>
        <w:spacing w:after="120"/>
        <w:ind w:firstLine="480" w:firstLineChars="200"/>
        <w:rPr>
          <w:rFonts w:ascii="仿宋" w:hAnsi="仿宋" w:eastAsia="仿宋" w:cs="仿宋"/>
          <w:sz w:val="24"/>
        </w:rPr>
      </w:pPr>
      <w:r>
        <w:rPr>
          <w:rFonts w:hint="eastAsia" w:ascii="仿宋" w:hAnsi="仿宋" w:eastAsia="仿宋" w:cs="仿宋"/>
          <w:sz w:val="24"/>
        </w:rPr>
        <w:t>特此声明。</w:t>
      </w:r>
    </w:p>
    <w:p w14:paraId="01C83E1C">
      <w:pPr>
        <w:spacing w:line="560" w:lineRule="exact"/>
        <w:ind w:firstLine="640" w:firstLineChars="200"/>
        <w:rPr>
          <w:rFonts w:ascii="仿宋" w:hAnsi="仿宋" w:eastAsia="仿宋" w:cs="仿宋"/>
          <w:sz w:val="32"/>
          <w:szCs w:val="24"/>
        </w:rPr>
      </w:pPr>
    </w:p>
    <w:p w14:paraId="4563A8B1">
      <w:pPr>
        <w:spacing w:line="560" w:lineRule="exact"/>
        <w:ind w:firstLine="640" w:firstLineChars="200"/>
        <w:rPr>
          <w:rFonts w:ascii="仿宋" w:hAnsi="仿宋" w:eastAsia="仿宋" w:cs="仿宋"/>
          <w:sz w:val="32"/>
          <w:szCs w:val="24"/>
        </w:rPr>
      </w:pPr>
    </w:p>
    <w:p w14:paraId="14C9B983">
      <w:pPr>
        <w:spacing w:line="560" w:lineRule="exact"/>
        <w:ind w:firstLine="640" w:firstLineChars="200"/>
        <w:rPr>
          <w:rFonts w:ascii="仿宋" w:hAnsi="仿宋" w:eastAsia="仿宋" w:cs="仿宋"/>
          <w:sz w:val="32"/>
          <w:szCs w:val="24"/>
        </w:rPr>
      </w:pPr>
    </w:p>
    <w:p w14:paraId="37893B43">
      <w:pPr>
        <w:spacing w:line="560" w:lineRule="exact"/>
        <w:ind w:firstLine="640" w:firstLineChars="200"/>
        <w:rPr>
          <w:rFonts w:ascii="仿宋" w:hAnsi="仿宋" w:eastAsia="仿宋" w:cs="仿宋"/>
          <w:sz w:val="32"/>
          <w:szCs w:val="24"/>
        </w:rPr>
      </w:pPr>
    </w:p>
    <w:p w14:paraId="5571603B">
      <w:pPr>
        <w:spacing w:line="560" w:lineRule="exact"/>
        <w:ind w:firstLine="640" w:firstLineChars="200"/>
        <w:rPr>
          <w:rFonts w:ascii="仿宋" w:hAnsi="仿宋" w:eastAsia="仿宋" w:cs="仿宋"/>
          <w:sz w:val="32"/>
          <w:szCs w:val="24"/>
        </w:rPr>
      </w:pPr>
    </w:p>
    <w:p w14:paraId="477D388E">
      <w:pPr>
        <w:spacing w:line="560" w:lineRule="exact"/>
        <w:ind w:firstLine="640" w:firstLineChars="200"/>
        <w:rPr>
          <w:rFonts w:ascii="仿宋" w:hAnsi="仿宋" w:eastAsia="仿宋" w:cs="仿宋"/>
          <w:sz w:val="32"/>
          <w:szCs w:val="24"/>
        </w:rPr>
      </w:pPr>
    </w:p>
    <w:p w14:paraId="33F1969F">
      <w:pPr>
        <w:spacing w:line="360" w:lineRule="auto"/>
        <w:ind w:firstLine="4080" w:firstLineChars="1700"/>
        <w:jc w:val="right"/>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（盖章）</w:t>
      </w:r>
    </w:p>
    <w:p w14:paraId="0F814E2A">
      <w:pPr>
        <w:widowControl/>
        <w:spacing w:line="360" w:lineRule="auto"/>
        <w:jc w:val="right"/>
        <w:rPr>
          <w:rFonts w:ascii="仿宋" w:hAnsi="仿宋" w:eastAsia="仿宋" w:cs="仿宋"/>
          <w:kern w:val="0"/>
          <w:sz w:val="24"/>
        </w:rPr>
      </w:pPr>
      <w:r>
        <w:rPr>
          <w:rFonts w:hint="eastAsia" w:ascii="仿宋" w:hAnsi="仿宋" w:eastAsia="仿宋" w:cs="仿宋"/>
          <w:kern w:val="0"/>
          <w:sz w:val="24"/>
        </w:rPr>
        <w:t>日期：</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50D136D4">
      <w:pPr>
        <w:rPr>
          <w:rFonts w:ascii="仿宋" w:hAnsi="仿宋" w:eastAsia="仿宋" w:cs="仿宋"/>
        </w:rPr>
      </w:pPr>
      <w:r>
        <w:rPr>
          <w:rFonts w:hint="eastAsia" w:ascii="仿宋" w:hAnsi="仿宋" w:eastAsia="仿宋" w:cs="仿宋"/>
        </w:rPr>
        <w:br w:type="page"/>
      </w:r>
    </w:p>
    <w:p w14:paraId="79FF6D5B">
      <w:pPr>
        <w:rPr>
          <w:rFonts w:ascii="仿宋" w:hAnsi="仿宋" w:eastAsia="仿宋" w:cs="仿宋"/>
        </w:rPr>
      </w:pPr>
    </w:p>
    <w:p w14:paraId="17F3E044">
      <w:pPr>
        <w:outlineLvl w:val="3"/>
        <w:rPr>
          <w:rFonts w:ascii="仿宋" w:hAnsi="仿宋" w:eastAsia="仿宋" w:cs="仿宋"/>
          <w:b/>
          <w:bCs/>
          <w:sz w:val="24"/>
          <w:szCs w:val="24"/>
        </w:rPr>
      </w:pPr>
      <w:r>
        <w:rPr>
          <w:rFonts w:hint="eastAsia" w:ascii="仿宋" w:hAnsi="仿宋" w:eastAsia="仿宋" w:cs="仿宋"/>
          <w:b/>
          <w:bCs/>
          <w:sz w:val="24"/>
          <w:szCs w:val="24"/>
        </w:rPr>
        <w:t>9、其他材料</w:t>
      </w:r>
    </w:p>
    <w:p w14:paraId="618A53A1">
      <w:pPr>
        <w:rPr>
          <w:rFonts w:ascii="仿宋" w:hAnsi="仿宋" w:eastAsia="仿宋" w:cs="仿宋"/>
          <w:szCs w:val="21"/>
        </w:rPr>
      </w:pPr>
      <w:r>
        <w:rPr>
          <w:rFonts w:hint="eastAsia" w:ascii="仿宋" w:hAnsi="仿宋" w:eastAsia="仿宋" w:cs="仿宋"/>
          <w:sz w:val="24"/>
        </w:rPr>
        <w:t>资格要求涉及的文件及证明材料、</w:t>
      </w:r>
      <w:r>
        <w:rPr>
          <w:rFonts w:hint="eastAsia" w:ascii="仿宋" w:hAnsi="仿宋" w:eastAsia="仿宋" w:cs="仿宋"/>
          <w:sz w:val="24"/>
          <w:szCs w:val="24"/>
        </w:rPr>
        <w:t>投标人认为需提供的其他材料，格式自拟。</w:t>
      </w:r>
    </w:p>
    <w:p w14:paraId="5FD171CB">
      <w:pPr>
        <w:rPr>
          <w:rFonts w:ascii="仿宋" w:hAnsi="仿宋" w:eastAsia="仿宋" w:cs="仿宋"/>
        </w:rPr>
      </w:pPr>
    </w:p>
    <w:p w14:paraId="4A045D17">
      <w:pPr>
        <w:widowControl/>
        <w:spacing w:line="360" w:lineRule="auto"/>
        <w:rPr>
          <w:rFonts w:ascii="仿宋" w:hAnsi="仿宋" w:eastAsia="仿宋" w:cs="仿宋"/>
          <w:kern w:val="0"/>
          <w:sz w:val="24"/>
          <w:szCs w:val="24"/>
        </w:rPr>
      </w:pPr>
    </w:p>
    <w:p w14:paraId="084805CB">
      <w:pPr>
        <w:widowControl/>
        <w:spacing w:line="360" w:lineRule="auto"/>
        <w:rPr>
          <w:rFonts w:ascii="仿宋" w:hAnsi="仿宋" w:eastAsia="仿宋" w:cs="仿宋"/>
          <w:kern w:val="0"/>
          <w:sz w:val="24"/>
          <w:szCs w:val="24"/>
        </w:rPr>
      </w:pPr>
    </w:p>
    <w:p w14:paraId="0BE65B93">
      <w:pPr>
        <w:widowControl/>
        <w:spacing w:line="360" w:lineRule="auto"/>
        <w:rPr>
          <w:rFonts w:ascii="仿宋" w:hAnsi="仿宋" w:eastAsia="仿宋" w:cs="仿宋"/>
          <w:kern w:val="0"/>
          <w:sz w:val="24"/>
          <w:szCs w:val="24"/>
        </w:rPr>
      </w:pPr>
    </w:p>
    <w:p w14:paraId="2AE7E0F7">
      <w:pPr>
        <w:pStyle w:val="122"/>
        <w:spacing w:line="360" w:lineRule="auto"/>
        <w:rPr>
          <w:rFonts w:ascii="仿宋" w:hAnsi="仿宋" w:eastAsia="仿宋" w:cs="仿宋"/>
          <w:szCs w:val="24"/>
        </w:rPr>
      </w:pPr>
    </w:p>
    <w:p w14:paraId="14F1EEE3"/>
    <w:p w14:paraId="672804BA"/>
    <w:p w14:paraId="53223854"/>
    <w:p w14:paraId="4C404806">
      <w:r>
        <w:rPr>
          <w:rFonts w:hint="eastAsia"/>
        </w:rPr>
        <w:br w:type="page"/>
      </w:r>
    </w:p>
    <w:p w14:paraId="6F134A78">
      <w:pPr>
        <w:pStyle w:val="5"/>
        <w:spacing w:line="360" w:lineRule="auto"/>
        <w:rPr>
          <w:rFonts w:hint="default" w:ascii="仿宋" w:hAnsi="仿宋" w:cs="仿宋"/>
          <w:szCs w:val="24"/>
        </w:rPr>
      </w:pPr>
      <w:r>
        <w:rPr>
          <w:rFonts w:ascii="仿宋" w:hAnsi="仿宋" w:cs="仿宋"/>
          <w:szCs w:val="24"/>
        </w:rPr>
        <w:t>（五）投标人须知应答偏离表</w:t>
      </w:r>
      <w:bookmarkEnd w:id="956"/>
      <w:bookmarkEnd w:id="957"/>
      <w:bookmarkEnd w:id="958"/>
      <w:bookmarkEnd w:id="959"/>
      <w:bookmarkEnd w:id="960"/>
      <w:bookmarkEnd w:id="961"/>
      <w:bookmarkEnd w:id="962"/>
      <w:bookmarkEnd w:id="963"/>
    </w:p>
    <w:p w14:paraId="43B7EC78">
      <w:pPr>
        <w:spacing w:after="240" w:line="360" w:lineRule="auto"/>
        <w:jc w:val="center"/>
        <w:rPr>
          <w:rFonts w:ascii="仿宋" w:hAnsi="仿宋" w:eastAsia="仿宋" w:cs="仿宋"/>
          <w:b/>
          <w:bCs/>
          <w:sz w:val="24"/>
          <w:szCs w:val="24"/>
        </w:rPr>
      </w:pPr>
      <w:r>
        <w:rPr>
          <w:rFonts w:hint="eastAsia" w:ascii="仿宋" w:hAnsi="仿宋" w:eastAsia="仿宋" w:cs="仿宋"/>
          <w:b/>
          <w:bCs/>
          <w:sz w:val="24"/>
          <w:szCs w:val="24"/>
        </w:rPr>
        <w:t>投标人须知应答偏离表</w:t>
      </w:r>
    </w:p>
    <w:p w14:paraId="12D0DC0F">
      <w:pPr>
        <w:spacing w:line="360" w:lineRule="auto"/>
        <w:rPr>
          <w:rFonts w:ascii="仿宋" w:hAnsi="仿宋" w:eastAsia="仿宋" w:cs="仿宋"/>
          <w:sz w:val="24"/>
          <w:szCs w:val="24"/>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tbl>
      <w:tblPr>
        <w:tblStyle w:val="33"/>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285"/>
        <w:gridCol w:w="2495"/>
        <w:gridCol w:w="2704"/>
        <w:gridCol w:w="1408"/>
      </w:tblGrid>
      <w:tr w14:paraId="7FF396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vAlign w:val="center"/>
          </w:tcPr>
          <w:p w14:paraId="208AB07A">
            <w:pPr>
              <w:spacing w:line="360" w:lineRule="auto"/>
              <w:jc w:val="center"/>
              <w:rPr>
                <w:rFonts w:ascii="仿宋" w:hAnsi="仿宋" w:eastAsia="仿宋" w:cs="仿宋"/>
                <w:szCs w:val="21"/>
              </w:rPr>
            </w:pPr>
            <w:r>
              <w:rPr>
                <w:rFonts w:hint="eastAsia" w:ascii="仿宋" w:hAnsi="仿宋" w:eastAsia="仿宋" w:cs="仿宋"/>
                <w:szCs w:val="21"/>
              </w:rPr>
              <w:t>序号</w:t>
            </w:r>
          </w:p>
        </w:tc>
        <w:tc>
          <w:tcPr>
            <w:tcW w:w="2285" w:type="dxa"/>
            <w:vAlign w:val="center"/>
          </w:tcPr>
          <w:p w14:paraId="2B3D2D77">
            <w:pPr>
              <w:spacing w:line="360" w:lineRule="auto"/>
              <w:jc w:val="center"/>
              <w:rPr>
                <w:rFonts w:ascii="仿宋" w:hAnsi="仿宋" w:eastAsia="仿宋" w:cs="仿宋"/>
                <w:szCs w:val="21"/>
              </w:rPr>
            </w:pPr>
            <w:r>
              <w:rPr>
                <w:rFonts w:hint="eastAsia" w:ascii="仿宋" w:hAnsi="仿宋" w:eastAsia="仿宋" w:cs="仿宋"/>
                <w:szCs w:val="21"/>
              </w:rPr>
              <w:t>条目号</w:t>
            </w:r>
          </w:p>
        </w:tc>
        <w:tc>
          <w:tcPr>
            <w:tcW w:w="2495" w:type="dxa"/>
            <w:vAlign w:val="center"/>
          </w:tcPr>
          <w:p w14:paraId="771C91D7">
            <w:pPr>
              <w:spacing w:line="360" w:lineRule="auto"/>
              <w:jc w:val="center"/>
              <w:rPr>
                <w:rFonts w:ascii="仿宋" w:hAnsi="仿宋" w:eastAsia="仿宋" w:cs="仿宋"/>
                <w:szCs w:val="21"/>
              </w:rPr>
            </w:pPr>
            <w:r>
              <w:rPr>
                <w:rFonts w:hint="eastAsia" w:ascii="仿宋" w:hAnsi="仿宋" w:eastAsia="仿宋" w:cs="仿宋"/>
                <w:szCs w:val="21"/>
              </w:rPr>
              <w:t>原文内容</w:t>
            </w:r>
          </w:p>
        </w:tc>
        <w:tc>
          <w:tcPr>
            <w:tcW w:w="2704" w:type="dxa"/>
            <w:vAlign w:val="center"/>
          </w:tcPr>
          <w:p w14:paraId="77F047BF">
            <w:pPr>
              <w:spacing w:line="360" w:lineRule="auto"/>
              <w:jc w:val="center"/>
              <w:rPr>
                <w:rFonts w:ascii="仿宋" w:hAnsi="仿宋" w:eastAsia="仿宋" w:cs="仿宋"/>
                <w:szCs w:val="21"/>
              </w:rPr>
            </w:pPr>
            <w:r>
              <w:rPr>
                <w:rFonts w:hint="eastAsia" w:ascii="仿宋" w:hAnsi="仿宋" w:eastAsia="仿宋" w:cs="仿宋"/>
                <w:szCs w:val="21"/>
              </w:rPr>
              <w:t>应答</w:t>
            </w:r>
          </w:p>
        </w:tc>
        <w:tc>
          <w:tcPr>
            <w:tcW w:w="1408" w:type="dxa"/>
            <w:vAlign w:val="center"/>
          </w:tcPr>
          <w:p w14:paraId="5BCEFF7A">
            <w:pPr>
              <w:spacing w:line="360" w:lineRule="auto"/>
              <w:jc w:val="center"/>
              <w:rPr>
                <w:rFonts w:ascii="仿宋" w:hAnsi="仿宋" w:eastAsia="仿宋" w:cs="仿宋"/>
                <w:szCs w:val="21"/>
              </w:rPr>
            </w:pPr>
            <w:r>
              <w:rPr>
                <w:rFonts w:hint="eastAsia" w:ascii="仿宋" w:hAnsi="仿宋" w:eastAsia="仿宋" w:cs="仿宋"/>
                <w:szCs w:val="21"/>
              </w:rPr>
              <w:t>说明</w:t>
            </w:r>
          </w:p>
        </w:tc>
      </w:tr>
      <w:tr w14:paraId="448908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67878E14">
            <w:pPr>
              <w:spacing w:line="360" w:lineRule="auto"/>
              <w:rPr>
                <w:rFonts w:ascii="仿宋" w:hAnsi="仿宋" w:eastAsia="仿宋" w:cs="仿宋"/>
                <w:szCs w:val="21"/>
              </w:rPr>
            </w:pPr>
          </w:p>
        </w:tc>
        <w:tc>
          <w:tcPr>
            <w:tcW w:w="2285" w:type="dxa"/>
          </w:tcPr>
          <w:p w14:paraId="4CC317DF">
            <w:pPr>
              <w:spacing w:line="360" w:lineRule="auto"/>
              <w:rPr>
                <w:rFonts w:ascii="仿宋" w:hAnsi="仿宋" w:eastAsia="仿宋" w:cs="仿宋"/>
                <w:szCs w:val="21"/>
              </w:rPr>
            </w:pPr>
          </w:p>
        </w:tc>
        <w:tc>
          <w:tcPr>
            <w:tcW w:w="2495" w:type="dxa"/>
          </w:tcPr>
          <w:p w14:paraId="0A71E301">
            <w:pPr>
              <w:spacing w:line="360" w:lineRule="auto"/>
              <w:rPr>
                <w:rFonts w:ascii="仿宋" w:hAnsi="仿宋" w:eastAsia="仿宋" w:cs="仿宋"/>
                <w:szCs w:val="21"/>
              </w:rPr>
            </w:pPr>
          </w:p>
        </w:tc>
        <w:tc>
          <w:tcPr>
            <w:tcW w:w="2704" w:type="dxa"/>
          </w:tcPr>
          <w:p w14:paraId="0E2DF2A2">
            <w:pPr>
              <w:spacing w:line="360" w:lineRule="auto"/>
              <w:rPr>
                <w:rFonts w:ascii="仿宋" w:hAnsi="仿宋" w:eastAsia="仿宋" w:cs="仿宋"/>
                <w:szCs w:val="21"/>
              </w:rPr>
            </w:pPr>
          </w:p>
        </w:tc>
        <w:tc>
          <w:tcPr>
            <w:tcW w:w="1408" w:type="dxa"/>
          </w:tcPr>
          <w:p w14:paraId="4E4A14CB">
            <w:pPr>
              <w:spacing w:line="360" w:lineRule="auto"/>
              <w:rPr>
                <w:rFonts w:ascii="仿宋" w:hAnsi="仿宋" w:eastAsia="仿宋" w:cs="仿宋"/>
                <w:szCs w:val="21"/>
              </w:rPr>
            </w:pPr>
          </w:p>
        </w:tc>
      </w:tr>
      <w:tr w14:paraId="784285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14:paraId="3AADC544">
            <w:pPr>
              <w:spacing w:line="360" w:lineRule="auto"/>
              <w:rPr>
                <w:rFonts w:ascii="仿宋" w:hAnsi="仿宋" w:eastAsia="仿宋" w:cs="仿宋"/>
                <w:szCs w:val="21"/>
              </w:rPr>
            </w:pPr>
          </w:p>
        </w:tc>
        <w:tc>
          <w:tcPr>
            <w:tcW w:w="2285" w:type="dxa"/>
          </w:tcPr>
          <w:p w14:paraId="3AC479D7">
            <w:pPr>
              <w:spacing w:line="360" w:lineRule="auto"/>
              <w:rPr>
                <w:rFonts w:ascii="仿宋" w:hAnsi="仿宋" w:eastAsia="仿宋" w:cs="仿宋"/>
                <w:szCs w:val="21"/>
              </w:rPr>
            </w:pPr>
          </w:p>
        </w:tc>
        <w:tc>
          <w:tcPr>
            <w:tcW w:w="2495" w:type="dxa"/>
          </w:tcPr>
          <w:p w14:paraId="2C345E4A">
            <w:pPr>
              <w:spacing w:line="360" w:lineRule="auto"/>
              <w:rPr>
                <w:rFonts w:ascii="仿宋" w:hAnsi="仿宋" w:eastAsia="仿宋" w:cs="仿宋"/>
                <w:szCs w:val="21"/>
              </w:rPr>
            </w:pPr>
          </w:p>
        </w:tc>
        <w:tc>
          <w:tcPr>
            <w:tcW w:w="2704" w:type="dxa"/>
          </w:tcPr>
          <w:p w14:paraId="4CEA39D1">
            <w:pPr>
              <w:spacing w:line="360" w:lineRule="auto"/>
              <w:rPr>
                <w:rFonts w:ascii="仿宋" w:hAnsi="仿宋" w:eastAsia="仿宋" w:cs="仿宋"/>
                <w:szCs w:val="21"/>
              </w:rPr>
            </w:pPr>
          </w:p>
        </w:tc>
        <w:tc>
          <w:tcPr>
            <w:tcW w:w="1408" w:type="dxa"/>
          </w:tcPr>
          <w:p w14:paraId="7160C7C1">
            <w:pPr>
              <w:spacing w:line="360" w:lineRule="auto"/>
              <w:rPr>
                <w:rFonts w:ascii="仿宋" w:hAnsi="仿宋" w:eastAsia="仿宋" w:cs="仿宋"/>
                <w:szCs w:val="21"/>
              </w:rPr>
            </w:pPr>
          </w:p>
        </w:tc>
      </w:tr>
      <w:tr w14:paraId="1840B3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09D368DB">
            <w:pPr>
              <w:spacing w:line="360" w:lineRule="auto"/>
              <w:rPr>
                <w:rFonts w:ascii="仿宋" w:hAnsi="仿宋" w:eastAsia="仿宋" w:cs="仿宋"/>
                <w:szCs w:val="21"/>
              </w:rPr>
            </w:pPr>
          </w:p>
        </w:tc>
        <w:tc>
          <w:tcPr>
            <w:tcW w:w="2285" w:type="dxa"/>
          </w:tcPr>
          <w:p w14:paraId="2E50AB54">
            <w:pPr>
              <w:spacing w:line="360" w:lineRule="auto"/>
              <w:rPr>
                <w:rFonts w:ascii="仿宋" w:hAnsi="仿宋" w:eastAsia="仿宋" w:cs="仿宋"/>
                <w:szCs w:val="21"/>
              </w:rPr>
            </w:pPr>
          </w:p>
        </w:tc>
        <w:tc>
          <w:tcPr>
            <w:tcW w:w="2495" w:type="dxa"/>
          </w:tcPr>
          <w:p w14:paraId="08B86928">
            <w:pPr>
              <w:spacing w:line="360" w:lineRule="auto"/>
              <w:rPr>
                <w:rFonts w:ascii="仿宋" w:hAnsi="仿宋" w:eastAsia="仿宋" w:cs="仿宋"/>
                <w:szCs w:val="21"/>
              </w:rPr>
            </w:pPr>
          </w:p>
        </w:tc>
        <w:tc>
          <w:tcPr>
            <w:tcW w:w="2704" w:type="dxa"/>
          </w:tcPr>
          <w:p w14:paraId="30CCA5A4">
            <w:pPr>
              <w:spacing w:line="360" w:lineRule="auto"/>
              <w:rPr>
                <w:rFonts w:ascii="仿宋" w:hAnsi="仿宋" w:eastAsia="仿宋" w:cs="仿宋"/>
                <w:szCs w:val="21"/>
              </w:rPr>
            </w:pPr>
          </w:p>
        </w:tc>
        <w:tc>
          <w:tcPr>
            <w:tcW w:w="1408" w:type="dxa"/>
          </w:tcPr>
          <w:p w14:paraId="63C3A9BA">
            <w:pPr>
              <w:spacing w:line="360" w:lineRule="auto"/>
              <w:rPr>
                <w:rFonts w:ascii="仿宋" w:hAnsi="仿宋" w:eastAsia="仿宋" w:cs="仿宋"/>
                <w:szCs w:val="21"/>
              </w:rPr>
            </w:pPr>
          </w:p>
        </w:tc>
      </w:tr>
      <w:tr w14:paraId="1D74D1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4602263B">
            <w:pPr>
              <w:spacing w:line="360" w:lineRule="auto"/>
              <w:rPr>
                <w:rFonts w:ascii="仿宋" w:hAnsi="仿宋" w:eastAsia="仿宋" w:cs="仿宋"/>
                <w:szCs w:val="21"/>
              </w:rPr>
            </w:pPr>
          </w:p>
        </w:tc>
        <w:tc>
          <w:tcPr>
            <w:tcW w:w="2285" w:type="dxa"/>
          </w:tcPr>
          <w:p w14:paraId="549E7A7F">
            <w:pPr>
              <w:spacing w:line="360" w:lineRule="auto"/>
              <w:rPr>
                <w:rFonts w:ascii="仿宋" w:hAnsi="仿宋" w:eastAsia="仿宋" w:cs="仿宋"/>
                <w:szCs w:val="21"/>
              </w:rPr>
            </w:pPr>
          </w:p>
        </w:tc>
        <w:tc>
          <w:tcPr>
            <w:tcW w:w="2495" w:type="dxa"/>
          </w:tcPr>
          <w:p w14:paraId="58DF0337">
            <w:pPr>
              <w:spacing w:line="360" w:lineRule="auto"/>
              <w:rPr>
                <w:rFonts w:ascii="仿宋" w:hAnsi="仿宋" w:eastAsia="仿宋" w:cs="仿宋"/>
                <w:szCs w:val="21"/>
              </w:rPr>
            </w:pPr>
          </w:p>
        </w:tc>
        <w:tc>
          <w:tcPr>
            <w:tcW w:w="2704" w:type="dxa"/>
          </w:tcPr>
          <w:p w14:paraId="7DD58DD1">
            <w:pPr>
              <w:spacing w:line="360" w:lineRule="auto"/>
              <w:rPr>
                <w:rFonts w:ascii="仿宋" w:hAnsi="仿宋" w:eastAsia="仿宋" w:cs="仿宋"/>
                <w:szCs w:val="21"/>
              </w:rPr>
            </w:pPr>
          </w:p>
        </w:tc>
        <w:tc>
          <w:tcPr>
            <w:tcW w:w="1408" w:type="dxa"/>
          </w:tcPr>
          <w:p w14:paraId="434373C3">
            <w:pPr>
              <w:spacing w:line="360" w:lineRule="auto"/>
              <w:rPr>
                <w:rFonts w:ascii="仿宋" w:hAnsi="仿宋" w:eastAsia="仿宋" w:cs="仿宋"/>
                <w:szCs w:val="21"/>
              </w:rPr>
            </w:pPr>
          </w:p>
        </w:tc>
      </w:tr>
      <w:tr w14:paraId="43687F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14:paraId="5561BF68">
            <w:pPr>
              <w:spacing w:line="360" w:lineRule="auto"/>
              <w:rPr>
                <w:rFonts w:ascii="仿宋" w:hAnsi="仿宋" w:eastAsia="仿宋" w:cs="仿宋"/>
                <w:szCs w:val="21"/>
              </w:rPr>
            </w:pPr>
          </w:p>
        </w:tc>
        <w:tc>
          <w:tcPr>
            <w:tcW w:w="2285" w:type="dxa"/>
          </w:tcPr>
          <w:p w14:paraId="1B46505B">
            <w:pPr>
              <w:spacing w:line="360" w:lineRule="auto"/>
              <w:rPr>
                <w:rFonts w:ascii="仿宋" w:hAnsi="仿宋" w:eastAsia="仿宋" w:cs="仿宋"/>
                <w:szCs w:val="21"/>
              </w:rPr>
            </w:pPr>
          </w:p>
        </w:tc>
        <w:tc>
          <w:tcPr>
            <w:tcW w:w="2495" w:type="dxa"/>
          </w:tcPr>
          <w:p w14:paraId="3AE8760F">
            <w:pPr>
              <w:spacing w:line="360" w:lineRule="auto"/>
              <w:rPr>
                <w:rFonts w:ascii="仿宋" w:hAnsi="仿宋" w:eastAsia="仿宋" w:cs="仿宋"/>
                <w:szCs w:val="21"/>
              </w:rPr>
            </w:pPr>
          </w:p>
        </w:tc>
        <w:tc>
          <w:tcPr>
            <w:tcW w:w="2704" w:type="dxa"/>
          </w:tcPr>
          <w:p w14:paraId="5E759919">
            <w:pPr>
              <w:spacing w:line="360" w:lineRule="auto"/>
              <w:rPr>
                <w:rFonts w:ascii="仿宋" w:hAnsi="仿宋" w:eastAsia="仿宋" w:cs="仿宋"/>
                <w:szCs w:val="21"/>
              </w:rPr>
            </w:pPr>
          </w:p>
        </w:tc>
        <w:tc>
          <w:tcPr>
            <w:tcW w:w="1408" w:type="dxa"/>
          </w:tcPr>
          <w:p w14:paraId="4DEE262D">
            <w:pPr>
              <w:spacing w:line="360" w:lineRule="auto"/>
              <w:rPr>
                <w:rFonts w:ascii="仿宋" w:hAnsi="仿宋" w:eastAsia="仿宋" w:cs="仿宋"/>
                <w:szCs w:val="21"/>
              </w:rPr>
            </w:pPr>
          </w:p>
        </w:tc>
      </w:tr>
      <w:tr w14:paraId="007B06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52081860">
            <w:pPr>
              <w:spacing w:line="360" w:lineRule="auto"/>
              <w:rPr>
                <w:rFonts w:ascii="仿宋" w:hAnsi="仿宋" w:eastAsia="仿宋" w:cs="仿宋"/>
                <w:szCs w:val="21"/>
              </w:rPr>
            </w:pPr>
          </w:p>
        </w:tc>
        <w:tc>
          <w:tcPr>
            <w:tcW w:w="2285" w:type="dxa"/>
          </w:tcPr>
          <w:p w14:paraId="239841F0">
            <w:pPr>
              <w:spacing w:line="360" w:lineRule="auto"/>
              <w:rPr>
                <w:rFonts w:ascii="仿宋" w:hAnsi="仿宋" w:eastAsia="仿宋" w:cs="仿宋"/>
                <w:szCs w:val="21"/>
              </w:rPr>
            </w:pPr>
          </w:p>
        </w:tc>
        <w:tc>
          <w:tcPr>
            <w:tcW w:w="2495" w:type="dxa"/>
          </w:tcPr>
          <w:p w14:paraId="5271BF45">
            <w:pPr>
              <w:spacing w:line="360" w:lineRule="auto"/>
              <w:rPr>
                <w:rFonts w:ascii="仿宋" w:hAnsi="仿宋" w:eastAsia="仿宋" w:cs="仿宋"/>
                <w:szCs w:val="21"/>
              </w:rPr>
            </w:pPr>
          </w:p>
        </w:tc>
        <w:tc>
          <w:tcPr>
            <w:tcW w:w="2704" w:type="dxa"/>
          </w:tcPr>
          <w:p w14:paraId="29C2B840">
            <w:pPr>
              <w:spacing w:line="360" w:lineRule="auto"/>
              <w:rPr>
                <w:rFonts w:ascii="仿宋" w:hAnsi="仿宋" w:eastAsia="仿宋" w:cs="仿宋"/>
                <w:szCs w:val="21"/>
              </w:rPr>
            </w:pPr>
          </w:p>
        </w:tc>
        <w:tc>
          <w:tcPr>
            <w:tcW w:w="1408" w:type="dxa"/>
          </w:tcPr>
          <w:p w14:paraId="30939FF2">
            <w:pPr>
              <w:spacing w:line="360" w:lineRule="auto"/>
              <w:rPr>
                <w:rFonts w:ascii="仿宋" w:hAnsi="仿宋" w:eastAsia="仿宋" w:cs="仿宋"/>
                <w:szCs w:val="21"/>
              </w:rPr>
            </w:pPr>
          </w:p>
        </w:tc>
      </w:tr>
      <w:tr w14:paraId="4E0D3E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01285103">
            <w:pPr>
              <w:spacing w:line="360" w:lineRule="auto"/>
              <w:rPr>
                <w:rFonts w:ascii="仿宋" w:hAnsi="仿宋" w:eastAsia="仿宋" w:cs="仿宋"/>
                <w:szCs w:val="21"/>
              </w:rPr>
            </w:pPr>
          </w:p>
        </w:tc>
        <w:tc>
          <w:tcPr>
            <w:tcW w:w="2285" w:type="dxa"/>
          </w:tcPr>
          <w:p w14:paraId="7709AE28">
            <w:pPr>
              <w:spacing w:line="360" w:lineRule="auto"/>
              <w:rPr>
                <w:rFonts w:ascii="仿宋" w:hAnsi="仿宋" w:eastAsia="仿宋" w:cs="仿宋"/>
                <w:szCs w:val="21"/>
              </w:rPr>
            </w:pPr>
          </w:p>
        </w:tc>
        <w:tc>
          <w:tcPr>
            <w:tcW w:w="2495" w:type="dxa"/>
          </w:tcPr>
          <w:p w14:paraId="0F32DB82">
            <w:pPr>
              <w:spacing w:line="360" w:lineRule="auto"/>
              <w:rPr>
                <w:rFonts w:ascii="仿宋" w:hAnsi="仿宋" w:eastAsia="仿宋" w:cs="仿宋"/>
                <w:szCs w:val="21"/>
              </w:rPr>
            </w:pPr>
          </w:p>
        </w:tc>
        <w:tc>
          <w:tcPr>
            <w:tcW w:w="2704" w:type="dxa"/>
          </w:tcPr>
          <w:p w14:paraId="6BCDC915">
            <w:pPr>
              <w:spacing w:line="360" w:lineRule="auto"/>
              <w:rPr>
                <w:rFonts w:ascii="仿宋" w:hAnsi="仿宋" w:eastAsia="仿宋" w:cs="仿宋"/>
                <w:szCs w:val="21"/>
              </w:rPr>
            </w:pPr>
          </w:p>
        </w:tc>
        <w:tc>
          <w:tcPr>
            <w:tcW w:w="1408" w:type="dxa"/>
          </w:tcPr>
          <w:p w14:paraId="58F6B5B8">
            <w:pPr>
              <w:spacing w:line="360" w:lineRule="auto"/>
              <w:rPr>
                <w:rFonts w:ascii="仿宋" w:hAnsi="仿宋" w:eastAsia="仿宋" w:cs="仿宋"/>
                <w:szCs w:val="21"/>
              </w:rPr>
            </w:pPr>
          </w:p>
        </w:tc>
      </w:tr>
      <w:tr w14:paraId="71BC34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14:paraId="6C7B535A">
            <w:pPr>
              <w:spacing w:line="360" w:lineRule="auto"/>
              <w:rPr>
                <w:rFonts w:ascii="仿宋" w:hAnsi="仿宋" w:eastAsia="仿宋" w:cs="仿宋"/>
                <w:szCs w:val="21"/>
              </w:rPr>
            </w:pPr>
          </w:p>
        </w:tc>
        <w:tc>
          <w:tcPr>
            <w:tcW w:w="2285" w:type="dxa"/>
          </w:tcPr>
          <w:p w14:paraId="1F0FB721">
            <w:pPr>
              <w:spacing w:line="360" w:lineRule="auto"/>
              <w:rPr>
                <w:rFonts w:ascii="仿宋" w:hAnsi="仿宋" w:eastAsia="仿宋" w:cs="仿宋"/>
                <w:szCs w:val="21"/>
              </w:rPr>
            </w:pPr>
          </w:p>
        </w:tc>
        <w:tc>
          <w:tcPr>
            <w:tcW w:w="2495" w:type="dxa"/>
          </w:tcPr>
          <w:p w14:paraId="64174BE9">
            <w:pPr>
              <w:spacing w:line="360" w:lineRule="auto"/>
              <w:rPr>
                <w:rFonts w:ascii="仿宋" w:hAnsi="仿宋" w:eastAsia="仿宋" w:cs="仿宋"/>
                <w:szCs w:val="21"/>
              </w:rPr>
            </w:pPr>
          </w:p>
        </w:tc>
        <w:tc>
          <w:tcPr>
            <w:tcW w:w="2704" w:type="dxa"/>
          </w:tcPr>
          <w:p w14:paraId="168D7FA8">
            <w:pPr>
              <w:spacing w:line="360" w:lineRule="auto"/>
              <w:rPr>
                <w:rFonts w:ascii="仿宋" w:hAnsi="仿宋" w:eastAsia="仿宋" w:cs="仿宋"/>
                <w:szCs w:val="21"/>
              </w:rPr>
            </w:pPr>
          </w:p>
        </w:tc>
        <w:tc>
          <w:tcPr>
            <w:tcW w:w="1408" w:type="dxa"/>
          </w:tcPr>
          <w:p w14:paraId="6F76E2F7">
            <w:pPr>
              <w:spacing w:line="360" w:lineRule="auto"/>
              <w:rPr>
                <w:rFonts w:ascii="仿宋" w:hAnsi="仿宋" w:eastAsia="仿宋" w:cs="仿宋"/>
                <w:szCs w:val="21"/>
              </w:rPr>
            </w:pPr>
          </w:p>
        </w:tc>
      </w:tr>
      <w:tr w14:paraId="01788C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63CF3078">
            <w:pPr>
              <w:spacing w:line="360" w:lineRule="auto"/>
              <w:rPr>
                <w:rFonts w:ascii="仿宋" w:hAnsi="仿宋" w:eastAsia="仿宋" w:cs="仿宋"/>
                <w:szCs w:val="21"/>
              </w:rPr>
            </w:pPr>
          </w:p>
        </w:tc>
        <w:tc>
          <w:tcPr>
            <w:tcW w:w="2285" w:type="dxa"/>
          </w:tcPr>
          <w:p w14:paraId="296E345C">
            <w:pPr>
              <w:spacing w:line="360" w:lineRule="auto"/>
              <w:rPr>
                <w:rFonts w:ascii="仿宋" w:hAnsi="仿宋" w:eastAsia="仿宋" w:cs="仿宋"/>
                <w:szCs w:val="21"/>
              </w:rPr>
            </w:pPr>
          </w:p>
        </w:tc>
        <w:tc>
          <w:tcPr>
            <w:tcW w:w="2495" w:type="dxa"/>
          </w:tcPr>
          <w:p w14:paraId="274AC914">
            <w:pPr>
              <w:spacing w:line="360" w:lineRule="auto"/>
              <w:rPr>
                <w:rFonts w:ascii="仿宋" w:hAnsi="仿宋" w:eastAsia="仿宋" w:cs="仿宋"/>
                <w:szCs w:val="21"/>
              </w:rPr>
            </w:pPr>
          </w:p>
        </w:tc>
        <w:tc>
          <w:tcPr>
            <w:tcW w:w="2704" w:type="dxa"/>
          </w:tcPr>
          <w:p w14:paraId="53D6E5C0">
            <w:pPr>
              <w:spacing w:line="360" w:lineRule="auto"/>
              <w:rPr>
                <w:rFonts w:ascii="仿宋" w:hAnsi="仿宋" w:eastAsia="仿宋" w:cs="仿宋"/>
                <w:szCs w:val="21"/>
              </w:rPr>
            </w:pPr>
          </w:p>
        </w:tc>
        <w:tc>
          <w:tcPr>
            <w:tcW w:w="1408" w:type="dxa"/>
          </w:tcPr>
          <w:p w14:paraId="5C9E4742">
            <w:pPr>
              <w:spacing w:line="360" w:lineRule="auto"/>
              <w:rPr>
                <w:rFonts w:ascii="仿宋" w:hAnsi="仿宋" w:eastAsia="仿宋" w:cs="仿宋"/>
                <w:szCs w:val="21"/>
              </w:rPr>
            </w:pPr>
          </w:p>
        </w:tc>
      </w:tr>
      <w:tr w14:paraId="19752B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14:paraId="2A98582B">
            <w:pPr>
              <w:spacing w:line="360" w:lineRule="auto"/>
              <w:rPr>
                <w:rFonts w:ascii="仿宋" w:hAnsi="仿宋" w:eastAsia="仿宋" w:cs="仿宋"/>
                <w:szCs w:val="21"/>
              </w:rPr>
            </w:pPr>
          </w:p>
        </w:tc>
        <w:tc>
          <w:tcPr>
            <w:tcW w:w="2285" w:type="dxa"/>
          </w:tcPr>
          <w:p w14:paraId="190DFC36">
            <w:pPr>
              <w:spacing w:line="360" w:lineRule="auto"/>
              <w:rPr>
                <w:rFonts w:ascii="仿宋" w:hAnsi="仿宋" w:eastAsia="仿宋" w:cs="仿宋"/>
                <w:szCs w:val="21"/>
              </w:rPr>
            </w:pPr>
          </w:p>
        </w:tc>
        <w:tc>
          <w:tcPr>
            <w:tcW w:w="2495" w:type="dxa"/>
          </w:tcPr>
          <w:p w14:paraId="242C3052">
            <w:pPr>
              <w:spacing w:line="360" w:lineRule="auto"/>
              <w:rPr>
                <w:rFonts w:ascii="仿宋" w:hAnsi="仿宋" w:eastAsia="仿宋" w:cs="仿宋"/>
                <w:szCs w:val="21"/>
              </w:rPr>
            </w:pPr>
          </w:p>
        </w:tc>
        <w:tc>
          <w:tcPr>
            <w:tcW w:w="2704" w:type="dxa"/>
          </w:tcPr>
          <w:p w14:paraId="1CABA3EB">
            <w:pPr>
              <w:spacing w:line="360" w:lineRule="auto"/>
              <w:rPr>
                <w:rFonts w:ascii="仿宋" w:hAnsi="仿宋" w:eastAsia="仿宋" w:cs="仿宋"/>
                <w:szCs w:val="21"/>
              </w:rPr>
            </w:pPr>
          </w:p>
        </w:tc>
        <w:tc>
          <w:tcPr>
            <w:tcW w:w="1408" w:type="dxa"/>
          </w:tcPr>
          <w:p w14:paraId="62FC89BB">
            <w:pPr>
              <w:spacing w:line="360" w:lineRule="auto"/>
              <w:rPr>
                <w:rFonts w:ascii="仿宋" w:hAnsi="仿宋" w:eastAsia="仿宋" w:cs="仿宋"/>
                <w:szCs w:val="21"/>
              </w:rPr>
            </w:pPr>
          </w:p>
        </w:tc>
      </w:tr>
    </w:tbl>
    <w:p w14:paraId="0762CD76">
      <w:pPr>
        <w:spacing w:line="360" w:lineRule="auto"/>
        <w:ind w:left="480" w:hanging="480" w:hangingChars="200"/>
        <w:rPr>
          <w:rFonts w:ascii="仿宋" w:hAnsi="仿宋" w:eastAsia="仿宋" w:cs="仿宋"/>
          <w:b/>
          <w:bCs/>
          <w:sz w:val="24"/>
          <w:szCs w:val="24"/>
        </w:rPr>
      </w:pPr>
      <w:r>
        <w:rPr>
          <w:rFonts w:hint="eastAsia" w:ascii="仿宋" w:hAnsi="仿宋" w:eastAsia="仿宋" w:cs="仿宋"/>
          <w:sz w:val="24"/>
          <w:szCs w:val="24"/>
        </w:rPr>
        <w:t>注：所有偏离须在本表中列出，未在本偏离表中列出偏离，将视为投标人已完全接受招标文件要求</w:t>
      </w:r>
      <w:r>
        <w:rPr>
          <w:rFonts w:hint="eastAsia" w:ascii="仿宋" w:hAnsi="仿宋" w:eastAsia="仿宋" w:cs="仿宋"/>
          <w:b/>
          <w:bCs/>
          <w:sz w:val="24"/>
          <w:szCs w:val="24"/>
        </w:rPr>
        <w:t>。如全部满足，在偏离表中应答“全部满足”即可。</w:t>
      </w:r>
    </w:p>
    <w:p w14:paraId="6EC1F2A6">
      <w:pPr>
        <w:spacing w:line="360" w:lineRule="auto"/>
        <w:ind w:firstLine="4080" w:firstLineChars="1700"/>
        <w:jc w:val="right"/>
        <w:rPr>
          <w:rFonts w:ascii="仿宋" w:hAnsi="仿宋" w:eastAsia="仿宋" w:cs="仿宋"/>
          <w:sz w:val="24"/>
          <w:szCs w:val="24"/>
        </w:rPr>
      </w:pPr>
    </w:p>
    <w:p w14:paraId="015BE654">
      <w:pPr>
        <w:spacing w:line="360" w:lineRule="auto"/>
        <w:ind w:firstLine="4080" w:firstLineChars="1700"/>
        <w:jc w:val="right"/>
        <w:rPr>
          <w:rFonts w:ascii="仿宋" w:hAnsi="仿宋" w:eastAsia="仿宋" w:cs="仿宋"/>
          <w:sz w:val="24"/>
          <w:szCs w:val="24"/>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7933FC85">
      <w:pPr>
        <w:spacing w:line="360" w:lineRule="auto"/>
        <w:jc w:val="right"/>
        <w:rPr>
          <w:rFonts w:ascii="仿宋" w:hAnsi="仿宋" w:eastAsia="仿宋" w:cs="仿宋"/>
          <w:sz w:val="24"/>
          <w:szCs w:val="24"/>
        </w:rPr>
        <w:sectPr>
          <w:pgSz w:w="11906" w:h="16838"/>
          <w:pgMar w:top="1417" w:right="1134" w:bottom="1134" w:left="1134" w:header="851" w:footer="992" w:gutter="0"/>
          <w:cols w:space="720" w:num="1"/>
          <w:titlePg/>
          <w:docGrid w:type="lines" w:linePitch="312" w:charSpace="0"/>
        </w:sect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0F389BAF">
      <w:pPr>
        <w:pStyle w:val="5"/>
        <w:spacing w:line="360" w:lineRule="auto"/>
        <w:rPr>
          <w:rFonts w:hint="default" w:ascii="仿宋" w:hAnsi="仿宋" w:cs="仿宋"/>
          <w:szCs w:val="24"/>
        </w:rPr>
      </w:pPr>
      <w:bookmarkStart w:id="966" w:name="_Toc65683010"/>
      <w:bookmarkStart w:id="967" w:name="_Toc109124322"/>
      <w:bookmarkStart w:id="968" w:name="_Toc8442"/>
      <w:bookmarkStart w:id="969" w:name="_Toc18708"/>
      <w:bookmarkStart w:id="970" w:name="_Toc9422"/>
      <w:bookmarkStart w:id="971" w:name="_Toc9777"/>
      <w:bookmarkStart w:id="972" w:name="_Toc23169"/>
      <w:bookmarkStart w:id="973" w:name="_Toc25655"/>
      <w:r>
        <w:rPr>
          <w:rFonts w:ascii="仿宋" w:hAnsi="仿宋" w:cs="仿宋"/>
          <w:szCs w:val="24"/>
        </w:rPr>
        <w:t>（六）合同条款应答偏离表</w:t>
      </w:r>
      <w:bookmarkEnd w:id="966"/>
      <w:bookmarkEnd w:id="967"/>
      <w:bookmarkEnd w:id="968"/>
      <w:bookmarkEnd w:id="969"/>
      <w:bookmarkEnd w:id="970"/>
      <w:bookmarkEnd w:id="971"/>
      <w:bookmarkEnd w:id="972"/>
      <w:bookmarkEnd w:id="973"/>
    </w:p>
    <w:p w14:paraId="543F51B9">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合同条款应答偏离表</w:t>
      </w:r>
    </w:p>
    <w:p w14:paraId="314177CA">
      <w:pPr>
        <w:spacing w:line="360" w:lineRule="auto"/>
        <w:rPr>
          <w:rFonts w:ascii="仿宋" w:hAnsi="仿宋" w:eastAsia="仿宋" w:cs="仿宋"/>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tbl>
      <w:tblPr>
        <w:tblStyle w:val="33"/>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285"/>
        <w:gridCol w:w="2495"/>
        <w:gridCol w:w="2704"/>
        <w:gridCol w:w="1408"/>
      </w:tblGrid>
      <w:tr w14:paraId="0B679D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vAlign w:val="center"/>
          </w:tcPr>
          <w:p w14:paraId="5D5C6A3A">
            <w:pPr>
              <w:spacing w:line="360" w:lineRule="auto"/>
              <w:jc w:val="center"/>
              <w:rPr>
                <w:rFonts w:ascii="仿宋" w:hAnsi="仿宋" w:eastAsia="仿宋" w:cs="仿宋"/>
                <w:szCs w:val="21"/>
              </w:rPr>
            </w:pPr>
            <w:r>
              <w:rPr>
                <w:rFonts w:hint="eastAsia" w:ascii="仿宋" w:hAnsi="仿宋" w:eastAsia="仿宋" w:cs="仿宋"/>
                <w:szCs w:val="21"/>
              </w:rPr>
              <w:t>序号</w:t>
            </w:r>
          </w:p>
        </w:tc>
        <w:tc>
          <w:tcPr>
            <w:tcW w:w="2285" w:type="dxa"/>
            <w:vAlign w:val="center"/>
          </w:tcPr>
          <w:p w14:paraId="4FA3CBA9">
            <w:pPr>
              <w:spacing w:line="360" w:lineRule="auto"/>
              <w:jc w:val="center"/>
              <w:rPr>
                <w:rFonts w:ascii="仿宋" w:hAnsi="仿宋" w:eastAsia="仿宋" w:cs="仿宋"/>
                <w:szCs w:val="21"/>
              </w:rPr>
            </w:pPr>
            <w:r>
              <w:rPr>
                <w:rFonts w:hint="eastAsia" w:ascii="仿宋" w:hAnsi="仿宋" w:eastAsia="仿宋" w:cs="仿宋"/>
                <w:szCs w:val="21"/>
              </w:rPr>
              <w:t>条目号</w:t>
            </w:r>
          </w:p>
        </w:tc>
        <w:tc>
          <w:tcPr>
            <w:tcW w:w="2495" w:type="dxa"/>
            <w:vAlign w:val="center"/>
          </w:tcPr>
          <w:p w14:paraId="3707E919">
            <w:pPr>
              <w:spacing w:line="360" w:lineRule="auto"/>
              <w:jc w:val="center"/>
              <w:rPr>
                <w:rFonts w:ascii="仿宋" w:hAnsi="仿宋" w:eastAsia="仿宋" w:cs="仿宋"/>
                <w:szCs w:val="21"/>
              </w:rPr>
            </w:pPr>
            <w:r>
              <w:rPr>
                <w:rFonts w:hint="eastAsia" w:ascii="仿宋" w:hAnsi="仿宋" w:eastAsia="仿宋" w:cs="仿宋"/>
                <w:szCs w:val="21"/>
              </w:rPr>
              <w:t>原文内容</w:t>
            </w:r>
          </w:p>
        </w:tc>
        <w:tc>
          <w:tcPr>
            <w:tcW w:w="2704" w:type="dxa"/>
            <w:vAlign w:val="center"/>
          </w:tcPr>
          <w:p w14:paraId="05300C8C">
            <w:pPr>
              <w:spacing w:line="360" w:lineRule="auto"/>
              <w:jc w:val="center"/>
              <w:rPr>
                <w:rFonts w:ascii="仿宋" w:hAnsi="仿宋" w:eastAsia="仿宋" w:cs="仿宋"/>
                <w:szCs w:val="21"/>
              </w:rPr>
            </w:pPr>
            <w:r>
              <w:rPr>
                <w:rFonts w:hint="eastAsia" w:ascii="仿宋" w:hAnsi="仿宋" w:eastAsia="仿宋" w:cs="仿宋"/>
                <w:szCs w:val="21"/>
              </w:rPr>
              <w:t>应答</w:t>
            </w:r>
          </w:p>
        </w:tc>
        <w:tc>
          <w:tcPr>
            <w:tcW w:w="1408" w:type="dxa"/>
            <w:vAlign w:val="center"/>
          </w:tcPr>
          <w:p w14:paraId="0AD72DF9">
            <w:pPr>
              <w:spacing w:line="360" w:lineRule="auto"/>
              <w:jc w:val="center"/>
              <w:rPr>
                <w:rFonts w:ascii="仿宋" w:hAnsi="仿宋" w:eastAsia="仿宋" w:cs="仿宋"/>
                <w:szCs w:val="21"/>
              </w:rPr>
            </w:pPr>
            <w:r>
              <w:rPr>
                <w:rFonts w:hint="eastAsia" w:ascii="仿宋" w:hAnsi="仿宋" w:eastAsia="仿宋" w:cs="仿宋"/>
                <w:szCs w:val="21"/>
              </w:rPr>
              <w:t>说明</w:t>
            </w:r>
          </w:p>
        </w:tc>
      </w:tr>
      <w:tr w14:paraId="491134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58FDB0E6">
            <w:pPr>
              <w:spacing w:line="360" w:lineRule="auto"/>
              <w:rPr>
                <w:rFonts w:ascii="仿宋" w:hAnsi="仿宋" w:eastAsia="仿宋" w:cs="仿宋"/>
                <w:szCs w:val="21"/>
              </w:rPr>
            </w:pPr>
          </w:p>
        </w:tc>
        <w:tc>
          <w:tcPr>
            <w:tcW w:w="2285" w:type="dxa"/>
          </w:tcPr>
          <w:p w14:paraId="794C67E7">
            <w:pPr>
              <w:spacing w:line="360" w:lineRule="auto"/>
              <w:rPr>
                <w:rFonts w:ascii="仿宋" w:hAnsi="仿宋" w:eastAsia="仿宋" w:cs="仿宋"/>
                <w:szCs w:val="21"/>
              </w:rPr>
            </w:pPr>
          </w:p>
        </w:tc>
        <w:tc>
          <w:tcPr>
            <w:tcW w:w="2495" w:type="dxa"/>
          </w:tcPr>
          <w:p w14:paraId="1BAEF671">
            <w:pPr>
              <w:spacing w:line="360" w:lineRule="auto"/>
              <w:rPr>
                <w:rFonts w:ascii="仿宋" w:hAnsi="仿宋" w:eastAsia="仿宋" w:cs="仿宋"/>
                <w:szCs w:val="21"/>
              </w:rPr>
            </w:pPr>
          </w:p>
        </w:tc>
        <w:tc>
          <w:tcPr>
            <w:tcW w:w="2704" w:type="dxa"/>
          </w:tcPr>
          <w:p w14:paraId="4B2954DB">
            <w:pPr>
              <w:spacing w:line="360" w:lineRule="auto"/>
              <w:rPr>
                <w:rFonts w:ascii="仿宋" w:hAnsi="仿宋" w:eastAsia="仿宋" w:cs="仿宋"/>
                <w:szCs w:val="21"/>
              </w:rPr>
            </w:pPr>
          </w:p>
        </w:tc>
        <w:tc>
          <w:tcPr>
            <w:tcW w:w="1408" w:type="dxa"/>
          </w:tcPr>
          <w:p w14:paraId="77D1CF5C">
            <w:pPr>
              <w:spacing w:line="360" w:lineRule="auto"/>
              <w:rPr>
                <w:rFonts w:ascii="仿宋" w:hAnsi="仿宋" w:eastAsia="仿宋" w:cs="仿宋"/>
                <w:szCs w:val="21"/>
              </w:rPr>
            </w:pPr>
          </w:p>
        </w:tc>
      </w:tr>
      <w:tr w14:paraId="72FE46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14:paraId="6FE70485">
            <w:pPr>
              <w:spacing w:line="360" w:lineRule="auto"/>
              <w:rPr>
                <w:rFonts w:ascii="仿宋" w:hAnsi="仿宋" w:eastAsia="仿宋" w:cs="仿宋"/>
                <w:szCs w:val="21"/>
              </w:rPr>
            </w:pPr>
          </w:p>
        </w:tc>
        <w:tc>
          <w:tcPr>
            <w:tcW w:w="2285" w:type="dxa"/>
          </w:tcPr>
          <w:p w14:paraId="44381AA0">
            <w:pPr>
              <w:spacing w:line="360" w:lineRule="auto"/>
              <w:rPr>
                <w:rFonts w:ascii="仿宋" w:hAnsi="仿宋" w:eastAsia="仿宋" w:cs="仿宋"/>
                <w:szCs w:val="21"/>
              </w:rPr>
            </w:pPr>
          </w:p>
        </w:tc>
        <w:tc>
          <w:tcPr>
            <w:tcW w:w="2495" w:type="dxa"/>
          </w:tcPr>
          <w:p w14:paraId="4BEB95D9">
            <w:pPr>
              <w:spacing w:line="360" w:lineRule="auto"/>
              <w:rPr>
                <w:rFonts w:ascii="仿宋" w:hAnsi="仿宋" w:eastAsia="仿宋" w:cs="仿宋"/>
                <w:szCs w:val="21"/>
              </w:rPr>
            </w:pPr>
          </w:p>
        </w:tc>
        <w:tc>
          <w:tcPr>
            <w:tcW w:w="2704" w:type="dxa"/>
          </w:tcPr>
          <w:p w14:paraId="59712B5D">
            <w:pPr>
              <w:spacing w:line="360" w:lineRule="auto"/>
              <w:rPr>
                <w:rFonts w:ascii="仿宋" w:hAnsi="仿宋" w:eastAsia="仿宋" w:cs="仿宋"/>
                <w:szCs w:val="21"/>
              </w:rPr>
            </w:pPr>
          </w:p>
        </w:tc>
        <w:tc>
          <w:tcPr>
            <w:tcW w:w="1408" w:type="dxa"/>
          </w:tcPr>
          <w:p w14:paraId="0FC88603">
            <w:pPr>
              <w:spacing w:line="360" w:lineRule="auto"/>
              <w:rPr>
                <w:rFonts w:ascii="仿宋" w:hAnsi="仿宋" w:eastAsia="仿宋" w:cs="仿宋"/>
                <w:szCs w:val="21"/>
              </w:rPr>
            </w:pPr>
          </w:p>
        </w:tc>
      </w:tr>
      <w:tr w14:paraId="711C9F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502F0699">
            <w:pPr>
              <w:spacing w:line="360" w:lineRule="auto"/>
              <w:rPr>
                <w:rFonts w:ascii="仿宋" w:hAnsi="仿宋" w:eastAsia="仿宋" w:cs="仿宋"/>
                <w:szCs w:val="21"/>
              </w:rPr>
            </w:pPr>
          </w:p>
        </w:tc>
        <w:tc>
          <w:tcPr>
            <w:tcW w:w="2285" w:type="dxa"/>
          </w:tcPr>
          <w:p w14:paraId="02447514">
            <w:pPr>
              <w:spacing w:line="360" w:lineRule="auto"/>
              <w:rPr>
                <w:rFonts w:ascii="仿宋" w:hAnsi="仿宋" w:eastAsia="仿宋" w:cs="仿宋"/>
                <w:szCs w:val="21"/>
              </w:rPr>
            </w:pPr>
          </w:p>
        </w:tc>
        <w:tc>
          <w:tcPr>
            <w:tcW w:w="2495" w:type="dxa"/>
          </w:tcPr>
          <w:p w14:paraId="184A7AD7">
            <w:pPr>
              <w:spacing w:line="360" w:lineRule="auto"/>
              <w:rPr>
                <w:rFonts w:ascii="仿宋" w:hAnsi="仿宋" w:eastAsia="仿宋" w:cs="仿宋"/>
                <w:szCs w:val="21"/>
              </w:rPr>
            </w:pPr>
          </w:p>
        </w:tc>
        <w:tc>
          <w:tcPr>
            <w:tcW w:w="2704" w:type="dxa"/>
          </w:tcPr>
          <w:p w14:paraId="5EBFB641">
            <w:pPr>
              <w:spacing w:line="360" w:lineRule="auto"/>
              <w:rPr>
                <w:rFonts w:ascii="仿宋" w:hAnsi="仿宋" w:eastAsia="仿宋" w:cs="仿宋"/>
                <w:szCs w:val="21"/>
              </w:rPr>
            </w:pPr>
          </w:p>
        </w:tc>
        <w:tc>
          <w:tcPr>
            <w:tcW w:w="1408" w:type="dxa"/>
          </w:tcPr>
          <w:p w14:paraId="2D53A259">
            <w:pPr>
              <w:spacing w:line="360" w:lineRule="auto"/>
              <w:rPr>
                <w:rFonts w:ascii="仿宋" w:hAnsi="仿宋" w:eastAsia="仿宋" w:cs="仿宋"/>
                <w:szCs w:val="21"/>
              </w:rPr>
            </w:pPr>
          </w:p>
        </w:tc>
      </w:tr>
      <w:tr w14:paraId="32F75A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3EE9E378">
            <w:pPr>
              <w:spacing w:line="360" w:lineRule="auto"/>
              <w:rPr>
                <w:rFonts w:ascii="仿宋" w:hAnsi="仿宋" w:eastAsia="仿宋" w:cs="仿宋"/>
                <w:szCs w:val="21"/>
              </w:rPr>
            </w:pPr>
          </w:p>
        </w:tc>
        <w:tc>
          <w:tcPr>
            <w:tcW w:w="2285" w:type="dxa"/>
          </w:tcPr>
          <w:p w14:paraId="4D72DCEE">
            <w:pPr>
              <w:spacing w:line="360" w:lineRule="auto"/>
              <w:rPr>
                <w:rFonts w:ascii="仿宋" w:hAnsi="仿宋" w:eastAsia="仿宋" w:cs="仿宋"/>
                <w:szCs w:val="21"/>
              </w:rPr>
            </w:pPr>
          </w:p>
        </w:tc>
        <w:tc>
          <w:tcPr>
            <w:tcW w:w="2495" w:type="dxa"/>
          </w:tcPr>
          <w:p w14:paraId="07D2B5F8">
            <w:pPr>
              <w:spacing w:line="360" w:lineRule="auto"/>
              <w:rPr>
                <w:rFonts w:ascii="仿宋" w:hAnsi="仿宋" w:eastAsia="仿宋" w:cs="仿宋"/>
                <w:szCs w:val="21"/>
              </w:rPr>
            </w:pPr>
          </w:p>
        </w:tc>
        <w:tc>
          <w:tcPr>
            <w:tcW w:w="2704" w:type="dxa"/>
          </w:tcPr>
          <w:p w14:paraId="046EDBB8">
            <w:pPr>
              <w:spacing w:line="360" w:lineRule="auto"/>
              <w:rPr>
                <w:rFonts w:ascii="仿宋" w:hAnsi="仿宋" w:eastAsia="仿宋" w:cs="仿宋"/>
                <w:szCs w:val="21"/>
              </w:rPr>
            </w:pPr>
          </w:p>
        </w:tc>
        <w:tc>
          <w:tcPr>
            <w:tcW w:w="1408" w:type="dxa"/>
          </w:tcPr>
          <w:p w14:paraId="032FA1EA">
            <w:pPr>
              <w:spacing w:line="360" w:lineRule="auto"/>
              <w:rPr>
                <w:rFonts w:ascii="仿宋" w:hAnsi="仿宋" w:eastAsia="仿宋" w:cs="仿宋"/>
                <w:szCs w:val="21"/>
              </w:rPr>
            </w:pPr>
          </w:p>
        </w:tc>
      </w:tr>
      <w:tr w14:paraId="0CA90A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14:paraId="27F08B26">
            <w:pPr>
              <w:spacing w:line="360" w:lineRule="auto"/>
              <w:rPr>
                <w:rFonts w:ascii="仿宋" w:hAnsi="仿宋" w:eastAsia="仿宋" w:cs="仿宋"/>
                <w:szCs w:val="21"/>
              </w:rPr>
            </w:pPr>
          </w:p>
        </w:tc>
        <w:tc>
          <w:tcPr>
            <w:tcW w:w="2285" w:type="dxa"/>
          </w:tcPr>
          <w:p w14:paraId="0106D72B">
            <w:pPr>
              <w:spacing w:line="360" w:lineRule="auto"/>
              <w:rPr>
                <w:rFonts w:ascii="仿宋" w:hAnsi="仿宋" w:eastAsia="仿宋" w:cs="仿宋"/>
                <w:szCs w:val="21"/>
              </w:rPr>
            </w:pPr>
          </w:p>
        </w:tc>
        <w:tc>
          <w:tcPr>
            <w:tcW w:w="2495" w:type="dxa"/>
          </w:tcPr>
          <w:p w14:paraId="080ACA75">
            <w:pPr>
              <w:spacing w:line="360" w:lineRule="auto"/>
              <w:rPr>
                <w:rFonts w:ascii="仿宋" w:hAnsi="仿宋" w:eastAsia="仿宋" w:cs="仿宋"/>
                <w:szCs w:val="21"/>
              </w:rPr>
            </w:pPr>
          </w:p>
        </w:tc>
        <w:tc>
          <w:tcPr>
            <w:tcW w:w="2704" w:type="dxa"/>
          </w:tcPr>
          <w:p w14:paraId="32053B31">
            <w:pPr>
              <w:spacing w:line="360" w:lineRule="auto"/>
              <w:rPr>
                <w:rFonts w:ascii="仿宋" w:hAnsi="仿宋" w:eastAsia="仿宋" w:cs="仿宋"/>
                <w:szCs w:val="21"/>
              </w:rPr>
            </w:pPr>
          </w:p>
        </w:tc>
        <w:tc>
          <w:tcPr>
            <w:tcW w:w="1408" w:type="dxa"/>
          </w:tcPr>
          <w:p w14:paraId="7C234D09">
            <w:pPr>
              <w:spacing w:line="360" w:lineRule="auto"/>
              <w:rPr>
                <w:rFonts w:ascii="仿宋" w:hAnsi="仿宋" w:eastAsia="仿宋" w:cs="仿宋"/>
                <w:szCs w:val="21"/>
              </w:rPr>
            </w:pPr>
          </w:p>
        </w:tc>
      </w:tr>
      <w:tr w14:paraId="303EDE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1E0370B4">
            <w:pPr>
              <w:spacing w:line="360" w:lineRule="auto"/>
              <w:rPr>
                <w:rFonts w:ascii="仿宋" w:hAnsi="仿宋" w:eastAsia="仿宋" w:cs="仿宋"/>
                <w:szCs w:val="21"/>
              </w:rPr>
            </w:pPr>
          </w:p>
        </w:tc>
        <w:tc>
          <w:tcPr>
            <w:tcW w:w="2285" w:type="dxa"/>
          </w:tcPr>
          <w:p w14:paraId="60EC2D13">
            <w:pPr>
              <w:spacing w:line="360" w:lineRule="auto"/>
              <w:rPr>
                <w:rFonts w:ascii="仿宋" w:hAnsi="仿宋" w:eastAsia="仿宋" w:cs="仿宋"/>
                <w:szCs w:val="21"/>
              </w:rPr>
            </w:pPr>
          </w:p>
        </w:tc>
        <w:tc>
          <w:tcPr>
            <w:tcW w:w="2495" w:type="dxa"/>
          </w:tcPr>
          <w:p w14:paraId="607D0170">
            <w:pPr>
              <w:spacing w:line="360" w:lineRule="auto"/>
              <w:rPr>
                <w:rFonts w:ascii="仿宋" w:hAnsi="仿宋" w:eastAsia="仿宋" w:cs="仿宋"/>
                <w:szCs w:val="21"/>
              </w:rPr>
            </w:pPr>
          </w:p>
        </w:tc>
        <w:tc>
          <w:tcPr>
            <w:tcW w:w="2704" w:type="dxa"/>
          </w:tcPr>
          <w:p w14:paraId="070EA741">
            <w:pPr>
              <w:spacing w:line="360" w:lineRule="auto"/>
              <w:rPr>
                <w:rFonts w:ascii="仿宋" w:hAnsi="仿宋" w:eastAsia="仿宋" w:cs="仿宋"/>
                <w:szCs w:val="21"/>
              </w:rPr>
            </w:pPr>
          </w:p>
        </w:tc>
        <w:tc>
          <w:tcPr>
            <w:tcW w:w="1408" w:type="dxa"/>
          </w:tcPr>
          <w:p w14:paraId="689D8E59">
            <w:pPr>
              <w:spacing w:line="360" w:lineRule="auto"/>
              <w:rPr>
                <w:rFonts w:ascii="仿宋" w:hAnsi="仿宋" w:eastAsia="仿宋" w:cs="仿宋"/>
                <w:szCs w:val="21"/>
              </w:rPr>
            </w:pPr>
          </w:p>
        </w:tc>
      </w:tr>
      <w:tr w14:paraId="3660C3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7CA65984">
            <w:pPr>
              <w:spacing w:line="360" w:lineRule="auto"/>
              <w:rPr>
                <w:rFonts w:ascii="仿宋" w:hAnsi="仿宋" w:eastAsia="仿宋" w:cs="仿宋"/>
                <w:szCs w:val="21"/>
              </w:rPr>
            </w:pPr>
          </w:p>
        </w:tc>
        <w:tc>
          <w:tcPr>
            <w:tcW w:w="2285" w:type="dxa"/>
          </w:tcPr>
          <w:p w14:paraId="1ADEB027">
            <w:pPr>
              <w:spacing w:line="360" w:lineRule="auto"/>
              <w:rPr>
                <w:rFonts w:ascii="仿宋" w:hAnsi="仿宋" w:eastAsia="仿宋" w:cs="仿宋"/>
                <w:szCs w:val="21"/>
              </w:rPr>
            </w:pPr>
          </w:p>
        </w:tc>
        <w:tc>
          <w:tcPr>
            <w:tcW w:w="2495" w:type="dxa"/>
          </w:tcPr>
          <w:p w14:paraId="19F8941A">
            <w:pPr>
              <w:spacing w:line="360" w:lineRule="auto"/>
              <w:rPr>
                <w:rFonts w:ascii="仿宋" w:hAnsi="仿宋" w:eastAsia="仿宋" w:cs="仿宋"/>
                <w:szCs w:val="21"/>
              </w:rPr>
            </w:pPr>
          </w:p>
        </w:tc>
        <w:tc>
          <w:tcPr>
            <w:tcW w:w="2704" w:type="dxa"/>
          </w:tcPr>
          <w:p w14:paraId="43A47D48">
            <w:pPr>
              <w:spacing w:line="360" w:lineRule="auto"/>
              <w:rPr>
                <w:rFonts w:ascii="仿宋" w:hAnsi="仿宋" w:eastAsia="仿宋" w:cs="仿宋"/>
                <w:szCs w:val="21"/>
              </w:rPr>
            </w:pPr>
          </w:p>
        </w:tc>
        <w:tc>
          <w:tcPr>
            <w:tcW w:w="1408" w:type="dxa"/>
          </w:tcPr>
          <w:p w14:paraId="041E9D8C">
            <w:pPr>
              <w:spacing w:line="360" w:lineRule="auto"/>
              <w:rPr>
                <w:rFonts w:ascii="仿宋" w:hAnsi="仿宋" w:eastAsia="仿宋" w:cs="仿宋"/>
                <w:szCs w:val="21"/>
              </w:rPr>
            </w:pPr>
          </w:p>
        </w:tc>
      </w:tr>
      <w:tr w14:paraId="5FABFC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14:paraId="3F7289F1">
            <w:pPr>
              <w:spacing w:line="360" w:lineRule="auto"/>
              <w:rPr>
                <w:rFonts w:ascii="仿宋" w:hAnsi="仿宋" w:eastAsia="仿宋" w:cs="仿宋"/>
                <w:szCs w:val="21"/>
              </w:rPr>
            </w:pPr>
          </w:p>
        </w:tc>
        <w:tc>
          <w:tcPr>
            <w:tcW w:w="2285" w:type="dxa"/>
          </w:tcPr>
          <w:p w14:paraId="218E69CD">
            <w:pPr>
              <w:spacing w:line="360" w:lineRule="auto"/>
              <w:rPr>
                <w:rFonts w:ascii="仿宋" w:hAnsi="仿宋" w:eastAsia="仿宋" w:cs="仿宋"/>
                <w:szCs w:val="21"/>
              </w:rPr>
            </w:pPr>
          </w:p>
        </w:tc>
        <w:tc>
          <w:tcPr>
            <w:tcW w:w="2495" w:type="dxa"/>
          </w:tcPr>
          <w:p w14:paraId="4ED772FD">
            <w:pPr>
              <w:spacing w:line="360" w:lineRule="auto"/>
              <w:rPr>
                <w:rFonts w:ascii="仿宋" w:hAnsi="仿宋" w:eastAsia="仿宋" w:cs="仿宋"/>
                <w:szCs w:val="21"/>
              </w:rPr>
            </w:pPr>
          </w:p>
        </w:tc>
        <w:tc>
          <w:tcPr>
            <w:tcW w:w="2704" w:type="dxa"/>
          </w:tcPr>
          <w:p w14:paraId="6E01120C">
            <w:pPr>
              <w:spacing w:line="360" w:lineRule="auto"/>
              <w:rPr>
                <w:rFonts w:ascii="仿宋" w:hAnsi="仿宋" w:eastAsia="仿宋" w:cs="仿宋"/>
                <w:szCs w:val="21"/>
              </w:rPr>
            </w:pPr>
          </w:p>
        </w:tc>
        <w:tc>
          <w:tcPr>
            <w:tcW w:w="1408" w:type="dxa"/>
          </w:tcPr>
          <w:p w14:paraId="36319B90">
            <w:pPr>
              <w:spacing w:line="360" w:lineRule="auto"/>
              <w:rPr>
                <w:rFonts w:ascii="仿宋" w:hAnsi="仿宋" w:eastAsia="仿宋" w:cs="仿宋"/>
                <w:szCs w:val="21"/>
              </w:rPr>
            </w:pPr>
          </w:p>
        </w:tc>
      </w:tr>
      <w:tr w14:paraId="3E890A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14:paraId="2680FFA6">
            <w:pPr>
              <w:spacing w:line="360" w:lineRule="auto"/>
              <w:rPr>
                <w:rFonts w:ascii="仿宋" w:hAnsi="仿宋" w:eastAsia="仿宋" w:cs="仿宋"/>
                <w:szCs w:val="21"/>
              </w:rPr>
            </w:pPr>
          </w:p>
        </w:tc>
        <w:tc>
          <w:tcPr>
            <w:tcW w:w="2285" w:type="dxa"/>
          </w:tcPr>
          <w:p w14:paraId="60F4F682">
            <w:pPr>
              <w:spacing w:line="360" w:lineRule="auto"/>
              <w:rPr>
                <w:rFonts w:ascii="仿宋" w:hAnsi="仿宋" w:eastAsia="仿宋" w:cs="仿宋"/>
                <w:szCs w:val="21"/>
              </w:rPr>
            </w:pPr>
          </w:p>
        </w:tc>
        <w:tc>
          <w:tcPr>
            <w:tcW w:w="2495" w:type="dxa"/>
          </w:tcPr>
          <w:p w14:paraId="5B4CCD6E">
            <w:pPr>
              <w:spacing w:line="360" w:lineRule="auto"/>
              <w:rPr>
                <w:rFonts w:ascii="仿宋" w:hAnsi="仿宋" w:eastAsia="仿宋" w:cs="仿宋"/>
                <w:szCs w:val="21"/>
              </w:rPr>
            </w:pPr>
          </w:p>
        </w:tc>
        <w:tc>
          <w:tcPr>
            <w:tcW w:w="2704" w:type="dxa"/>
          </w:tcPr>
          <w:p w14:paraId="067D4F16">
            <w:pPr>
              <w:spacing w:line="360" w:lineRule="auto"/>
              <w:rPr>
                <w:rFonts w:ascii="仿宋" w:hAnsi="仿宋" w:eastAsia="仿宋" w:cs="仿宋"/>
                <w:szCs w:val="21"/>
              </w:rPr>
            </w:pPr>
          </w:p>
        </w:tc>
        <w:tc>
          <w:tcPr>
            <w:tcW w:w="1408" w:type="dxa"/>
          </w:tcPr>
          <w:p w14:paraId="126E8C1B">
            <w:pPr>
              <w:spacing w:line="360" w:lineRule="auto"/>
              <w:rPr>
                <w:rFonts w:ascii="仿宋" w:hAnsi="仿宋" w:eastAsia="仿宋" w:cs="仿宋"/>
                <w:szCs w:val="21"/>
              </w:rPr>
            </w:pPr>
          </w:p>
        </w:tc>
      </w:tr>
      <w:tr w14:paraId="1668FC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14:paraId="6514D9A1">
            <w:pPr>
              <w:spacing w:line="360" w:lineRule="auto"/>
              <w:rPr>
                <w:rFonts w:ascii="仿宋" w:hAnsi="仿宋" w:eastAsia="仿宋" w:cs="仿宋"/>
                <w:szCs w:val="21"/>
              </w:rPr>
            </w:pPr>
          </w:p>
        </w:tc>
        <w:tc>
          <w:tcPr>
            <w:tcW w:w="2285" w:type="dxa"/>
          </w:tcPr>
          <w:p w14:paraId="410FB23B">
            <w:pPr>
              <w:spacing w:line="360" w:lineRule="auto"/>
              <w:rPr>
                <w:rFonts w:ascii="仿宋" w:hAnsi="仿宋" w:eastAsia="仿宋" w:cs="仿宋"/>
                <w:szCs w:val="21"/>
              </w:rPr>
            </w:pPr>
          </w:p>
        </w:tc>
        <w:tc>
          <w:tcPr>
            <w:tcW w:w="2495" w:type="dxa"/>
          </w:tcPr>
          <w:p w14:paraId="22F02D6A">
            <w:pPr>
              <w:spacing w:line="360" w:lineRule="auto"/>
              <w:rPr>
                <w:rFonts w:ascii="仿宋" w:hAnsi="仿宋" w:eastAsia="仿宋" w:cs="仿宋"/>
                <w:szCs w:val="21"/>
              </w:rPr>
            </w:pPr>
          </w:p>
        </w:tc>
        <w:tc>
          <w:tcPr>
            <w:tcW w:w="2704" w:type="dxa"/>
          </w:tcPr>
          <w:p w14:paraId="4DDF6B88">
            <w:pPr>
              <w:spacing w:line="360" w:lineRule="auto"/>
              <w:rPr>
                <w:rFonts w:ascii="仿宋" w:hAnsi="仿宋" w:eastAsia="仿宋" w:cs="仿宋"/>
                <w:szCs w:val="21"/>
              </w:rPr>
            </w:pPr>
          </w:p>
        </w:tc>
        <w:tc>
          <w:tcPr>
            <w:tcW w:w="1408" w:type="dxa"/>
          </w:tcPr>
          <w:p w14:paraId="180960FE">
            <w:pPr>
              <w:spacing w:line="360" w:lineRule="auto"/>
              <w:rPr>
                <w:rFonts w:ascii="仿宋" w:hAnsi="仿宋" w:eastAsia="仿宋" w:cs="仿宋"/>
                <w:szCs w:val="21"/>
              </w:rPr>
            </w:pPr>
          </w:p>
        </w:tc>
      </w:tr>
    </w:tbl>
    <w:p w14:paraId="0621589F">
      <w:pPr>
        <w:spacing w:line="360" w:lineRule="auto"/>
        <w:ind w:left="480" w:hanging="480" w:hangingChars="200"/>
        <w:rPr>
          <w:rFonts w:ascii="仿宋" w:hAnsi="仿宋" w:eastAsia="仿宋" w:cs="仿宋"/>
          <w:b/>
          <w:bCs/>
          <w:sz w:val="24"/>
          <w:szCs w:val="24"/>
        </w:rPr>
      </w:pPr>
      <w:r>
        <w:rPr>
          <w:rFonts w:hint="eastAsia" w:ascii="仿宋" w:hAnsi="仿宋" w:eastAsia="仿宋" w:cs="仿宋"/>
          <w:sz w:val="24"/>
          <w:szCs w:val="24"/>
        </w:rPr>
        <w:t>注：所有偏离必须在本表中列出，未在本偏离表中列出偏离，将视为投标人已完全接受招标文件要求。</w:t>
      </w:r>
      <w:r>
        <w:rPr>
          <w:rFonts w:hint="eastAsia" w:ascii="仿宋" w:hAnsi="仿宋" w:eastAsia="仿宋" w:cs="仿宋"/>
          <w:b/>
          <w:bCs/>
          <w:sz w:val="24"/>
          <w:szCs w:val="24"/>
        </w:rPr>
        <w:t>如全部满足，在偏离表中应答“全部满足”即可。</w:t>
      </w:r>
    </w:p>
    <w:p w14:paraId="4D0D78CA">
      <w:pPr>
        <w:spacing w:line="360" w:lineRule="auto"/>
        <w:ind w:firstLine="4080" w:firstLineChars="1700"/>
        <w:jc w:val="right"/>
        <w:rPr>
          <w:rFonts w:ascii="仿宋" w:hAnsi="仿宋" w:eastAsia="仿宋" w:cs="仿宋"/>
          <w:sz w:val="24"/>
          <w:szCs w:val="24"/>
        </w:rPr>
      </w:pPr>
    </w:p>
    <w:p w14:paraId="3BAF2FE3">
      <w:pPr>
        <w:spacing w:line="360" w:lineRule="auto"/>
        <w:ind w:firstLine="4080" w:firstLineChars="1700"/>
        <w:jc w:val="right"/>
        <w:rPr>
          <w:rFonts w:ascii="仿宋" w:hAnsi="仿宋" w:eastAsia="仿宋" w:cs="仿宋"/>
          <w:sz w:val="24"/>
          <w:szCs w:val="24"/>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59BA2FFD">
      <w:pPr>
        <w:spacing w:line="360" w:lineRule="auto"/>
        <w:jc w:val="right"/>
        <w:rPr>
          <w:rFonts w:ascii="仿宋" w:hAnsi="仿宋" w:eastAsia="仿宋" w:cs="仿宋"/>
        </w:rPr>
        <w:sectPr>
          <w:pgSz w:w="11906" w:h="16838"/>
          <w:pgMar w:top="1417" w:right="1134" w:bottom="1134" w:left="1134" w:header="851" w:footer="992" w:gutter="0"/>
          <w:cols w:space="720" w:num="1"/>
          <w:titlePg/>
          <w:docGrid w:type="lines" w:linePitch="312" w:charSpace="0"/>
        </w:sect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70166F7C">
      <w:pPr>
        <w:pStyle w:val="5"/>
        <w:spacing w:line="360" w:lineRule="auto"/>
        <w:rPr>
          <w:rFonts w:hint="default" w:ascii="仿宋" w:hAnsi="仿宋" w:cs="仿宋"/>
          <w:szCs w:val="24"/>
        </w:rPr>
      </w:pPr>
      <w:bookmarkStart w:id="974" w:name="_Toc7499"/>
      <w:bookmarkStart w:id="975" w:name="_Toc28273"/>
      <w:bookmarkStart w:id="976" w:name="_Toc23768"/>
      <w:bookmarkStart w:id="977" w:name="_Toc24217"/>
      <w:bookmarkStart w:id="978" w:name="_Toc7110"/>
      <w:bookmarkStart w:id="979" w:name="_Toc76569394"/>
      <w:bookmarkStart w:id="980" w:name="_Toc109124325"/>
      <w:bookmarkStart w:id="981" w:name="_Toc65683012"/>
      <w:bookmarkStart w:id="982" w:name="_Toc17493"/>
      <w:r>
        <w:rPr>
          <w:rFonts w:ascii="仿宋" w:hAnsi="仿宋" w:cs="仿宋"/>
          <w:szCs w:val="24"/>
        </w:rPr>
        <w:t>（七）供应商行为准则承诺书</w:t>
      </w:r>
      <w:bookmarkEnd w:id="974"/>
      <w:bookmarkEnd w:id="975"/>
      <w:bookmarkEnd w:id="976"/>
      <w:bookmarkEnd w:id="977"/>
      <w:bookmarkEnd w:id="978"/>
      <w:bookmarkEnd w:id="979"/>
      <w:bookmarkEnd w:id="980"/>
    </w:p>
    <w:p w14:paraId="27B4324E">
      <w:pPr>
        <w:spacing w:line="360" w:lineRule="auto"/>
        <w:jc w:val="center"/>
        <w:rPr>
          <w:rFonts w:ascii="仿宋" w:hAnsi="仿宋" w:eastAsia="仿宋" w:cs="仿宋"/>
          <w:b/>
          <w:bCs/>
          <w:sz w:val="28"/>
          <w:szCs w:val="28"/>
        </w:rPr>
      </w:pPr>
      <w:r>
        <w:rPr>
          <w:rFonts w:hint="eastAsia" w:ascii="仿宋" w:hAnsi="仿宋" w:eastAsia="仿宋" w:cs="仿宋"/>
          <w:b/>
          <w:bCs/>
          <w:sz w:val="28"/>
          <w:szCs w:val="28"/>
        </w:rPr>
        <w:t>供应商行为准则承诺书</w:t>
      </w:r>
    </w:p>
    <w:p w14:paraId="12B9B9F6">
      <w:pPr>
        <w:spacing w:line="360" w:lineRule="auto"/>
        <w:ind w:firstLine="480" w:firstLineChars="200"/>
        <w:rPr>
          <w:rFonts w:ascii="仿宋" w:hAnsi="仿宋" w:eastAsia="仿宋" w:cs="仿宋"/>
          <w:sz w:val="24"/>
        </w:rPr>
      </w:pPr>
      <w:bookmarkStart w:id="983" w:name="_Toc15599"/>
      <w:bookmarkStart w:id="984" w:name="_Toc76569395"/>
      <w:bookmarkStart w:id="985" w:name="_Toc109124326"/>
    </w:p>
    <w:p w14:paraId="120047AA">
      <w:pPr>
        <w:spacing w:line="360" w:lineRule="auto"/>
        <w:ind w:firstLine="480" w:firstLineChars="200"/>
        <w:rPr>
          <w:rFonts w:ascii="仿宋" w:hAnsi="仿宋" w:eastAsia="仿宋" w:cs="仿宋"/>
          <w:sz w:val="24"/>
        </w:rPr>
      </w:pPr>
      <w:r>
        <w:rPr>
          <w:rFonts w:hint="eastAsia" w:ascii="仿宋" w:hAnsi="仿宋" w:eastAsia="仿宋" w:cs="仿宋"/>
          <w:sz w:val="24"/>
        </w:rPr>
        <w:t>一、参加中国人民保险集团公司、各子公司以及各级分支机构（以下简称“中国人民保险”）采购项目的供应商，不属于禁止交易的中国人民保险集团干部员工关系企业，必须维护中国人民保险的核心价值，在与中国人民保险合作时必须坚守对道德、社会及环境保护负责任的原则，促进公平和可持续发展。所有供应商（包括供应商及其员工、附属公司、关联企业及供应商分包的任何第三方在内）在与中国人民保险进行业务往来或参与任何与中国人民保险有关的活动时，都应遵守供应商行为准则（以下简称“本准则”）。</w:t>
      </w:r>
    </w:p>
    <w:p w14:paraId="5AD157E5">
      <w:pPr>
        <w:spacing w:line="360" w:lineRule="auto"/>
        <w:ind w:firstLine="480" w:firstLineChars="200"/>
        <w:rPr>
          <w:rFonts w:ascii="仿宋" w:hAnsi="仿宋" w:eastAsia="仿宋" w:cs="仿宋"/>
          <w:sz w:val="24"/>
        </w:rPr>
      </w:pPr>
      <w:r>
        <w:rPr>
          <w:rFonts w:hint="eastAsia" w:ascii="仿宋" w:hAnsi="仿宋" w:eastAsia="仿宋" w:cs="仿宋"/>
          <w:sz w:val="24"/>
        </w:rPr>
        <w:t>供应商经营业务时必须遵守所有适用的法律法规及相关政策等规定。如因违反任何适用的法律、法规而可能影响其按照本准则向中国人民保险提供产品及服务的能力时，应立即通知中国人民保险。</w:t>
      </w:r>
    </w:p>
    <w:p w14:paraId="186FB575">
      <w:pPr>
        <w:spacing w:line="360" w:lineRule="auto"/>
        <w:ind w:firstLine="470" w:firstLineChars="196"/>
        <w:rPr>
          <w:rFonts w:ascii="仿宋" w:hAnsi="仿宋" w:eastAsia="仿宋" w:cs="仿宋"/>
          <w:sz w:val="24"/>
        </w:rPr>
      </w:pPr>
      <w:r>
        <w:rPr>
          <w:rFonts w:hint="eastAsia" w:ascii="仿宋" w:hAnsi="仿宋" w:eastAsia="仿宋" w:cs="仿宋"/>
          <w:sz w:val="24"/>
        </w:rPr>
        <w:t>二、供应商应有道德地从事商业活动，坚持公平竞争原则，遵守其经营所在地及国家所有适用的反腐败法律、法规，不得有贿赂、腐败、恶意串通、恶意欺诈或其他损害中国人民保险利益的不良行为。</w:t>
      </w:r>
    </w:p>
    <w:p w14:paraId="5ED3EA37">
      <w:pPr>
        <w:spacing w:line="360" w:lineRule="auto"/>
        <w:ind w:firstLine="470" w:firstLineChars="196"/>
        <w:rPr>
          <w:rFonts w:ascii="仿宋" w:hAnsi="仿宋" w:eastAsia="仿宋" w:cs="仿宋"/>
          <w:sz w:val="24"/>
        </w:rPr>
      </w:pPr>
      <w:r>
        <w:rPr>
          <w:rFonts w:hint="eastAsia" w:ascii="仿宋" w:hAnsi="仿宋" w:eastAsia="仿宋" w:cs="仿宋"/>
          <w:sz w:val="24"/>
        </w:rPr>
        <w:t>三、供应商应遵守当地与环境保护相关的法律及法规，符合国家和地方的节能降耗政策，低碳运营，合规排放。鼓励供应商建立并保持环境管理体系，制定环境政策和方针，确定环境管理目标和管理方法，并在组织内进行沟通，适当时在供应链上传递组织的环境理念。</w:t>
      </w:r>
    </w:p>
    <w:p w14:paraId="055EBF5C">
      <w:pPr>
        <w:spacing w:line="360" w:lineRule="auto"/>
        <w:ind w:firstLine="470" w:firstLineChars="196"/>
        <w:rPr>
          <w:rFonts w:ascii="仿宋" w:hAnsi="仿宋" w:eastAsia="仿宋" w:cs="仿宋"/>
          <w:sz w:val="24"/>
        </w:rPr>
      </w:pPr>
      <w:r>
        <w:rPr>
          <w:rFonts w:hint="eastAsia" w:ascii="仿宋" w:hAnsi="仿宋" w:eastAsia="仿宋" w:cs="仿宋"/>
          <w:sz w:val="24"/>
        </w:rPr>
        <w:t>四、供应商应遵守所有适用的有关工作时间、工资福利、工作条件、职业健康和安全以及劳资关系的法律、法规。包括但不限于：实施公平、非歧视的雇用政策，不得雇用任何类别的强迫劳工，不得雇佣童工，当发现有童工现象时，应采取补救措施；遵从不低于经营所在地当地及国家适用的法定最低工资水平及自律守则；确保雇员的工作时间合理，并符合经营所在地当地法规和行业惯例及国家适用的法律法规要求；确保雇员获得劳动安全卫生保护、接受职业技能培训等权利；遵守经营所在地所适用的职业健康及安全生产相关法律法规要求，向雇员提供安全及健康的工作环境。</w:t>
      </w:r>
    </w:p>
    <w:p w14:paraId="71AF2AF6">
      <w:pPr>
        <w:spacing w:line="360" w:lineRule="auto"/>
        <w:ind w:firstLine="470" w:firstLineChars="196"/>
        <w:rPr>
          <w:rFonts w:ascii="仿宋" w:hAnsi="仿宋" w:eastAsia="仿宋" w:cs="仿宋"/>
          <w:sz w:val="24"/>
        </w:rPr>
      </w:pPr>
      <w:r>
        <w:rPr>
          <w:rFonts w:hint="eastAsia" w:ascii="仿宋" w:hAnsi="仿宋" w:eastAsia="仿宋" w:cs="仿宋"/>
          <w:sz w:val="24"/>
        </w:rPr>
        <w:t>五、供应商必须遵守信息隐私保护的法律及法规。由中国人民保险提供的所有信息，或与中国人民保险的业务往来期间所获取的所有信息（以下简称“中国人民保险的信息”），应被视为商业秘密、敏感及专有信息。供应商只有经授权或按照法律规定方可披露中国人民保险的信息，且不得向未经授权的第三方或公众披露中国人民保险的信息。未经中国人民保险的事先书面同意，供应商不得聘请或授权任何第三方服务的供应商处理中国人民保险的信息。涉及国家秘密的，严格遵守国家和中国人民保险相关规定。</w:t>
      </w:r>
    </w:p>
    <w:p w14:paraId="7775259B">
      <w:pPr>
        <w:spacing w:line="360" w:lineRule="auto"/>
        <w:ind w:firstLine="470" w:firstLineChars="196"/>
        <w:rPr>
          <w:rFonts w:ascii="仿宋" w:hAnsi="仿宋" w:eastAsia="仿宋" w:cs="仿宋"/>
          <w:sz w:val="24"/>
        </w:rPr>
      </w:pPr>
      <w:r>
        <w:rPr>
          <w:rFonts w:hint="eastAsia" w:ascii="仿宋" w:hAnsi="仿宋" w:eastAsia="仿宋" w:cs="仿宋"/>
          <w:sz w:val="24"/>
        </w:rPr>
        <w:t>六、供应商在运营过程中以及为中国人民保险提供服务的过程中，不得有违反知识产权保护法规的行为。供应商应承认且尊重与中国人民保险相关的商标、版权、设计及专利上的知识产权，不得从事可能会侵犯中国人民保险知识产权或损坏中国人民保险声誉的任何活动。</w:t>
      </w:r>
    </w:p>
    <w:p w14:paraId="4FEBBDC5">
      <w:pPr>
        <w:spacing w:line="360" w:lineRule="auto"/>
        <w:ind w:firstLine="470" w:firstLineChars="196"/>
        <w:rPr>
          <w:rFonts w:ascii="仿宋" w:hAnsi="仿宋" w:eastAsia="仿宋" w:cs="仿宋"/>
          <w:sz w:val="24"/>
        </w:rPr>
      </w:pPr>
      <w:r>
        <w:rPr>
          <w:rFonts w:hint="eastAsia" w:ascii="仿宋" w:hAnsi="仿宋" w:eastAsia="仿宋" w:cs="仿宋"/>
          <w:sz w:val="24"/>
        </w:rPr>
        <w:t>七、供应商应采取适当行动以确保其员工了解并遵守本守则的理念，并应用于其供应链（如适用）。在给予供应商合理通知的情况下，中国人民保险保留对供应商实施本守则的合规性进行审计的权利，即要求供应商根据需要提供相关文件及其他信息，以证明如何满足本准则的要求。</w:t>
      </w:r>
    </w:p>
    <w:p w14:paraId="31A8D75E">
      <w:pPr>
        <w:spacing w:line="360" w:lineRule="auto"/>
        <w:ind w:firstLine="480" w:firstLineChars="200"/>
        <w:rPr>
          <w:rFonts w:ascii="仿宋" w:hAnsi="仿宋" w:eastAsia="仿宋" w:cs="仿宋"/>
          <w:sz w:val="24"/>
        </w:rPr>
      </w:pPr>
      <w:r>
        <w:rPr>
          <w:rFonts w:hint="eastAsia" w:ascii="仿宋" w:hAnsi="仿宋" w:eastAsia="仿宋" w:cs="仿宋"/>
          <w:sz w:val="24"/>
        </w:rPr>
        <w:t>八、供应商承诺遵守中国人民保险有关采购管理和供应商管理的相关规定、履行相应义务。</w:t>
      </w:r>
    </w:p>
    <w:p w14:paraId="1F9CD089">
      <w:pPr>
        <w:spacing w:line="360" w:lineRule="auto"/>
        <w:ind w:firstLine="480" w:firstLineChars="200"/>
        <w:rPr>
          <w:rFonts w:ascii="仿宋" w:hAnsi="仿宋" w:eastAsia="仿宋" w:cs="仿宋"/>
          <w:sz w:val="24"/>
        </w:rPr>
      </w:pPr>
      <w:r>
        <w:rPr>
          <w:rFonts w:hint="eastAsia" w:ascii="仿宋" w:hAnsi="仿宋" w:eastAsia="仿宋" w:cs="仿宋"/>
          <w:sz w:val="24"/>
        </w:rPr>
        <w:t>九、供应商参与中国人民保险采购过程中，将认真阅读并理解邀请文件的内容，并保证严格保密文件内容，不泄露中国人民保险任何信息。</w:t>
      </w:r>
    </w:p>
    <w:p w14:paraId="28CB8566">
      <w:pPr>
        <w:spacing w:line="360" w:lineRule="auto"/>
        <w:ind w:firstLine="480" w:firstLineChars="200"/>
        <w:rPr>
          <w:rFonts w:ascii="仿宋" w:hAnsi="仿宋" w:eastAsia="仿宋" w:cs="仿宋"/>
          <w:sz w:val="24"/>
        </w:rPr>
      </w:pPr>
      <w:r>
        <w:rPr>
          <w:rFonts w:hint="eastAsia" w:ascii="仿宋" w:hAnsi="仿宋" w:eastAsia="仿宋" w:cs="仿宋"/>
          <w:sz w:val="24"/>
        </w:rPr>
        <w:t>十、供应商保证所递交的投标文件、资格证明、产品资料、合同等文件内容的真实性、有效性；愿意承担虚构信息及伪造资格证明、合同等违背诚实信用原则导致的一切不利后果。</w:t>
      </w:r>
    </w:p>
    <w:p w14:paraId="12A849B8">
      <w:pPr>
        <w:spacing w:line="360" w:lineRule="auto"/>
        <w:ind w:firstLine="480" w:firstLineChars="200"/>
        <w:rPr>
          <w:rFonts w:ascii="仿宋" w:hAnsi="仿宋" w:eastAsia="仿宋" w:cs="仿宋"/>
          <w:sz w:val="24"/>
        </w:rPr>
      </w:pPr>
      <w:r>
        <w:rPr>
          <w:rFonts w:hint="eastAsia" w:ascii="仿宋" w:hAnsi="仿宋" w:eastAsia="仿宋" w:cs="仿宋"/>
          <w:sz w:val="24"/>
        </w:rPr>
        <w:t>十一、供应商承诺根据中国人民保险的要求提供供应产品的市场参考价格，并保证该数据的真实性与时效性；如提供不实或虚假数据的，自愿接受录入中国人民保险供应商诚信档案记录的不利后果。</w:t>
      </w:r>
    </w:p>
    <w:p w14:paraId="6227CF7B">
      <w:pPr>
        <w:spacing w:line="360" w:lineRule="auto"/>
        <w:ind w:firstLine="480" w:firstLineChars="200"/>
        <w:rPr>
          <w:rFonts w:ascii="仿宋" w:hAnsi="仿宋" w:eastAsia="仿宋" w:cs="仿宋"/>
          <w:sz w:val="24"/>
        </w:rPr>
      </w:pPr>
      <w:r>
        <w:rPr>
          <w:rFonts w:hint="eastAsia" w:ascii="仿宋" w:hAnsi="仿宋" w:eastAsia="仿宋" w:cs="仿宋"/>
          <w:sz w:val="24"/>
        </w:rPr>
        <w:t>十二、如果供应商（包括咨询顾问、董事、雇员、代理人和代表）违反或未履行本承诺下的任何规定、保证及陈述，将自愿对因违反或未履行承诺书的规定而对中国人民保险造成的直接损失进行赔偿。</w:t>
      </w:r>
    </w:p>
    <w:p w14:paraId="702CF434">
      <w:pPr>
        <w:spacing w:line="360" w:lineRule="auto"/>
        <w:ind w:firstLine="480" w:firstLineChars="200"/>
        <w:rPr>
          <w:rFonts w:ascii="仿宋" w:hAnsi="仿宋" w:eastAsia="仿宋" w:cs="仿宋"/>
          <w:sz w:val="24"/>
        </w:rPr>
      </w:pPr>
      <w:r>
        <w:rPr>
          <w:rFonts w:hint="eastAsia" w:ascii="仿宋" w:hAnsi="仿宋" w:eastAsia="仿宋" w:cs="仿宋"/>
          <w:sz w:val="24"/>
        </w:rPr>
        <w:t>十三、采购过程中涉及函件往来的，使用供应商以下地址及联系方式：</w:t>
      </w:r>
    </w:p>
    <w:p w14:paraId="2A137E74">
      <w:pPr>
        <w:spacing w:line="360" w:lineRule="auto"/>
        <w:ind w:firstLine="480" w:firstLineChars="200"/>
        <w:rPr>
          <w:rFonts w:ascii="仿宋" w:hAnsi="仿宋" w:eastAsia="仿宋" w:cs="仿宋"/>
          <w:sz w:val="24"/>
        </w:rPr>
      </w:pPr>
      <w:r>
        <w:rPr>
          <w:rFonts w:hint="eastAsia" w:ascii="仿宋" w:hAnsi="仿宋" w:eastAsia="仿宋" w:cs="仿宋"/>
          <w:sz w:val="24"/>
        </w:rPr>
        <w:t>公司名称（全称、盖章）：________________</w:t>
      </w:r>
    </w:p>
    <w:p w14:paraId="7A7D599E">
      <w:pPr>
        <w:spacing w:line="360" w:lineRule="auto"/>
        <w:ind w:firstLine="480" w:firstLineChars="200"/>
        <w:rPr>
          <w:rFonts w:ascii="仿宋" w:hAnsi="仿宋" w:eastAsia="仿宋" w:cs="仿宋"/>
          <w:sz w:val="24"/>
        </w:rPr>
      </w:pPr>
      <w:r>
        <w:rPr>
          <w:rFonts w:hint="eastAsia" w:ascii="仿宋" w:hAnsi="仿宋" w:eastAsia="仿宋" w:cs="仿宋"/>
          <w:sz w:val="24"/>
        </w:rPr>
        <w:t>法定代表人（负责人）姓名、职务：__________________</w:t>
      </w:r>
    </w:p>
    <w:p w14:paraId="7B5110CC">
      <w:pPr>
        <w:spacing w:line="360" w:lineRule="auto"/>
        <w:ind w:firstLine="480" w:firstLineChars="200"/>
        <w:rPr>
          <w:rFonts w:ascii="仿宋" w:hAnsi="仿宋" w:eastAsia="仿宋" w:cs="仿宋"/>
          <w:sz w:val="24"/>
        </w:rPr>
      </w:pPr>
      <w:r>
        <w:rPr>
          <w:rFonts w:hint="eastAsia" w:ascii="仿宋" w:hAnsi="仿宋" w:eastAsia="仿宋" w:cs="仿宋"/>
          <w:sz w:val="24"/>
        </w:rPr>
        <w:t>邮编：__________地址：__________________</w:t>
      </w:r>
    </w:p>
    <w:p w14:paraId="2DF3BF4D">
      <w:pPr>
        <w:spacing w:line="360" w:lineRule="auto"/>
        <w:ind w:firstLine="480" w:firstLineChars="200"/>
        <w:rPr>
          <w:rFonts w:ascii="仿宋" w:hAnsi="仿宋" w:eastAsia="仿宋" w:cs="仿宋"/>
          <w:sz w:val="24"/>
        </w:rPr>
      </w:pPr>
      <w:r>
        <w:rPr>
          <w:rFonts w:hint="eastAsia" w:ascii="仿宋" w:hAnsi="仿宋" w:eastAsia="仿宋" w:cs="仿宋"/>
          <w:sz w:val="24"/>
        </w:rPr>
        <w:t>电话：__________传真：__________________</w:t>
      </w:r>
    </w:p>
    <w:p w14:paraId="4E026E3B">
      <w:pPr>
        <w:pStyle w:val="123"/>
        <w:tabs>
          <w:tab w:val="left" w:pos="3060"/>
        </w:tabs>
        <w:spacing w:after="156"/>
        <w:ind w:firstLine="480"/>
        <w:jc w:val="both"/>
        <w:rPr>
          <w:rFonts w:ascii="仿宋" w:hAnsi="仿宋" w:eastAsia="仿宋" w:cs="仿宋"/>
          <w:b w:val="0"/>
          <w:bCs/>
          <w:sz w:val="24"/>
        </w:rPr>
      </w:pPr>
      <w:r>
        <w:rPr>
          <w:rFonts w:hint="eastAsia" w:ascii="仿宋" w:hAnsi="仿宋" w:eastAsia="仿宋" w:cs="仿宋"/>
          <w:b w:val="0"/>
          <w:bCs/>
          <w:sz w:val="24"/>
        </w:rPr>
        <w:t>法定代表人（负责人）或授权代表签字：______________</w:t>
      </w:r>
    </w:p>
    <w:p w14:paraId="7515F129">
      <w:pPr>
        <w:pStyle w:val="5"/>
        <w:spacing w:line="360" w:lineRule="auto"/>
        <w:rPr>
          <w:rFonts w:hint="default" w:ascii="仿宋" w:hAnsi="仿宋" w:cs="仿宋"/>
        </w:rPr>
      </w:pPr>
      <w:r>
        <w:rPr>
          <w:rFonts w:ascii="仿宋" w:hAnsi="仿宋" w:cs="仿宋"/>
        </w:rPr>
        <w:br w:type="page"/>
      </w:r>
      <w:bookmarkStart w:id="986" w:name="_Toc28516"/>
      <w:bookmarkStart w:id="987" w:name="_Toc15611"/>
      <w:bookmarkStart w:id="988" w:name="_Toc3140"/>
      <w:bookmarkStart w:id="989" w:name="_Toc19814"/>
      <w:bookmarkStart w:id="990" w:name="_Toc18398"/>
      <w:r>
        <w:rPr>
          <w:rFonts w:ascii="仿宋" w:hAnsi="仿宋" w:cs="仿宋"/>
        </w:rPr>
        <w:t>（八）供应商廉洁诚信承诺书</w:t>
      </w:r>
      <w:bookmarkEnd w:id="983"/>
      <w:bookmarkEnd w:id="986"/>
      <w:bookmarkEnd w:id="987"/>
      <w:bookmarkEnd w:id="988"/>
      <w:bookmarkEnd w:id="989"/>
      <w:bookmarkEnd w:id="990"/>
    </w:p>
    <w:p w14:paraId="65713073">
      <w:pPr>
        <w:spacing w:line="360" w:lineRule="auto"/>
        <w:jc w:val="center"/>
        <w:rPr>
          <w:rFonts w:ascii="仿宋" w:hAnsi="仿宋" w:eastAsia="仿宋" w:cs="仿宋"/>
          <w:b/>
          <w:bCs/>
          <w:sz w:val="28"/>
          <w:szCs w:val="28"/>
        </w:rPr>
      </w:pPr>
      <w:r>
        <w:rPr>
          <w:rFonts w:hint="eastAsia" w:ascii="仿宋" w:hAnsi="仿宋" w:eastAsia="仿宋" w:cs="仿宋"/>
          <w:b/>
          <w:bCs/>
          <w:sz w:val="28"/>
          <w:szCs w:val="28"/>
        </w:rPr>
        <w:t>供应商廉洁诚信承诺书</w:t>
      </w:r>
    </w:p>
    <w:p w14:paraId="656A066A">
      <w:pPr>
        <w:spacing w:line="360" w:lineRule="auto"/>
        <w:ind w:firstLine="480" w:firstLineChars="200"/>
        <w:rPr>
          <w:rFonts w:ascii="仿宋" w:hAnsi="仿宋" w:eastAsia="仿宋" w:cs="仿宋"/>
          <w:sz w:val="24"/>
        </w:rPr>
      </w:pPr>
    </w:p>
    <w:p w14:paraId="47A27356">
      <w:pPr>
        <w:spacing w:line="360" w:lineRule="auto"/>
        <w:ind w:firstLine="480" w:firstLineChars="200"/>
        <w:rPr>
          <w:rFonts w:ascii="仿宋" w:hAnsi="仿宋" w:eastAsia="仿宋" w:cs="仿宋"/>
          <w:sz w:val="24"/>
        </w:rPr>
      </w:pPr>
      <w:r>
        <w:rPr>
          <w:rFonts w:hint="eastAsia" w:ascii="仿宋" w:hAnsi="仿宋" w:eastAsia="仿宋" w:cs="仿宋"/>
          <w:sz w:val="24"/>
        </w:rPr>
        <w:t>为维护公平竞争的市场秩序和公正透明的商业环境，保证与中国人民保险集团公司、各子公司以及各级分支机构（以下简称“中国人民保险”）合作项目的顺利进行，我方作为参与中国人民保险采购活动的供应商，深知采购廉洁诚信的重要性。为防止各类谋取不正当利益的违法违规违纪行为的发生，我方自愿加强有关人员廉洁从业管理，恪守商业道德。在与中国人民保险的合作过程中郑重承诺如下：</w:t>
      </w:r>
    </w:p>
    <w:p w14:paraId="5915BD54">
      <w:pPr>
        <w:spacing w:line="360" w:lineRule="auto"/>
        <w:ind w:firstLine="480" w:firstLineChars="200"/>
        <w:rPr>
          <w:rFonts w:ascii="仿宋" w:hAnsi="仿宋" w:eastAsia="仿宋" w:cs="仿宋"/>
          <w:sz w:val="24"/>
        </w:rPr>
      </w:pPr>
      <w:r>
        <w:rPr>
          <w:rFonts w:hint="eastAsia" w:ascii="仿宋" w:hAnsi="仿宋" w:eastAsia="仿宋" w:cs="仿宋"/>
          <w:sz w:val="24"/>
        </w:rPr>
        <w:t>一、遵守法律法规承诺。我们将严格遵守《中华人民共和国反不正当竞争法》《关于禁止商业贿赂行为的暂行规定》等国家法律法规和中国人民保险采购管理、供应商管理相关制度要求，坚决不从事任何违法违规违纪行为。</w:t>
      </w:r>
    </w:p>
    <w:p w14:paraId="50C2648A">
      <w:pPr>
        <w:spacing w:line="360" w:lineRule="auto"/>
        <w:ind w:firstLine="480" w:firstLineChars="200"/>
        <w:rPr>
          <w:rFonts w:ascii="仿宋" w:hAnsi="仿宋" w:eastAsia="仿宋" w:cs="仿宋"/>
          <w:sz w:val="24"/>
        </w:rPr>
      </w:pPr>
      <w:r>
        <w:rPr>
          <w:rFonts w:hint="eastAsia" w:ascii="仿宋" w:hAnsi="仿宋" w:eastAsia="仿宋" w:cs="仿宋"/>
          <w:sz w:val="24"/>
        </w:rPr>
        <w:t>二、避免利害关系承诺。我们将在采购过程中主动申报与中国人民保险及相关主体的关联及利害关系，包括我们的相关主体与中国人民保险及相关主体的关联及利害关系，避免任何可能影响公平竞争的关系或利益冲突，主动披露任何可能影响采购决策的利益关系，并采取必要的措施确保采购过程的公正性。</w:t>
      </w:r>
    </w:p>
    <w:p w14:paraId="0353867D">
      <w:pPr>
        <w:spacing w:line="360" w:lineRule="auto"/>
        <w:ind w:firstLine="480" w:firstLineChars="200"/>
        <w:rPr>
          <w:rFonts w:ascii="仿宋" w:hAnsi="仿宋" w:eastAsia="仿宋" w:cs="仿宋"/>
          <w:sz w:val="24"/>
        </w:rPr>
      </w:pPr>
      <w:r>
        <w:rPr>
          <w:rFonts w:hint="eastAsia" w:ascii="仿宋" w:hAnsi="仿宋" w:eastAsia="仿宋" w:cs="仿宋"/>
          <w:sz w:val="24"/>
        </w:rPr>
        <w:t>本承诺书所称相关主体，对任何一方而言，指：（1）一方或其关联方的工作人员；（2）受一方委托办理相关事务的单位或者个人；（3）利用职权或者影响力影响交易的单位或者个人；（4）前述相关人员的亲属；（5）与前述主体存在利害关系的其他单位或者人员。</w:t>
      </w:r>
    </w:p>
    <w:p w14:paraId="789798A7">
      <w:pPr>
        <w:spacing w:line="360" w:lineRule="auto"/>
        <w:ind w:firstLine="480" w:firstLineChars="200"/>
        <w:rPr>
          <w:rFonts w:ascii="仿宋" w:hAnsi="仿宋" w:eastAsia="仿宋" w:cs="仿宋"/>
          <w:sz w:val="24"/>
        </w:rPr>
      </w:pPr>
      <w:r>
        <w:rPr>
          <w:rFonts w:hint="eastAsia" w:ascii="仿宋" w:hAnsi="仿宋" w:eastAsia="仿宋" w:cs="仿宋"/>
          <w:sz w:val="24"/>
        </w:rPr>
        <w:t>三、廉洁自律承诺。我们坚决不以任何形式为获取或意图获取交易机会、竞争优势或谋取不正当利益而向中国人民保险或相关主体实施商业贿赂或营私舞弊行为，包括但不限于：</w:t>
      </w:r>
    </w:p>
    <w:p w14:paraId="0FDCEBF0">
      <w:pPr>
        <w:spacing w:line="360" w:lineRule="auto"/>
        <w:ind w:firstLine="480" w:firstLineChars="200"/>
        <w:rPr>
          <w:rFonts w:ascii="仿宋" w:hAnsi="仿宋" w:eastAsia="仿宋" w:cs="仿宋"/>
          <w:sz w:val="24"/>
        </w:rPr>
      </w:pPr>
      <w:r>
        <w:rPr>
          <w:rFonts w:hint="eastAsia" w:ascii="仿宋" w:hAnsi="仿宋" w:eastAsia="仿宋" w:cs="仿宋"/>
          <w:sz w:val="24"/>
        </w:rPr>
        <w:t>（1）以任何方式实施商业贿赂或违规提供金钱、实物、回扣、折扣、宴请与游玩活动或其他不正当利益；</w:t>
      </w:r>
    </w:p>
    <w:p w14:paraId="1F8A9629">
      <w:pPr>
        <w:spacing w:line="360" w:lineRule="auto"/>
        <w:ind w:firstLine="480" w:firstLineChars="200"/>
        <w:rPr>
          <w:rFonts w:ascii="仿宋" w:hAnsi="仿宋" w:eastAsia="仿宋" w:cs="仿宋"/>
          <w:sz w:val="24"/>
        </w:rPr>
      </w:pPr>
      <w:r>
        <w:rPr>
          <w:rFonts w:hint="eastAsia" w:ascii="仿宋" w:hAnsi="仿宋" w:eastAsia="仿宋" w:cs="仿宋"/>
          <w:sz w:val="24"/>
        </w:rPr>
        <w:t>（2）为其安排有可能影响公平、公正交易的宴请、健身、娱乐等活动；</w:t>
      </w:r>
    </w:p>
    <w:p w14:paraId="64C0CA2C">
      <w:pPr>
        <w:spacing w:line="360" w:lineRule="auto"/>
        <w:ind w:firstLine="480" w:firstLineChars="200"/>
        <w:rPr>
          <w:rFonts w:ascii="仿宋" w:hAnsi="仿宋" w:eastAsia="仿宋" w:cs="仿宋"/>
          <w:sz w:val="24"/>
        </w:rPr>
      </w:pPr>
      <w:r>
        <w:rPr>
          <w:rFonts w:hint="eastAsia" w:ascii="仿宋" w:hAnsi="仿宋" w:eastAsia="仿宋" w:cs="仿宋"/>
          <w:sz w:val="24"/>
        </w:rPr>
        <w:t>（3）为其投资入股、个人借款或买卖股票、债券等提供方便；</w:t>
      </w:r>
    </w:p>
    <w:p w14:paraId="57F39051">
      <w:pPr>
        <w:spacing w:line="360" w:lineRule="auto"/>
        <w:ind w:firstLine="480" w:firstLineChars="200"/>
        <w:rPr>
          <w:rFonts w:ascii="仿宋" w:hAnsi="仿宋" w:eastAsia="仿宋" w:cs="仿宋"/>
          <w:sz w:val="24"/>
        </w:rPr>
      </w:pPr>
      <w:r>
        <w:rPr>
          <w:rFonts w:hint="eastAsia" w:ascii="仿宋" w:hAnsi="仿宋" w:eastAsia="仿宋" w:cs="仿宋"/>
          <w:sz w:val="24"/>
        </w:rPr>
        <w:t>（4）为其购买或装修住房、婚丧嫁娶、配偶子女上学或工作安排以及出国出境、旅游等提供方便；</w:t>
      </w:r>
    </w:p>
    <w:p w14:paraId="491BE461">
      <w:pPr>
        <w:spacing w:line="360" w:lineRule="auto"/>
        <w:ind w:firstLine="480" w:firstLineChars="200"/>
        <w:rPr>
          <w:rFonts w:ascii="仿宋" w:hAnsi="仿宋" w:eastAsia="仿宋" w:cs="仿宋"/>
          <w:sz w:val="24"/>
        </w:rPr>
      </w:pPr>
      <w:r>
        <w:rPr>
          <w:rFonts w:hint="eastAsia" w:ascii="仿宋" w:hAnsi="仿宋" w:eastAsia="仿宋" w:cs="仿宋"/>
          <w:sz w:val="24"/>
        </w:rPr>
        <w:t>（5）违反规定为其在我方相关企业工作、挂名兼职、合伙经营、介绍承揽业务等提供方便；</w:t>
      </w:r>
    </w:p>
    <w:p w14:paraId="0B302973">
      <w:pPr>
        <w:spacing w:line="360" w:lineRule="auto"/>
        <w:ind w:firstLine="480" w:firstLineChars="200"/>
        <w:rPr>
          <w:rFonts w:ascii="仿宋" w:hAnsi="仿宋" w:eastAsia="仿宋" w:cs="仿宋"/>
          <w:sz w:val="24"/>
        </w:rPr>
      </w:pPr>
      <w:r>
        <w:rPr>
          <w:rFonts w:hint="eastAsia" w:ascii="仿宋" w:hAnsi="仿宋" w:eastAsia="仿宋" w:cs="仿宋"/>
          <w:sz w:val="24"/>
        </w:rPr>
        <w:t>（6）向其提供借款、融资、担保等；</w:t>
      </w:r>
    </w:p>
    <w:p w14:paraId="144BD612">
      <w:pPr>
        <w:spacing w:line="360" w:lineRule="auto"/>
        <w:ind w:firstLine="480" w:firstLineChars="200"/>
        <w:rPr>
          <w:rFonts w:ascii="仿宋" w:hAnsi="仿宋" w:eastAsia="仿宋" w:cs="仿宋"/>
          <w:sz w:val="24"/>
        </w:rPr>
      </w:pPr>
      <w:r>
        <w:rPr>
          <w:rFonts w:hint="eastAsia" w:ascii="仿宋" w:hAnsi="仿宋" w:eastAsia="仿宋" w:cs="仿宋"/>
          <w:sz w:val="24"/>
        </w:rPr>
        <w:t>（7）给予或承诺给予其不正当利益的其他行为；</w:t>
      </w:r>
    </w:p>
    <w:p w14:paraId="6A5FD22C">
      <w:pPr>
        <w:spacing w:line="360" w:lineRule="auto"/>
        <w:ind w:firstLine="480" w:firstLineChars="200"/>
        <w:rPr>
          <w:rFonts w:ascii="仿宋" w:hAnsi="仿宋" w:eastAsia="仿宋" w:cs="仿宋"/>
          <w:sz w:val="24"/>
        </w:rPr>
      </w:pPr>
      <w:r>
        <w:rPr>
          <w:rFonts w:hint="eastAsia" w:ascii="仿宋" w:hAnsi="仿宋" w:eastAsia="仿宋" w:cs="仿宋"/>
          <w:sz w:val="24"/>
        </w:rPr>
        <w:t>（8）其他违反国家法律法规或商业道德准则的影响公正交易的行为。</w:t>
      </w:r>
    </w:p>
    <w:p w14:paraId="462FB13A">
      <w:pPr>
        <w:spacing w:line="360" w:lineRule="auto"/>
        <w:ind w:firstLine="480" w:firstLineChars="200"/>
        <w:rPr>
          <w:rFonts w:ascii="仿宋" w:hAnsi="仿宋" w:eastAsia="仿宋" w:cs="仿宋"/>
          <w:sz w:val="24"/>
        </w:rPr>
      </w:pPr>
      <w:r>
        <w:rPr>
          <w:rFonts w:hint="eastAsia" w:ascii="仿宋" w:hAnsi="仿宋" w:eastAsia="仿宋" w:cs="仿宋"/>
          <w:sz w:val="24"/>
        </w:rPr>
        <w:t>我们也不会以任何方式向中国人民保险或相关主体索要金钱、实物等不正当利益，或收受中国人保或相关主体给予的金钱、实物等不正当利益。</w:t>
      </w:r>
    </w:p>
    <w:p w14:paraId="60626E7A">
      <w:pPr>
        <w:spacing w:line="360" w:lineRule="auto"/>
        <w:ind w:firstLine="480" w:firstLineChars="200"/>
        <w:rPr>
          <w:rFonts w:ascii="仿宋" w:hAnsi="仿宋" w:eastAsia="仿宋" w:cs="仿宋"/>
          <w:sz w:val="24"/>
        </w:rPr>
      </w:pPr>
      <w:r>
        <w:rPr>
          <w:rFonts w:hint="eastAsia" w:ascii="仿宋" w:hAnsi="仿宋" w:eastAsia="仿宋" w:cs="仿宋"/>
          <w:sz w:val="24"/>
        </w:rPr>
        <w:t>四、诚实信用承诺。我们坚决不进行任何违背诚实信用原则的行为，包括但不限于：</w:t>
      </w:r>
    </w:p>
    <w:p w14:paraId="3F255C88">
      <w:pPr>
        <w:spacing w:line="360" w:lineRule="auto"/>
        <w:ind w:firstLine="480" w:firstLineChars="200"/>
        <w:rPr>
          <w:rFonts w:ascii="仿宋" w:hAnsi="仿宋" w:eastAsia="仿宋" w:cs="仿宋"/>
          <w:sz w:val="24"/>
        </w:rPr>
      </w:pPr>
      <w:r>
        <w:rPr>
          <w:rFonts w:hint="eastAsia" w:ascii="仿宋" w:hAnsi="仿宋" w:eastAsia="仿宋" w:cs="仿宋"/>
          <w:sz w:val="24"/>
        </w:rPr>
        <w:t>出借、转让资质证书；</w:t>
      </w:r>
    </w:p>
    <w:p w14:paraId="42B13DA8">
      <w:pPr>
        <w:spacing w:line="360" w:lineRule="auto"/>
        <w:ind w:firstLine="480" w:firstLineChars="200"/>
        <w:rPr>
          <w:rFonts w:ascii="仿宋" w:hAnsi="仿宋" w:eastAsia="仿宋" w:cs="仿宋"/>
          <w:sz w:val="24"/>
        </w:rPr>
      </w:pPr>
      <w:r>
        <w:rPr>
          <w:rFonts w:hint="eastAsia" w:ascii="仿宋" w:hAnsi="仿宋" w:eastAsia="仿宋" w:cs="仿宋"/>
          <w:sz w:val="24"/>
        </w:rPr>
        <w:t>伙同他人串标、围标或非法排挤竞争对手；</w:t>
      </w:r>
    </w:p>
    <w:p w14:paraId="5E78F2BC">
      <w:pPr>
        <w:spacing w:line="360" w:lineRule="auto"/>
        <w:ind w:firstLine="480" w:firstLineChars="200"/>
        <w:rPr>
          <w:rFonts w:ascii="仿宋" w:hAnsi="仿宋" w:eastAsia="仿宋" w:cs="仿宋"/>
          <w:sz w:val="24"/>
        </w:rPr>
      </w:pPr>
      <w:r>
        <w:rPr>
          <w:rFonts w:hint="eastAsia" w:ascii="仿宋" w:hAnsi="仿宋" w:eastAsia="仿宋" w:cs="仿宋"/>
          <w:sz w:val="24"/>
        </w:rPr>
        <w:t>在采购活动中提供虚假资料，以他人名义参与或者以其他方式弄虚作假，夸大自身技术和提供服务的能力，损害贵方合法权益；</w:t>
      </w:r>
    </w:p>
    <w:p w14:paraId="3FC3A626">
      <w:pPr>
        <w:spacing w:line="360" w:lineRule="auto"/>
        <w:ind w:firstLine="480" w:firstLineChars="200"/>
        <w:rPr>
          <w:rFonts w:ascii="仿宋" w:hAnsi="仿宋" w:eastAsia="仿宋" w:cs="仿宋"/>
          <w:sz w:val="24"/>
        </w:rPr>
      </w:pPr>
      <w:r>
        <w:rPr>
          <w:rFonts w:hint="eastAsia" w:ascii="仿宋" w:hAnsi="仿宋" w:eastAsia="仿宋" w:cs="仿宋"/>
          <w:sz w:val="24"/>
        </w:rPr>
        <w:t>（4）隐瞒任何可能对贵方利益造成影响的信息，不配合贵方的审计。</w:t>
      </w:r>
    </w:p>
    <w:p w14:paraId="14019578">
      <w:pPr>
        <w:spacing w:line="360" w:lineRule="auto"/>
        <w:ind w:firstLine="480" w:firstLineChars="200"/>
        <w:rPr>
          <w:rFonts w:ascii="仿宋" w:hAnsi="仿宋" w:eastAsia="仿宋" w:cs="仿宋"/>
          <w:sz w:val="24"/>
        </w:rPr>
      </w:pPr>
      <w:r>
        <w:rPr>
          <w:rFonts w:hint="eastAsia" w:ascii="仿宋" w:hAnsi="仿宋" w:eastAsia="仿宋" w:cs="仿宋"/>
          <w:sz w:val="24"/>
        </w:rPr>
        <w:t>五、信息公开透明承诺。我们将主动披露与采购项目相关的信息，包括企业真实情况、产品价格、技术参数、服务团队信息、履约情况等，确保所提供的一切材料和信息真实、合法、有效。同时，不利用非法手段向中国人保或相关主体打探有关涉及贵方的商业秘密、人员信息等。</w:t>
      </w:r>
    </w:p>
    <w:p w14:paraId="2C38B11A">
      <w:pPr>
        <w:spacing w:line="360" w:lineRule="auto"/>
        <w:ind w:firstLine="480" w:firstLineChars="200"/>
        <w:rPr>
          <w:rFonts w:ascii="仿宋" w:hAnsi="仿宋" w:eastAsia="仿宋" w:cs="仿宋"/>
          <w:sz w:val="24"/>
        </w:rPr>
      </w:pPr>
      <w:r>
        <w:rPr>
          <w:rFonts w:hint="eastAsia" w:ascii="仿宋" w:hAnsi="仿宋" w:eastAsia="仿宋" w:cs="仿宋"/>
          <w:sz w:val="24"/>
        </w:rPr>
        <w:t>六、加强内部管理承诺。为了实现以上承诺要求，我们将积极配合采取以下措施，不断加强自身内部管理：</w:t>
      </w:r>
    </w:p>
    <w:p w14:paraId="27C208B4">
      <w:pPr>
        <w:spacing w:line="360" w:lineRule="auto"/>
        <w:ind w:firstLine="480" w:firstLineChars="200"/>
        <w:rPr>
          <w:rFonts w:ascii="仿宋" w:hAnsi="仿宋" w:eastAsia="仿宋" w:cs="仿宋"/>
          <w:sz w:val="24"/>
        </w:rPr>
      </w:pPr>
      <w:r>
        <w:rPr>
          <w:rFonts w:hint="eastAsia" w:ascii="仿宋" w:hAnsi="仿宋" w:eastAsia="仿宋" w:cs="仿宋"/>
          <w:sz w:val="24"/>
        </w:rPr>
        <w:t>（1）廉洁教育培训：加强对员工的廉洁教育和培训，提高员工的道德素质和法律意识，建立健全内部管理制度，确保员工行为的合规性和廉洁性；</w:t>
      </w:r>
    </w:p>
    <w:p w14:paraId="7E51BBF9">
      <w:pPr>
        <w:spacing w:line="360" w:lineRule="auto"/>
        <w:ind w:firstLine="480" w:firstLineChars="200"/>
        <w:rPr>
          <w:rFonts w:ascii="仿宋" w:hAnsi="仿宋" w:eastAsia="仿宋" w:cs="仿宋"/>
          <w:sz w:val="24"/>
        </w:rPr>
      </w:pPr>
      <w:r>
        <w:rPr>
          <w:rFonts w:hint="eastAsia" w:ascii="仿宋" w:hAnsi="仿宋" w:eastAsia="仿宋" w:cs="仿宋"/>
          <w:sz w:val="24"/>
        </w:rPr>
        <w:t>（2）设立监督机制：通过专门的监督机构或人员，对我方的业务活动进行实时监督，确保员工行为的合规性；</w:t>
      </w:r>
    </w:p>
    <w:p w14:paraId="4B5EBCD9">
      <w:pPr>
        <w:spacing w:line="360" w:lineRule="auto"/>
        <w:ind w:firstLine="480" w:firstLineChars="200"/>
        <w:rPr>
          <w:rFonts w:ascii="仿宋" w:hAnsi="仿宋" w:eastAsia="仿宋" w:cs="仿宋"/>
          <w:sz w:val="24"/>
        </w:rPr>
      </w:pPr>
      <w:r>
        <w:rPr>
          <w:rFonts w:hint="eastAsia" w:ascii="仿宋" w:hAnsi="仿宋" w:eastAsia="仿宋" w:cs="仿宋"/>
          <w:sz w:val="24"/>
        </w:rPr>
        <w:t>（3）建立举报制度：鼓励员工积极举报违规行为，对举报人予以保护并给予奖励。</w:t>
      </w:r>
    </w:p>
    <w:p w14:paraId="6B64604E">
      <w:pPr>
        <w:spacing w:line="360" w:lineRule="auto"/>
        <w:ind w:firstLine="480" w:firstLineChars="200"/>
        <w:rPr>
          <w:rFonts w:ascii="仿宋" w:hAnsi="仿宋" w:eastAsia="仿宋" w:cs="仿宋"/>
          <w:sz w:val="24"/>
        </w:rPr>
      </w:pPr>
      <w:r>
        <w:rPr>
          <w:rFonts w:hint="eastAsia" w:ascii="仿宋" w:hAnsi="仿宋" w:eastAsia="仿宋" w:cs="仿宋"/>
          <w:sz w:val="24"/>
        </w:rPr>
        <w:t>七、配合监督承诺。我们将积极配合中国人民保险及第三方机构的监督和检查，对发现的违规行为及时纠正，并严肃处理涉嫌违规的工作人员，确保采购过程和项目合作的公正性和透明度。贵方对涉嫌违法违规违纪的商业行为进行调查时，我方有配合提供证据、作证的义务。</w:t>
      </w:r>
    </w:p>
    <w:p w14:paraId="33C89CB7">
      <w:pPr>
        <w:spacing w:line="360" w:lineRule="auto"/>
        <w:ind w:firstLine="480" w:firstLineChars="200"/>
        <w:rPr>
          <w:rFonts w:ascii="仿宋" w:hAnsi="仿宋" w:eastAsia="仿宋" w:cs="仿宋"/>
          <w:sz w:val="24"/>
        </w:rPr>
      </w:pPr>
      <w:r>
        <w:rPr>
          <w:rFonts w:hint="eastAsia" w:ascii="仿宋" w:hAnsi="仿宋" w:eastAsia="仿宋" w:cs="仿宋"/>
          <w:sz w:val="24"/>
        </w:rPr>
        <w:t>八、如违反上述承诺，我方自愿承担以下法律责任：</w:t>
      </w:r>
    </w:p>
    <w:p w14:paraId="098D91A3">
      <w:pPr>
        <w:spacing w:line="360" w:lineRule="auto"/>
        <w:ind w:firstLine="480" w:firstLineChars="200"/>
        <w:rPr>
          <w:rFonts w:ascii="仿宋" w:hAnsi="仿宋" w:eastAsia="仿宋" w:cs="仿宋"/>
          <w:sz w:val="24"/>
        </w:rPr>
      </w:pPr>
      <w:r>
        <w:rPr>
          <w:rFonts w:hint="eastAsia" w:ascii="仿宋" w:hAnsi="仿宋" w:eastAsia="仿宋" w:cs="仿宋"/>
          <w:sz w:val="24"/>
        </w:rPr>
        <w:t>（1）如我方及我方工作人员违反本承诺书承诺，中国人民保险有权依据其采购管理、供应商管理和采购文件相关要求，对我方进行严肃处理，相关处罚结果记入供应商诚信档案；</w:t>
      </w:r>
    </w:p>
    <w:p w14:paraId="4306341F">
      <w:pPr>
        <w:spacing w:line="360" w:lineRule="auto"/>
        <w:ind w:firstLine="480" w:firstLineChars="200"/>
        <w:rPr>
          <w:rFonts w:ascii="仿宋" w:hAnsi="仿宋" w:eastAsia="仿宋" w:cs="仿宋"/>
          <w:sz w:val="24"/>
        </w:rPr>
      </w:pPr>
      <w:r>
        <w:rPr>
          <w:rFonts w:hint="eastAsia" w:ascii="仿宋" w:hAnsi="仿宋" w:eastAsia="仿宋" w:cs="仿宋"/>
          <w:sz w:val="24"/>
        </w:rPr>
        <w:t>（2）如我方及我方工作人员违反本承诺书承诺，中国人民保险及其子公司等所有关联主体有权限制或取消我方在中国人民保险参与采购项目的资格；</w:t>
      </w:r>
    </w:p>
    <w:p w14:paraId="17346DD6">
      <w:pPr>
        <w:spacing w:line="360" w:lineRule="auto"/>
        <w:ind w:firstLine="480" w:firstLineChars="200"/>
        <w:rPr>
          <w:rFonts w:ascii="仿宋" w:hAnsi="仿宋" w:eastAsia="仿宋" w:cs="仿宋"/>
          <w:sz w:val="24"/>
        </w:rPr>
      </w:pPr>
      <w:r>
        <w:rPr>
          <w:rFonts w:hint="eastAsia" w:ascii="仿宋" w:hAnsi="仿宋" w:eastAsia="仿宋" w:cs="仿宋"/>
          <w:sz w:val="24"/>
        </w:rPr>
        <w:t>（3）如我方及我方工作人员违反本承诺书承诺，中国人民保险及其子公司等所有关联主体有权选择单方全面终止与我方的合同及合作而无需承担任何责任；</w:t>
      </w:r>
    </w:p>
    <w:p w14:paraId="3A7608E1">
      <w:pPr>
        <w:spacing w:line="360" w:lineRule="auto"/>
        <w:ind w:firstLine="480" w:firstLineChars="200"/>
        <w:rPr>
          <w:rFonts w:ascii="仿宋" w:hAnsi="仿宋" w:eastAsia="仿宋" w:cs="仿宋"/>
          <w:sz w:val="24"/>
        </w:rPr>
      </w:pPr>
      <w:r>
        <w:rPr>
          <w:rFonts w:hint="eastAsia" w:ascii="仿宋" w:hAnsi="仿宋" w:eastAsia="仿宋" w:cs="仿宋"/>
          <w:sz w:val="24"/>
        </w:rPr>
        <w:t>（4）如我方及我方工作人员违反本承诺书承诺，除承担前述（1）（2）（3）项责任外，中国人民保险及其子公司等所有关联主体有权扣除我方缴纳的投标保证金，投标保证金不足以弥补损失的，还有权要求我方承担相应的赔偿责任。</w:t>
      </w:r>
    </w:p>
    <w:p w14:paraId="70926C4C">
      <w:pPr>
        <w:spacing w:line="360" w:lineRule="auto"/>
        <w:ind w:firstLine="480" w:firstLineChars="200"/>
        <w:rPr>
          <w:rFonts w:ascii="仿宋" w:hAnsi="仿宋" w:eastAsia="仿宋" w:cs="仿宋"/>
          <w:sz w:val="24"/>
        </w:rPr>
      </w:pPr>
    </w:p>
    <w:p w14:paraId="58919917">
      <w:pPr>
        <w:spacing w:line="360" w:lineRule="auto"/>
        <w:ind w:firstLine="480" w:firstLineChars="200"/>
        <w:rPr>
          <w:rFonts w:ascii="仿宋" w:hAnsi="仿宋" w:eastAsia="仿宋" w:cs="仿宋"/>
          <w:sz w:val="24"/>
        </w:rPr>
      </w:pPr>
      <w:r>
        <w:rPr>
          <w:rFonts w:hint="eastAsia" w:ascii="仿宋" w:hAnsi="仿宋" w:eastAsia="仿宋" w:cs="仿宋"/>
          <w:sz w:val="24"/>
        </w:rPr>
        <w:t>本承诺书自承诺方签字和盖章之日起生效。如我方成功中选中国人民保险采购项目，将按中国人民保险管理要求签署廉洁诚信协议作为采购合同附件，并严格遵守协议相关条款。</w:t>
      </w:r>
    </w:p>
    <w:p w14:paraId="474FE79F">
      <w:pPr>
        <w:spacing w:line="360" w:lineRule="auto"/>
        <w:ind w:firstLine="480" w:firstLineChars="200"/>
        <w:rPr>
          <w:rFonts w:ascii="仿宋" w:hAnsi="仿宋" w:eastAsia="仿宋" w:cs="仿宋"/>
          <w:sz w:val="24"/>
        </w:rPr>
      </w:pPr>
    </w:p>
    <w:p w14:paraId="1612D093">
      <w:pPr>
        <w:tabs>
          <w:tab w:val="left" w:pos="458"/>
        </w:tabs>
        <w:spacing w:line="360" w:lineRule="auto"/>
        <w:ind w:firstLine="3578" w:firstLineChars="1491"/>
        <w:rPr>
          <w:rFonts w:ascii="仿宋" w:hAnsi="仿宋" w:eastAsia="仿宋" w:cs="仿宋"/>
          <w:sz w:val="24"/>
        </w:rPr>
      </w:pPr>
      <w:r>
        <w:rPr>
          <w:rFonts w:hint="eastAsia" w:ascii="仿宋" w:hAnsi="仿宋" w:eastAsia="仿宋" w:cs="仿宋"/>
          <w:sz w:val="24"/>
        </w:rPr>
        <w:t>公司名称（全称、盖章）：________________</w:t>
      </w:r>
    </w:p>
    <w:p w14:paraId="240ABFAB">
      <w:pPr>
        <w:spacing w:line="360" w:lineRule="auto"/>
        <w:ind w:firstLine="3578" w:firstLineChars="1491"/>
        <w:rPr>
          <w:rFonts w:ascii="仿宋" w:hAnsi="仿宋" w:eastAsia="仿宋" w:cs="仿宋"/>
          <w:sz w:val="24"/>
        </w:rPr>
      </w:pPr>
      <w:r>
        <w:rPr>
          <w:rFonts w:hint="eastAsia" w:ascii="仿宋" w:hAnsi="仿宋" w:eastAsia="仿宋" w:cs="仿宋"/>
          <w:sz w:val="24"/>
        </w:rPr>
        <w:t>法定代表人姓名、职务：__________________</w:t>
      </w:r>
    </w:p>
    <w:p w14:paraId="3F3B57A9">
      <w:pPr>
        <w:spacing w:line="360" w:lineRule="auto"/>
        <w:ind w:firstLine="3578" w:firstLineChars="1491"/>
        <w:rPr>
          <w:rFonts w:ascii="仿宋" w:hAnsi="仿宋" w:eastAsia="仿宋" w:cs="仿宋"/>
          <w:sz w:val="24"/>
        </w:rPr>
      </w:pPr>
      <w:r>
        <w:rPr>
          <w:rFonts w:hint="eastAsia" w:ascii="仿宋" w:hAnsi="仿宋" w:eastAsia="仿宋" w:cs="仿宋"/>
          <w:sz w:val="24"/>
        </w:rPr>
        <w:t>法定代表人或授权代表签字：______________</w:t>
      </w:r>
    </w:p>
    <w:p w14:paraId="7F139C75">
      <w:pPr>
        <w:spacing w:line="360" w:lineRule="auto"/>
        <w:ind w:firstLine="3578" w:firstLineChars="1491"/>
        <w:rPr>
          <w:rFonts w:ascii="仿宋" w:hAnsi="仿宋" w:eastAsia="仿宋" w:cs="仿宋"/>
          <w:vanish/>
          <w:sz w:val="24"/>
        </w:rPr>
      </w:pPr>
      <w:r>
        <w:rPr>
          <w:rFonts w:hint="eastAsia" w:ascii="仿宋" w:hAnsi="仿宋" w:eastAsia="仿宋" w:cs="仿宋"/>
          <w:sz w:val="24"/>
        </w:rPr>
        <w:t>日期：__________________________________</w:t>
      </w:r>
    </w:p>
    <w:p w14:paraId="0D4F2424">
      <w:pPr>
        <w:tabs>
          <w:tab w:val="left" w:pos="458"/>
        </w:tabs>
        <w:spacing w:line="360" w:lineRule="auto"/>
        <w:ind w:firstLine="3578" w:firstLineChars="1491"/>
        <w:rPr>
          <w:rFonts w:ascii="仿宋" w:hAnsi="仿宋" w:eastAsia="仿宋" w:cs="仿宋"/>
          <w:sz w:val="24"/>
        </w:rPr>
      </w:pPr>
    </w:p>
    <w:p w14:paraId="72A37248">
      <w:pPr>
        <w:spacing w:line="360" w:lineRule="auto"/>
        <w:rPr>
          <w:rFonts w:ascii="仿宋" w:hAnsi="仿宋" w:eastAsia="仿宋" w:cs="仿宋"/>
        </w:rPr>
      </w:pPr>
      <w:r>
        <w:rPr>
          <w:rFonts w:hint="eastAsia" w:ascii="仿宋" w:hAnsi="仿宋" w:eastAsia="仿宋" w:cs="仿宋"/>
        </w:rPr>
        <w:br w:type="page"/>
      </w:r>
    </w:p>
    <w:p w14:paraId="0FE5CA80">
      <w:pPr>
        <w:pStyle w:val="5"/>
        <w:spacing w:line="360" w:lineRule="auto"/>
        <w:rPr>
          <w:rFonts w:hint="default" w:ascii="仿宋" w:hAnsi="仿宋" w:cs="仿宋"/>
        </w:rPr>
      </w:pPr>
      <w:bookmarkStart w:id="991" w:name="_Toc4656"/>
      <w:bookmarkStart w:id="992" w:name="_Toc3882"/>
      <w:bookmarkStart w:id="993" w:name="_Toc32002"/>
      <w:bookmarkStart w:id="994" w:name="_Toc30000"/>
      <w:bookmarkStart w:id="995" w:name="_Toc24092"/>
      <w:r>
        <w:rPr>
          <w:rFonts w:ascii="仿宋" w:hAnsi="仿宋" w:cs="仿宋"/>
        </w:rPr>
        <w:t>（九）企业证书一览表</w:t>
      </w:r>
      <w:bookmarkEnd w:id="991"/>
      <w:bookmarkEnd w:id="992"/>
      <w:r>
        <w:rPr>
          <w:rFonts w:ascii="仿宋" w:hAnsi="仿宋" w:cs="仿宋"/>
        </w:rPr>
        <w:t>(资质证书)</w:t>
      </w:r>
      <w:bookmarkEnd w:id="993"/>
      <w:bookmarkEnd w:id="994"/>
      <w:bookmarkEnd w:id="995"/>
    </w:p>
    <w:p w14:paraId="17495330">
      <w:pPr>
        <w:spacing w:line="360" w:lineRule="auto"/>
        <w:rPr>
          <w:rFonts w:ascii="仿宋" w:hAnsi="仿宋" w:eastAsia="仿宋" w:cs="仿宋"/>
        </w:rPr>
      </w:pPr>
    </w:p>
    <w:p w14:paraId="75D639AF">
      <w:pPr>
        <w:pStyle w:val="10"/>
        <w:snapToGrid w:val="0"/>
        <w:spacing w:line="360" w:lineRule="auto"/>
        <w:ind w:firstLine="0"/>
        <w:jc w:val="center"/>
        <w:rPr>
          <w:rFonts w:ascii="仿宋" w:hAnsi="仿宋" w:eastAsia="仿宋" w:cs="仿宋"/>
          <w:b/>
          <w:sz w:val="24"/>
          <w:szCs w:val="24"/>
        </w:rPr>
      </w:pPr>
      <w:r>
        <w:rPr>
          <w:rFonts w:hint="eastAsia" w:ascii="仿宋" w:hAnsi="仿宋" w:eastAsia="仿宋" w:cs="仿宋"/>
          <w:b/>
          <w:sz w:val="24"/>
          <w:szCs w:val="24"/>
        </w:rPr>
        <w:t>企业证书一览表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2689"/>
        <w:gridCol w:w="2151"/>
        <w:gridCol w:w="3430"/>
      </w:tblGrid>
      <w:tr w14:paraId="41DA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02" w:type="pct"/>
            <w:vAlign w:val="center"/>
          </w:tcPr>
          <w:p w14:paraId="2B15F6E6">
            <w:pPr>
              <w:widowControl/>
              <w:tabs>
                <w:tab w:val="left" w:pos="567"/>
              </w:tabs>
              <w:autoSpaceDE w:val="0"/>
              <w:autoSpaceDN w:val="0"/>
              <w:spacing w:line="360" w:lineRule="auto"/>
              <w:jc w:val="center"/>
              <w:textAlignment w:val="bottom"/>
              <w:rPr>
                <w:rFonts w:ascii="仿宋" w:hAnsi="仿宋" w:eastAsia="仿宋" w:cs="仿宋"/>
                <w:b/>
                <w:szCs w:val="21"/>
              </w:rPr>
            </w:pPr>
            <w:r>
              <w:rPr>
                <w:rFonts w:hint="eastAsia" w:ascii="仿宋" w:hAnsi="仿宋" w:eastAsia="仿宋" w:cs="仿宋"/>
                <w:b/>
                <w:szCs w:val="21"/>
              </w:rPr>
              <w:t>序号</w:t>
            </w:r>
          </w:p>
        </w:tc>
        <w:tc>
          <w:tcPr>
            <w:tcW w:w="1364" w:type="pct"/>
            <w:vAlign w:val="center"/>
          </w:tcPr>
          <w:p w14:paraId="27AD57BE">
            <w:pPr>
              <w:widowControl/>
              <w:tabs>
                <w:tab w:val="left" w:pos="567"/>
              </w:tabs>
              <w:autoSpaceDE w:val="0"/>
              <w:autoSpaceDN w:val="0"/>
              <w:spacing w:line="360" w:lineRule="auto"/>
              <w:jc w:val="center"/>
              <w:textAlignment w:val="bottom"/>
              <w:rPr>
                <w:rFonts w:ascii="仿宋" w:hAnsi="仿宋" w:eastAsia="仿宋" w:cs="仿宋"/>
                <w:b/>
                <w:szCs w:val="21"/>
              </w:rPr>
            </w:pPr>
            <w:r>
              <w:rPr>
                <w:rFonts w:hint="eastAsia" w:ascii="仿宋" w:hAnsi="仿宋" w:eastAsia="仿宋" w:cs="仿宋"/>
                <w:b/>
                <w:szCs w:val="21"/>
              </w:rPr>
              <w:t>名称</w:t>
            </w:r>
          </w:p>
        </w:tc>
        <w:tc>
          <w:tcPr>
            <w:tcW w:w="1091" w:type="pct"/>
            <w:vAlign w:val="center"/>
          </w:tcPr>
          <w:p w14:paraId="63C26917">
            <w:pPr>
              <w:widowControl/>
              <w:tabs>
                <w:tab w:val="left" w:pos="567"/>
              </w:tabs>
              <w:autoSpaceDE w:val="0"/>
              <w:autoSpaceDN w:val="0"/>
              <w:spacing w:line="360" w:lineRule="auto"/>
              <w:jc w:val="center"/>
              <w:textAlignment w:val="bottom"/>
              <w:rPr>
                <w:rFonts w:ascii="仿宋" w:hAnsi="仿宋" w:eastAsia="仿宋" w:cs="仿宋"/>
                <w:b/>
                <w:szCs w:val="21"/>
              </w:rPr>
            </w:pPr>
            <w:r>
              <w:rPr>
                <w:rFonts w:hint="eastAsia" w:ascii="仿宋" w:hAnsi="仿宋" w:eastAsia="仿宋" w:cs="仿宋"/>
                <w:b/>
                <w:szCs w:val="21"/>
              </w:rPr>
              <w:t>获得时间</w:t>
            </w:r>
          </w:p>
        </w:tc>
        <w:tc>
          <w:tcPr>
            <w:tcW w:w="1740" w:type="pct"/>
            <w:vAlign w:val="center"/>
          </w:tcPr>
          <w:p w14:paraId="6BFEA13B">
            <w:pPr>
              <w:widowControl/>
              <w:tabs>
                <w:tab w:val="left" w:pos="567"/>
              </w:tabs>
              <w:autoSpaceDE w:val="0"/>
              <w:autoSpaceDN w:val="0"/>
              <w:spacing w:line="360" w:lineRule="auto"/>
              <w:jc w:val="center"/>
              <w:textAlignment w:val="bottom"/>
              <w:rPr>
                <w:rFonts w:ascii="仿宋" w:hAnsi="仿宋" w:eastAsia="仿宋" w:cs="仿宋"/>
                <w:b/>
                <w:szCs w:val="21"/>
              </w:rPr>
            </w:pPr>
            <w:r>
              <w:rPr>
                <w:rFonts w:hint="eastAsia" w:ascii="仿宋" w:hAnsi="仿宋" w:eastAsia="仿宋" w:cs="仿宋"/>
                <w:b/>
                <w:szCs w:val="21"/>
              </w:rPr>
              <w:t>证明材料页码索引</w:t>
            </w:r>
          </w:p>
        </w:tc>
      </w:tr>
      <w:tr w14:paraId="243E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2" w:type="pct"/>
            <w:vAlign w:val="center"/>
          </w:tcPr>
          <w:p w14:paraId="7EBC670D">
            <w:pPr>
              <w:widowControl/>
              <w:tabs>
                <w:tab w:val="left" w:pos="567"/>
              </w:tabs>
              <w:autoSpaceDE w:val="0"/>
              <w:autoSpaceDN w:val="0"/>
              <w:spacing w:line="360" w:lineRule="auto"/>
              <w:jc w:val="center"/>
              <w:textAlignment w:val="bottom"/>
              <w:rPr>
                <w:rFonts w:ascii="仿宋" w:hAnsi="仿宋" w:eastAsia="仿宋" w:cs="仿宋"/>
                <w:bCs/>
                <w:szCs w:val="21"/>
              </w:rPr>
            </w:pPr>
            <w:r>
              <w:rPr>
                <w:rFonts w:hint="eastAsia" w:ascii="仿宋" w:hAnsi="仿宋" w:eastAsia="仿宋" w:cs="仿宋"/>
                <w:bCs/>
                <w:szCs w:val="21"/>
              </w:rPr>
              <w:t>1</w:t>
            </w:r>
          </w:p>
        </w:tc>
        <w:tc>
          <w:tcPr>
            <w:tcW w:w="1364" w:type="pct"/>
            <w:vAlign w:val="center"/>
          </w:tcPr>
          <w:p w14:paraId="1651304E">
            <w:pPr>
              <w:widowControl/>
              <w:tabs>
                <w:tab w:val="left" w:pos="567"/>
              </w:tabs>
              <w:autoSpaceDE w:val="0"/>
              <w:autoSpaceDN w:val="0"/>
              <w:spacing w:line="360" w:lineRule="auto"/>
              <w:jc w:val="center"/>
              <w:textAlignment w:val="bottom"/>
              <w:rPr>
                <w:rFonts w:ascii="仿宋" w:hAnsi="仿宋" w:eastAsia="仿宋" w:cs="仿宋"/>
                <w:bCs/>
                <w:szCs w:val="21"/>
              </w:rPr>
            </w:pPr>
          </w:p>
        </w:tc>
        <w:tc>
          <w:tcPr>
            <w:tcW w:w="1091" w:type="pct"/>
            <w:vAlign w:val="center"/>
          </w:tcPr>
          <w:p w14:paraId="57AE26C9">
            <w:pPr>
              <w:widowControl/>
              <w:tabs>
                <w:tab w:val="left" w:pos="567"/>
              </w:tabs>
              <w:autoSpaceDE w:val="0"/>
              <w:autoSpaceDN w:val="0"/>
              <w:spacing w:line="360" w:lineRule="auto"/>
              <w:jc w:val="center"/>
              <w:textAlignment w:val="bottom"/>
              <w:rPr>
                <w:rFonts w:ascii="仿宋" w:hAnsi="仿宋" w:eastAsia="仿宋" w:cs="仿宋"/>
                <w:bCs/>
                <w:szCs w:val="21"/>
              </w:rPr>
            </w:pPr>
          </w:p>
        </w:tc>
        <w:tc>
          <w:tcPr>
            <w:tcW w:w="1740" w:type="pct"/>
            <w:vAlign w:val="center"/>
          </w:tcPr>
          <w:p w14:paraId="5A8B9E4D">
            <w:pPr>
              <w:pStyle w:val="14"/>
              <w:spacing w:line="360" w:lineRule="auto"/>
              <w:jc w:val="center"/>
              <w:rPr>
                <w:rFonts w:ascii="仿宋" w:hAnsi="仿宋" w:eastAsia="仿宋" w:cs="仿宋"/>
                <w:szCs w:val="21"/>
              </w:rPr>
            </w:pPr>
            <w:r>
              <w:rPr>
                <w:rFonts w:hint="eastAsia" w:ascii="仿宋" w:hAnsi="仿宋" w:eastAsia="仿宋" w:cs="仿宋"/>
                <w:bCs/>
                <w:szCs w:val="21"/>
              </w:rPr>
              <w:t>第  页</w:t>
            </w:r>
          </w:p>
        </w:tc>
      </w:tr>
      <w:tr w14:paraId="5FE7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2" w:type="pct"/>
            <w:vAlign w:val="center"/>
          </w:tcPr>
          <w:p w14:paraId="5470CBB4">
            <w:pPr>
              <w:widowControl/>
              <w:tabs>
                <w:tab w:val="left" w:pos="567"/>
              </w:tabs>
              <w:autoSpaceDE w:val="0"/>
              <w:autoSpaceDN w:val="0"/>
              <w:spacing w:line="360" w:lineRule="auto"/>
              <w:jc w:val="center"/>
              <w:textAlignment w:val="bottom"/>
              <w:rPr>
                <w:rFonts w:ascii="仿宋" w:hAnsi="仿宋" w:eastAsia="仿宋" w:cs="仿宋"/>
                <w:bCs/>
                <w:szCs w:val="21"/>
              </w:rPr>
            </w:pPr>
            <w:r>
              <w:rPr>
                <w:rFonts w:hint="eastAsia" w:ascii="仿宋" w:hAnsi="仿宋" w:eastAsia="仿宋" w:cs="仿宋"/>
                <w:bCs/>
                <w:szCs w:val="21"/>
              </w:rPr>
              <w:t>2</w:t>
            </w:r>
          </w:p>
        </w:tc>
        <w:tc>
          <w:tcPr>
            <w:tcW w:w="1364" w:type="pct"/>
            <w:vAlign w:val="center"/>
          </w:tcPr>
          <w:p w14:paraId="1AD5450A">
            <w:pPr>
              <w:widowControl/>
              <w:tabs>
                <w:tab w:val="left" w:pos="567"/>
              </w:tabs>
              <w:autoSpaceDE w:val="0"/>
              <w:autoSpaceDN w:val="0"/>
              <w:spacing w:line="360" w:lineRule="auto"/>
              <w:jc w:val="center"/>
              <w:textAlignment w:val="bottom"/>
              <w:rPr>
                <w:rFonts w:ascii="仿宋" w:hAnsi="仿宋" w:eastAsia="仿宋" w:cs="仿宋"/>
                <w:bCs/>
                <w:szCs w:val="21"/>
              </w:rPr>
            </w:pPr>
          </w:p>
        </w:tc>
        <w:tc>
          <w:tcPr>
            <w:tcW w:w="1091" w:type="pct"/>
            <w:vAlign w:val="center"/>
          </w:tcPr>
          <w:p w14:paraId="0F047707">
            <w:pPr>
              <w:widowControl/>
              <w:tabs>
                <w:tab w:val="left" w:pos="567"/>
              </w:tabs>
              <w:autoSpaceDE w:val="0"/>
              <w:autoSpaceDN w:val="0"/>
              <w:spacing w:line="360" w:lineRule="auto"/>
              <w:jc w:val="center"/>
              <w:textAlignment w:val="bottom"/>
              <w:rPr>
                <w:rFonts w:ascii="仿宋" w:hAnsi="仿宋" w:eastAsia="仿宋" w:cs="仿宋"/>
                <w:bCs/>
                <w:szCs w:val="21"/>
              </w:rPr>
            </w:pPr>
          </w:p>
        </w:tc>
        <w:tc>
          <w:tcPr>
            <w:tcW w:w="1740" w:type="pct"/>
            <w:vAlign w:val="center"/>
          </w:tcPr>
          <w:p w14:paraId="1922CE69">
            <w:pPr>
              <w:widowControl/>
              <w:autoSpaceDE w:val="0"/>
              <w:autoSpaceDN w:val="0"/>
              <w:spacing w:line="360" w:lineRule="auto"/>
              <w:jc w:val="center"/>
              <w:textAlignment w:val="bottom"/>
              <w:rPr>
                <w:rFonts w:ascii="仿宋" w:hAnsi="仿宋" w:eastAsia="仿宋" w:cs="仿宋"/>
                <w:bCs/>
                <w:szCs w:val="21"/>
              </w:rPr>
            </w:pPr>
            <w:r>
              <w:rPr>
                <w:rFonts w:hint="eastAsia" w:ascii="仿宋" w:hAnsi="仿宋" w:eastAsia="仿宋" w:cs="仿宋"/>
                <w:bCs/>
                <w:szCs w:val="21"/>
              </w:rPr>
              <w:t>第  页</w:t>
            </w:r>
          </w:p>
        </w:tc>
      </w:tr>
      <w:tr w14:paraId="3080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2" w:type="pct"/>
            <w:vAlign w:val="center"/>
          </w:tcPr>
          <w:p w14:paraId="517E0655">
            <w:pPr>
              <w:widowControl/>
              <w:tabs>
                <w:tab w:val="left" w:pos="567"/>
              </w:tabs>
              <w:autoSpaceDE w:val="0"/>
              <w:autoSpaceDN w:val="0"/>
              <w:spacing w:line="360" w:lineRule="auto"/>
              <w:jc w:val="center"/>
              <w:textAlignment w:val="bottom"/>
              <w:rPr>
                <w:rFonts w:ascii="仿宋" w:hAnsi="仿宋" w:eastAsia="仿宋" w:cs="仿宋"/>
                <w:bCs/>
                <w:szCs w:val="21"/>
              </w:rPr>
            </w:pPr>
            <w:r>
              <w:rPr>
                <w:rFonts w:hint="eastAsia" w:ascii="仿宋" w:hAnsi="仿宋" w:eastAsia="仿宋" w:cs="仿宋"/>
                <w:bCs/>
                <w:szCs w:val="21"/>
              </w:rPr>
              <w:t>3</w:t>
            </w:r>
          </w:p>
        </w:tc>
        <w:tc>
          <w:tcPr>
            <w:tcW w:w="1364" w:type="pct"/>
            <w:vAlign w:val="center"/>
          </w:tcPr>
          <w:p w14:paraId="23D7DCA6">
            <w:pPr>
              <w:widowControl/>
              <w:tabs>
                <w:tab w:val="left" w:pos="567"/>
              </w:tabs>
              <w:autoSpaceDE w:val="0"/>
              <w:autoSpaceDN w:val="0"/>
              <w:spacing w:line="360" w:lineRule="auto"/>
              <w:jc w:val="center"/>
              <w:textAlignment w:val="bottom"/>
              <w:rPr>
                <w:rFonts w:ascii="仿宋" w:hAnsi="仿宋" w:eastAsia="仿宋" w:cs="仿宋"/>
                <w:bCs/>
                <w:szCs w:val="21"/>
              </w:rPr>
            </w:pPr>
          </w:p>
        </w:tc>
        <w:tc>
          <w:tcPr>
            <w:tcW w:w="1091" w:type="pct"/>
            <w:vAlign w:val="center"/>
          </w:tcPr>
          <w:p w14:paraId="25416342">
            <w:pPr>
              <w:widowControl/>
              <w:tabs>
                <w:tab w:val="left" w:pos="567"/>
              </w:tabs>
              <w:autoSpaceDE w:val="0"/>
              <w:autoSpaceDN w:val="0"/>
              <w:spacing w:line="360" w:lineRule="auto"/>
              <w:jc w:val="center"/>
              <w:textAlignment w:val="bottom"/>
              <w:rPr>
                <w:rFonts w:ascii="仿宋" w:hAnsi="仿宋" w:eastAsia="仿宋" w:cs="仿宋"/>
                <w:bCs/>
                <w:szCs w:val="21"/>
              </w:rPr>
            </w:pPr>
          </w:p>
        </w:tc>
        <w:tc>
          <w:tcPr>
            <w:tcW w:w="1740" w:type="pct"/>
            <w:vAlign w:val="center"/>
          </w:tcPr>
          <w:p w14:paraId="0B59DB69">
            <w:pPr>
              <w:widowControl/>
              <w:autoSpaceDE w:val="0"/>
              <w:autoSpaceDN w:val="0"/>
              <w:spacing w:line="360" w:lineRule="auto"/>
              <w:jc w:val="center"/>
              <w:textAlignment w:val="bottom"/>
              <w:rPr>
                <w:rFonts w:ascii="仿宋" w:hAnsi="仿宋" w:eastAsia="仿宋" w:cs="仿宋"/>
                <w:bCs/>
                <w:szCs w:val="21"/>
              </w:rPr>
            </w:pPr>
            <w:r>
              <w:rPr>
                <w:rFonts w:hint="eastAsia" w:ascii="仿宋" w:hAnsi="仿宋" w:eastAsia="仿宋" w:cs="仿宋"/>
                <w:bCs/>
                <w:szCs w:val="21"/>
              </w:rPr>
              <w:t>第  页</w:t>
            </w:r>
          </w:p>
        </w:tc>
      </w:tr>
      <w:tr w14:paraId="2BDF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2" w:type="pct"/>
            <w:vAlign w:val="center"/>
          </w:tcPr>
          <w:p w14:paraId="685B1D42">
            <w:pPr>
              <w:widowControl/>
              <w:tabs>
                <w:tab w:val="left" w:pos="567"/>
              </w:tabs>
              <w:autoSpaceDE w:val="0"/>
              <w:autoSpaceDN w:val="0"/>
              <w:spacing w:line="360" w:lineRule="auto"/>
              <w:jc w:val="center"/>
              <w:textAlignment w:val="bottom"/>
              <w:rPr>
                <w:rFonts w:ascii="仿宋" w:hAnsi="仿宋" w:eastAsia="仿宋" w:cs="仿宋"/>
                <w:bCs/>
                <w:szCs w:val="21"/>
              </w:rPr>
            </w:pPr>
            <w:r>
              <w:rPr>
                <w:rFonts w:hint="eastAsia" w:ascii="仿宋" w:hAnsi="仿宋" w:eastAsia="仿宋" w:cs="仿宋"/>
                <w:bCs/>
                <w:szCs w:val="21"/>
              </w:rPr>
              <w:t>……</w:t>
            </w:r>
          </w:p>
        </w:tc>
        <w:tc>
          <w:tcPr>
            <w:tcW w:w="1364" w:type="pct"/>
            <w:vAlign w:val="center"/>
          </w:tcPr>
          <w:p w14:paraId="0A7976F1">
            <w:pPr>
              <w:widowControl/>
              <w:tabs>
                <w:tab w:val="left" w:pos="567"/>
              </w:tabs>
              <w:autoSpaceDE w:val="0"/>
              <w:autoSpaceDN w:val="0"/>
              <w:spacing w:line="360" w:lineRule="auto"/>
              <w:jc w:val="center"/>
              <w:textAlignment w:val="bottom"/>
              <w:rPr>
                <w:rFonts w:ascii="仿宋" w:hAnsi="仿宋" w:eastAsia="仿宋" w:cs="仿宋"/>
                <w:bCs/>
                <w:szCs w:val="21"/>
              </w:rPr>
            </w:pPr>
          </w:p>
        </w:tc>
        <w:tc>
          <w:tcPr>
            <w:tcW w:w="1091" w:type="pct"/>
            <w:vAlign w:val="center"/>
          </w:tcPr>
          <w:p w14:paraId="6667DE76">
            <w:pPr>
              <w:widowControl/>
              <w:tabs>
                <w:tab w:val="left" w:pos="567"/>
              </w:tabs>
              <w:autoSpaceDE w:val="0"/>
              <w:autoSpaceDN w:val="0"/>
              <w:spacing w:line="360" w:lineRule="auto"/>
              <w:jc w:val="center"/>
              <w:textAlignment w:val="bottom"/>
              <w:rPr>
                <w:rFonts w:ascii="仿宋" w:hAnsi="仿宋" w:eastAsia="仿宋" w:cs="仿宋"/>
                <w:bCs/>
                <w:szCs w:val="21"/>
              </w:rPr>
            </w:pPr>
          </w:p>
        </w:tc>
        <w:tc>
          <w:tcPr>
            <w:tcW w:w="1740" w:type="pct"/>
            <w:vAlign w:val="center"/>
          </w:tcPr>
          <w:p w14:paraId="621F9470">
            <w:pPr>
              <w:widowControl/>
              <w:autoSpaceDE w:val="0"/>
              <w:autoSpaceDN w:val="0"/>
              <w:spacing w:line="360" w:lineRule="auto"/>
              <w:jc w:val="center"/>
              <w:textAlignment w:val="bottom"/>
              <w:rPr>
                <w:rFonts w:ascii="仿宋" w:hAnsi="仿宋" w:eastAsia="仿宋" w:cs="仿宋"/>
                <w:bCs/>
                <w:szCs w:val="21"/>
              </w:rPr>
            </w:pPr>
            <w:r>
              <w:rPr>
                <w:rFonts w:hint="eastAsia" w:ascii="仿宋" w:hAnsi="仿宋" w:eastAsia="仿宋" w:cs="仿宋"/>
                <w:bCs/>
                <w:szCs w:val="21"/>
              </w:rPr>
              <w:t>第  页</w:t>
            </w:r>
          </w:p>
        </w:tc>
      </w:tr>
    </w:tbl>
    <w:p w14:paraId="45DEE040">
      <w:pPr>
        <w:spacing w:line="360" w:lineRule="auto"/>
        <w:jc w:val="left"/>
        <w:rPr>
          <w:rFonts w:ascii="仿宋" w:hAnsi="仿宋" w:eastAsia="仿宋" w:cs="仿宋"/>
          <w:b/>
          <w:sz w:val="24"/>
          <w:szCs w:val="24"/>
        </w:rPr>
      </w:pPr>
      <w:r>
        <w:rPr>
          <w:rFonts w:hint="eastAsia" w:ascii="仿宋" w:hAnsi="仿宋" w:eastAsia="仿宋" w:cs="仿宋"/>
          <w:b/>
          <w:bCs/>
          <w:sz w:val="24"/>
          <w:szCs w:val="24"/>
        </w:rPr>
        <w:t>备注：</w:t>
      </w:r>
      <w:r>
        <w:rPr>
          <w:rFonts w:hint="eastAsia" w:ascii="仿宋" w:hAnsi="仿宋" w:eastAsia="仿宋" w:cs="仿宋"/>
          <w:b/>
          <w:sz w:val="24"/>
          <w:szCs w:val="24"/>
        </w:rPr>
        <w:t>按照招标文件第三章的要求，提供有效证明材料，并顺序排放证明材料。</w:t>
      </w:r>
    </w:p>
    <w:p w14:paraId="5B4E1E81">
      <w:pPr>
        <w:spacing w:line="360" w:lineRule="auto"/>
        <w:jc w:val="right"/>
        <w:textAlignment w:val="baseline"/>
        <w:rPr>
          <w:rFonts w:ascii="仿宋" w:hAnsi="仿宋" w:eastAsia="仿宋" w:cs="仿宋"/>
          <w:sz w:val="24"/>
        </w:rPr>
      </w:pPr>
    </w:p>
    <w:p w14:paraId="16DB1EDE">
      <w:pPr>
        <w:spacing w:line="360" w:lineRule="auto"/>
        <w:jc w:val="right"/>
        <w:textAlignment w:val="baseline"/>
        <w:rPr>
          <w:rFonts w:ascii="仿宋" w:hAnsi="仿宋" w:eastAsia="仿宋" w:cs="仿宋"/>
          <w:sz w:val="24"/>
        </w:rPr>
      </w:pPr>
    </w:p>
    <w:p w14:paraId="5DDABB08">
      <w:pPr>
        <w:spacing w:line="360" w:lineRule="auto"/>
        <w:jc w:val="right"/>
        <w:textAlignment w:val="baseline"/>
        <w:rPr>
          <w:rFonts w:ascii="仿宋" w:hAnsi="仿宋" w:eastAsia="仿宋" w:cs="仿宋"/>
          <w:sz w:val="24"/>
        </w:rPr>
      </w:pPr>
    </w:p>
    <w:p w14:paraId="1ECC64BA">
      <w:pPr>
        <w:spacing w:line="360" w:lineRule="auto"/>
        <w:jc w:val="right"/>
        <w:textAlignment w:val="baseline"/>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（盖章）</w:t>
      </w:r>
    </w:p>
    <w:p w14:paraId="1BBB487D">
      <w:pPr>
        <w:spacing w:line="360" w:lineRule="auto"/>
        <w:jc w:val="right"/>
        <w:rPr>
          <w:rFonts w:ascii="仿宋" w:hAnsi="仿宋" w:eastAsia="仿宋" w:cs="仿宋"/>
          <w:b/>
          <w:bCs/>
          <w:sz w:val="24"/>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B312054">
      <w:pPr>
        <w:spacing w:line="360" w:lineRule="auto"/>
        <w:rPr>
          <w:rFonts w:ascii="仿宋" w:hAnsi="仿宋" w:eastAsia="仿宋" w:cs="仿宋"/>
        </w:rPr>
      </w:pPr>
    </w:p>
    <w:p w14:paraId="2ABC6FFB">
      <w:pPr>
        <w:spacing w:line="360" w:lineRule="auto"/>
        <w:rPr>
          <w:rFonts w:ascii="仿宋" w:hAnsi="仿宋" w:eastAsia="仿宋" w:cs="仿宋"/>
        </w:rPr>
      </w:pPr>
    </w:p>
    <w:p w14:paraId="5B6BDBFA">
      <w:pPr>
        <w:spacing w:line="360" w:lineRule="auto"/>
        <w:rPr>
          <w:rFonts w:ascii="仿宋" w:hAnsi="仿宋" w:eastAsia="仿宋" w:cs="仿宋"/>
        </w:rPr>
      </w:pPr>
      <w:r>
        <w:rPr>
          <w:rFonts w:hint="eastAsia" w:ascii="仿宋" w:hAnsi="仿宋" w:eastAsia="仿宋" w:cs="仿宋"/>
        </w:rPr>
        <w:br w:type="page"/>
      </w:r>
    </w:p>
    <w:p w14:paraId="1BFDD06A">
      <w:pPr>
        <w:pStyle w:val="5"/>
        <w:spacing w:line="360" w:lineRule="auto"/>
        <w:rPr>
          <w:rFonts w:hint="default" w:ascii="仿宋" w:hAnsi="仿宋" w:cs="仿宋"/>
        </w:rPr>
      </w:pPr>
      <w:bookmarkStart w:id="996" w:name="_Toc15752"/>
      <w:bookmarkStart w:id="997" w:name="_Toc30261"/>
      <w:bookmarkStart w:id="998" w:name="_Toc31667"/>
      <w:bookmarkStart w:id="999" w:name="_Toc6640"/>
      <w:bookmarkStart w:id="1000" w:name="_Toc16297"/>
      <w:r>
        <w:rPr>
          <w:rFonts w:ascii="仿宋" w:hAnsi="仿宋" w:cs="仿宋"/>
        </w:rPr>
        <w:t>（十）同类项目汇总表</w:t>
      </w:r>
      <w:bookmarkEnd w:id="996"/>
      <w:bookmarkEnd w:id="997"/>
      <w:bookmarkEnd w:id="998"/>
      <w:bookmarkEnd w:id="999"/>
      <w:bookmarkEnd w:id="1000"/>
    </w:p>
    <w:p w14:paraId="0BA6D7C7">
      <w:pPr>
        <w:spacing w:line="360" w:lineRule="auto"/>
        <w:jc w:val="center"/>
        <w:rPr>
          <w:rFonts w:ascii="仿宋" w:hAnsi="仿宋" w:eastAsia="仿宋" w:cs="仿宋"/>
          <w:b/>
          <w:sz w:val="24"/>
          <w:szCs w:val="24"/>
        </w:rPr>
      </w:pPr>
      <w:r>
        <w:rPr>
          <w:rFonts w:hint="eastAsia" w:ascii="仿宋" w:hAnsi="仿宋" w:eastAsia="仿宋" w:cs="仿宋"/>
          <w:b/>
          <w:sz w:val="24"/>
          <w:szCs w:val="24"/>
        </w:rPr>
        <w:t>同类业绩汇总表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776"/>
        <w:gridCol w:w="1192"/>
        <w:gridCol w:w="1275"/>
        <w:gridCol w:w="1134"/>
        <w:gridCol w:w="1418"/>
        <w:gridCol w:w="954"/>
      </w:tblGrid>
      <w:tr w14:paraId="7540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215" w:type="dxa"/>
            <w:vAlign w:val="center"/>
          </w:tcPr>
          <w:p w14:paraId="68BCE9C6">
            <w:pPr>
              <w:spacing w:line="360" w:lineRule="auto"/>
              <w:jc w:val="center"/>
              <w:rPr>
                <w:rFonts w:ascii="仿宋" w:hAnsi="仿宋" w:eastAsia="仿宋" w:cs="仿宋"/>
                <w:b/>
                <w:szCs w:val="21"/>
              </w:rPr>
            </w:pPr>
            <w:r>
              <w:rPr>
                <w:rFonts w:hint="eastAsia" w:ascii="仿宋" w:hAnsi="仿宋" w:eastAsia="仿宋" w:cs="仿宋"/>
                <w:b/>
                <w:szCs w:val="21"/>
              </w:rPr>
              <w:t>序号</w:t>
            </w:r>
          </w:p>
        </w:tc>
        <w:tc>
          <w:tcPr>
            <w:tcW w:w="1776" w:type="dxa"/>
            <w:vAlign w:val="center"/>
          </w:tcPr>
          <w:p w14:paraId="6B0E66DD">
            <w:pPr>
              <w:spacing w:line="360" w:lineRule="auto"/>
              <w:jc w:val="center"/>
              <w:rPr>
                <w:rFonts w:ascii="仿宋" w:hAnsi="仿宋" w:eastAsia="仿宋" w:cs="仿宋"/>
                <w:b/>
                <w:szCs w:val="21"/>
              </w:rPr>
            </w:pPr>
            <w:r>
              <w:rPr>
                <w:rFonts w:hint="eastAsia" w:ascii="仿宋" w:hAnsi="仿宋" w:eastAsia="仿宋" w:cs="仿宋"/>
                <w:b/>
                <w:szCs w:val="21"/>
              </w:rPr>
              <w:t>合同名称</w:t>
            </w:r>
          </w:p>
        </w:tc>
        <w:tc>
          <w:tcPr>
            <w:tcW w:w="1192" w:type="dxa"/>
            <w:vAlign w:val="center"/>
          </w:tcPr>
          <w:p w14:paraId="09A0F4FA">
            <w:pPr>
              <w:spacing w:line="360" w:lineRule="auto"/>
              <w:jc w:val="center"/>
              <w:rPr>
                <w:rFonts w:ascii="仿宋" w:hAnsi="仿宋" w:eastAsia="仿宋" w:cs="仿宋"/>
                <w:b/>
                <w:szCs w:val="21"/>
              </w:rPr>
            </w:pPr>
            <w:r>
              <w:rPr>
                <w:rFonts w:hint="eastAsia" w:ascii="仿宋" w:hAnsi="仿宋" w:eastAsia="仿宋" w:cs="仿宋"/>
                <w:b/>
                <w:szCs w:val="21"/>
              </w:rPr>
              <w:t>签订时间</w:t>
            </w:r>
          </w:p>
        </w:tc>
        <w:tc>
          <w:tcPr>
            <w:tcW w:w="1275" w:type="dxa"/>
            <w:vAlign w:val="center"/>
          </w:tcPr>
          <w:p w14:paraId="1CF080A0">
            <w:pPr>
              <w:spacing w:line="360" w:lineRule="auto"/>
              <w:jc w:val="center"/>
              <w:rPr>
                <w:rFonts w:ascii="仿宋" w:hAnsi="仿宋" w:eastAsia="仿宋" w:cs="仿宋"/>
                <w:b/>
                <w:szCs w:val="21"/>
              </w:rPr>
            </w:pPr>
            <w:r>
              <w:rPr>
                <w:rFonts w:hint="eastAsia" w:ascii="仿宋" w:hAnsi="仿宋" w:eastAsia="仿宋" w:cs="仿宋"/>
                <w:b/>
                <w:szCs w:val="21"/>
              </w:rPr>
              <w:t>合同金额（万元）</w:t>
            </w:r>
          </w:p>
        </w:tc>
        <w:tc>
          <w:tcPr>
            <w:tcW w:w="1134" w:type="dxa"/>
            <w:vAlign w:val="center"/>
          </w:tcPr>
          <w:p w14:paraId="61CAF536">
            <w:pPr>
              <w:spacing w:line="360" w:lineRule="auto"/>
              <w:jc w:val="center"/>
              <w:rPr>
                <w:rFonts w:ascii="仿宋" w:hAnsi="仿宋" w:eastAsia="仿宋" w:cs="仿宋"/>
                <w:b/>
                <w:szCs w:val="21"/>
              </w:rPr>
            </w:pPr>
            <w:r>
              <w:rPr>
                <w:rFonts w:hint="eastAsia" w:ascii="仿宋" w:hAnsi="仿宋" w:eastAsia="仿宋" w:cs="仿宋"/>
                <w:b/>
                <w:szCs w:val="21"/>
              </w:rPr>
              <w:t>合同甲方</w:t>
            </w:r>
          </w:p>
        </w:tc>
        <w:tc>
          <w:tcPr>
            <w:tcW w:w="1418" w:type="dxa"/>
            <w:vAlign w:val="center"/>
          </w:tcPr>
          <w:p w14:paraId="6BB81C04">
            <w:pPr>
              <w:spacing w:line="360" w:lineRule="auto"/>
              <w:jc w:val="center"/>
              <w:rPr>
                <w:rFonts w:ascii="仿宋" w:hAnsi="仿宋" w:eastAsia="仿宋" w:cs="仿宋"/>
                <w:b/>
                <w:szCs w:val="21"/>
              </w:rPr>
            </w:pPr>
            <w:r>
              <w:rPr>
                <w:rFonts w:hint="eastAsia" w:ascii="仿宋" w:hAnsi="仿宋" w:eastAsia="仿宋" w:cs="仿宋"/>
                <w:b/>
                <w:szCs w:val="21"/>
              </w:rPr>
              <w:t>甲方联系人及电话</w:t>
            </w:r>
          </w:p>
        </w:tc>
        <w:tc>
          <w:tcPr>
            <w:tcW w:w="954" w:type="dxa"/>
            <w:vAlign w:val="center"/>
          </w:tcPr>
          <w:p w14:paraId="6D75BE27">
            <w:pPr>
              <w:spacing w:line="360" w:lineRule="auto"/>
              <w:jc w:val="center"/>
              <w:rPr>
                <w:rFonts w:ascii="仿宋" w:hAnsi="仿宋" w:eastAsia="仿宋" w:cs="仿宋"/>
                <w:b/>
                <w:szCs w:val="21"/>
              </w:rPr>
            </w:pPr>
            <w:r>
              <w:rPr>
                <w:rFonts w:hint="eastAsia" w:ascii="仿宋" w:hAnsi="仿宋" w:eastAsia="仿宋" w:cs="仿宋"/>
                <w:b/>
                <w:szCs w:val="21"/>
              </w:rPr>
              <w:t>备注</w:t>
            </w:r>
          </w:p>
        </w:tc>
      </w:tr>
      <w:tr w14:paraId="4993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15" w:type="dxa"/>
            <w:vAlign w:val="center"/>
          </w:tcPr>
          <w:p w14:paraId="3502D2FB">
            <w:pPr>
              <w:spacing w:line="360" w:lineRule="auto"/>
              <w:jc w:val="center"/>
              <w:rPr>
                <w:rFonts w:ascii="仿宋" w:hAnsi="仿宋" w:eastAsia="仿宋" w:cs="仿宋"/>
                <w:szCs w:val="21"/>
              </w:rPr>
            </w:pPr>
          </w:p>
        </w:tc>
        <w:tc>
          <w:tcPr>
            <w:tcW w:w="1776" w:type="dxa"/>
            <w:vAlign w:val="center"/>
          </w:tcPr>
          <w:p w14:paraId="2AE2BB30">
            <w:pPr>
              <w:spacing w:line="360" w:lineRule="auto"/>
              <w:jc w:val="center"/>
              <w:rPr>
                <w:rFonts w:ascii="仿宋" w:hAnsi="仿宋" w:eastAsia="仿宋" w:cs="仿宋"/>
                <w:szCs w:val="21"/>
              </w:rPr>
            </w:pPr>
          </w:p>
        </w:tc>
        <w:tc>
          <w:tcPr>
            <w:tcW w:w="1192" w:type="dxa"/>
            <w:vAlign w:val="center"/>
          </w:tcPr>
          <w:p w14:paraId="264993FF">
            <w:pPr>
              <w:spacing w:line="360" w:lineRule="auto"/>
              <w:jc w:val="center"/>
              <w:rPr>
                <w:rFonts w:ascii="仿宋" w:hAnsi="仿宋" w:eastAsia="仿宋" w:cs="仿宋"/>
                <w:szCs w:val="21"/>
              </w:rPr>
            </w:pPr>
          </w:p>
        </w:tc>
        <w:tc>
          <w:tcPr>
            <w:tcW w:w="1275" w:type="dxa"/>
            <w:vAlign w:val="center"/>
          </w:tcPr>
          <w:p w14:paraId="6C9CAD14">
            <w:pPr>
              <w:spacing w:line="360" w:lineRule="auto"/>
              <w:jc w:val="center"/>
              <w:rPr>
                <w:rFonts w:ascii="仿宋" w:hAnsi="仿宋" w:eastAsia="仿宋" w:cs="仿宋"/>
                <w:szCs w:val="21"/>
              </w:rPr>
            </w:pPr>
          </w:p>
        </w:tc>
        <w:tc>
          <w:tcPr>
            <w:tcW w:w="1134" w:type="dxa"/>
            <w:vAlign w:val="center"/>
          </w:tcPr>
          <w:p w14:paraId="60EA2069">
            <w:pPr>
              <w:spacing w:line="360" w:lineRule="auto"/>
              <w:jc w:val="center"/>
              <w:rPr>
                <w:rFonts w:ascii="仿宋" w:hAnsi="仿宋" w:eastAsia="仿宋" w:cs="仿宋"/>
                <w:szCs w:val="21"/>
              </w:rPr>
            </w:pPr>
          </w:p>
        </w:tc>
        <w:tc>
          <w:tcPr>
            <w:tcW w:w="1418" w:type="dxa"/>
            <w:vAlign w:val="center"/>
          </w:tcPr>
          <w:p w14:paraId="053EEFB7">
            <w:pPr>
              <w:spacing w:line="360" w:lineRule="auto"/>
              <w:jc w:val="center"/>
              <w:rPr>
                <w:rFonts w:ascii="仿宋" w:hAnsi="仿宋" w:eastAsia="仿宋" w:cs="仿宋"/>
                <w:szCs w:val="21"/>
              </w:rPr>
            </w:pPr>
          </w:p>
        </w:tc>
        <w:tc>
          <w:tcPr>
            <w:tcW w:w="954" w:type="dxa"/>
            <w:vAlign w:val="center"/>
          </w:tcPr>
          <w:p w14:paraId="3823A902">
            <w:pPr>
              <w:spacing w:line="360" w:lineRule="auto"/>
              <w:jc w:val="center"/>
              <w:rPr>
                <w:rFonts w:ascii="仿宋" w:hAnsi="仿宋" w:eastAsia="仿宋" w:cs="仿宋"/>
                <w:szCs w:val="21"/>
              </w:rPr>
            </w:pPr>
          </w:p>
        </w:tc>
      </w:tr>
      <w:tr w14:paraId="482E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15" w:type="dxa"/>
            <w:vAlign w:val="center"/>
          </w:tcPr>
          <w:p w14:paraId="76B9D168">
            <w:pPr>
              <w:spacing w:line="360" w:lineRule="auto"/>
              <w:jc w:val="center"/>
              <w:rPr>
                <w:rFonts w:ascii="仿宋" w:hAnsi="仿宋" w:eastAsia="仿宋" w:cs="仿宋"/>
                <w:szCs w:val="21"/>
              </w:rPr>
            </w:pPr>
          </w:p>
          <w:p w14:paraId="50A9633B">
            <w:pPr>
              <w:spacing w:line="360" w:lineRule="auto"/>
              <w:jc w:val="center"/>
              <w:rPr>
                <w:rFonts w:ascii="仿宋" w:hAnsi="仿宋" w:eastAsia="仿宋" w:cs="仿宋"/>
                <w:szCs w:val="21"/>
              </w:rPr>
            </w:pPr>
          </w:p>
        </w:tc>
        <w:tc>
          <w:tcPr>
            <w:tcW w:w="1776" w:type="dxa"/>
            <w:vAlign w:val="center"/>
          </w:tcPr>
          <w:p w14:paraId="48F08ABC">
            <w:pPr>
              <w:spacing w:line="360" w:lineRule="auto"/>
              <w:jc w:val="center"/>
              <w:rPr>
                <w:rFonts w:ascii="仿宋" w:hAnsi="仿宋" w:eastAsia="仿宋" w:cs="仿宋"/>
                <w:szCs w:val="21"/>
              </w:rPr>
            </w:pPr>
          </w:p>
        </w:tc>
        <w:tc>
          <w:tcPr>
            <w:tcW w:w="1192" w:type="dxa"/>
            <w:vAlign w:val="center"/>
          </w:tcPr>
          <w:p w14:paraId="295B08B0">
            <w:pPr>
              <w:spacing w:line="360" w:lineRule="auto"/>
              <w:jc w:val="center"/>
              <w:rPr>
                <w:rFonts w:ascii="仿宋" w:hAnsi="仿宋" w:eastAsia="仿宋" w:cs="仿宋"/>
                <w:szCs w:val="21"/>
              </w:rPr>
            </w:pPr>
          </w:p>
        </w:tc>
        <w:tc>
          <w:tcPr>
            <w:tcW w:w="1275" w:type="dxa"/>
            <w:vAlign w:val="center"/>
          </w:tcPr>
          <w:p w14:paraId="1C957556">
            <w:pPr>
              <w:spacing w:line="360" w:lineRule="auto"/>
              <w:jc w:val="center"/>
              <w:rPr>
                <w:rFonts w:ascii="仿宋" w:hAnsi="仿宋" w:eastAsia="仿宋" w:cs="仿宋"/>
                <w:szCs w:val="21"/>
              </w:rPr>
            </w:pPr>
          </w:p>
        </w:tc>
        <w:tc>
          <w:tcPr>
            <w:tcW w:w="1134" w:type="dxa"/>
            <w:vAlign w:val="center"/>
          </w:tcPr>
          <w:p w14:paraId="05F43251">
            <w:pPr>
              <w:spacing w:line="360" w:lineRule="auto"/>
              <w:jc w:val="center"/>
              <w:rPr>
                <w:rFonts w:ascii="仿宋" w:hAnsi="仿宋" w:eastAsia="仿宋" w:cs="仿宋"/>
                <w:szCs w:val="21"/>
              </w:rPr>
            </w:pPr>
          </w:p>
        </w:tc>
        <w:tc>
          <w:tcPr>
            <w:tcW w:w="1418" w:type="dxa"/>
            <w:vAlign w:val="center"/>
          </w:tcPr>
          <w:p w14:paraId="1F02F7F4">
            <w:pPr>
              <w:spacing w:line="360" w:lineRule="auto"/>
              <w:jc w:val="center"/>
              <w:rPr>
                <w:rFonts w:ascii="仿宋" w:hAnsi="仿宋" w:eastAsia="仿宋" w:cs="仿宋"/>
                <w:szCs w:val="21"/>
              </w:rPr>
            </w:pPr>
          </w:p>
        </w:tc>
        <w:tc>
          <w:tcPr>
            <w:tcW w:w="954" w:type="dxa"/>
            <w:vAlign w:val="center"/>
          </w:tcPr>
          <w:p w14:paraId="4C9D0A27">
            <w:pPr>
              <w:spacing w:line="360" w:lineRule="auto"/>
              <w:jc w:val="center"/>
              <w:rPr>
                <w:rFonts w:ascii="仿宋" w:hAnsi="仿宋" w:eastAsia="仿宋" w:cs="仿宋"/>
                <w:szCs w:val="21"/>
              </w:rPr>
            </w:pPr>
          </w:p>
        </w:tc>
      </w:tr>
      <w:tr w14:paraId="438C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15" w:type="dxa"/>
            <w:vAlign w:val="center"/>
          </w:tcPr>
          <w:p w14:paraId="550B07F2">
            <w:pPr>
              <w:spacing w:line="360" w:lineRule="auto"/>
              <w:jc w:val="center"/>
              <w:rPr>
                <w:rFonts w:ascii="仿宋" w:hAnsi="仿宋" w:eastAsia="仿宋" w:cs="仿宋"/>
                <w:szCs w:val="21"/>
              </w:rPr>
            </w:pPr>
          </w:p>
        </w:tc>
        <w:tc>
          <w:tcPr>
            <w:tcW w:w="1776" w:type="dxa"/>
            <w:vAlign w:val="center"/>
          </w:tcPr>
          <w:p w14:paraId="3C88C82B">
            <w:pPr>
              <w:spacing w:line="360" w:lineRule="auto"/>
              <w:jc w:val="center"/>
              <w:rPr>
                <w:rFonts w:ascii="仿宋" w:hAnsi="仿宋" w:eastAsia="仿宋" w:cs="仿宋"/>
                <w:szCs w:val="21"/>
              </w:rPr>
            </w:pPr>
          </w:p>
        </w:tc>
        <w:tc>
          <w:tcPr>
            <w:tcW w:w="1192" w:type="dxa"/>
            <w:vAlign w:val="center"/>
          </w:tcPr>
          <w:p w14:paraId="75C8C058">
            <w:pPr>
              <w:spacing w:line="360" w:lineRule="auto"/>
              <w:jc w:val="center"/>
              <w:rPr>
                <w:rFonts w:ascii="仿宋" w:hAnsi="仿宋" w:eastAsia="仿宋" w:cs="仿宋"/>
                <w:szCs w:val="21"/>
              </w:rPr>
            </w:pPr>
          </w:p>
        </w:tc>
        <w:tc>
          <w:tcPr>
            <w:tcW w:w="1275" w:type="dxa"/>
            <w:vAlign w:val="center"/>
          </w:tcPr>
          <w:p w14:paraId="0C6B825A">
            <w:pPr>
              <w:spacing w:line="360" w:lineRule="auto"/>
              <w:jc w:val="center"/>
              <w:rPr>
                <w:rFonts w:ascii="仿宋" w:hAnsi="仿宋" w:eastAsia="仿宋" w:cs="仿宋"/>
                <w:szCs w:val="21"/>
              </w:rPr>
            </w:pPr>
          </w:p>
        </w:tc>
        <w:tc>
          <w:tcPr>
            <w:tcW w:w="1134" w:type="dxa"/>
            <w:vAlign w:val="center"/>
          </w:tcPr>
          <w:p w14:paraId="384E3999">
            <w:pPr>
              <w:spacing w:line="360" w:lineRule="auto"/>
              <w:jc w:val="center"/>
              <w:rPr>
                <w:rFonts w:ascii="仿宋" w:hAnsi="仿宋" w:eastAsia="仿宋" w:cs="仿宋"/>
                <w:szCs w:val="21"/>
              </w:rPr>
            </w:pPr>
          </w:p>
        </w:tc>
        <w:tc>
          <w:tcPr>
            <w:tcW w:w="1418" w:type="dxa"/>
            <w:vAlign w:val="center"/>
          </w:tcPr>
          <w:p w14:paraId="1AA371B3">
            <w:pPr>
              <w:spacing w:line="360" w:lineRule="auto"/>
              <w:jc w:val="center"/>
              <w:rPr>
                <w:rFonts w:ascii="仿宋" w:hAnsi="仿宋" w:eastAsia="仿宋" w:cs="仿宋"/>
                <w:szCs w:val="21"/>
              </w:rPr>
            </w:pPr>
          </w:p>
        </w:tc>
        <w:tc>
          <w:tcPr>
            <w:tcW w:w="954" w:type="dxa"/>
            <w:vAlign w:val="center"/>
          </w:tcPr>
          <w:p w14:paraId="1CA8E0F2">
            <w:pPr>
              <w:spacing w:line="360" w:lineRule="auto"/>
              <w:jc w:val="center"/>
              <w:rPr>
                <w:rFonts w:ascii="仿宋" w:hAnsi="仿宋" w:eastAsia="仿宋" w:cs="仿宋"/>
                <w:szCs w:val="21"/>
              </w:rPr>
            </w:pPr>
          </w:p>
        </w:tc>
      </w:tr>
      <w:tr w14:paraId="04C0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15" w:type="dxa"/>
            <w:vAlign w:val="center"/>
          </w:tcPr>
          <w:p w14:paraId="4F27B9CB">
            <w:pPr>
              <w:spacing w:line="360" w:lineRule="auto"/>
              <w:jc w:val="center"/>
              <w:rPr>
                <w:rFonts w:ascii="仿宋" w:hAnsi="仿宋" w:eastAsia="仿宋" w:cs="仿宋"/>
                <w:szCs w:val="21"/>
              </w:rPr>
            </w:pPr>
          </w:p>
        </w:tc>
        <w:tc>
          <w:tcPr>
            <w:tcW w:w="1776" w:type="dxa"/>
            <w:vAlign w:val="center"/>
          </w:tcPr>
          <w:p w14:paraId="57AD637F">
            <w:pPr>
              <w:spacing w:line="360" w:lineRule="auto"/>
              <w:jc w:val="center"/>
              <w:rPr>
                <w:rFonts w:ascii="仿宋" w:hAnsi="仿宋" w:eastAsia="仿宋" w:cs="仿宋"/>
                <w:szCs w:val="21"/>
              </w:rPr>
            </w:pPr>
          </w:p>
        </w:tc>
        <w:tc>
          <w:tcPr>
            <w:tcW w:w="1192" w:type="dxa"/>
            <w:vAlign w:val="center"/>
          </w:tcPr>
          <w:p w14:paraId="0D00D98F">
            <w:pPr>
              <w:spacing w:line="360" w:lineRule="auto"/>
              <w:jc w:val="center"/>
              <w:rPr>
                <w:rFonts w:ascii="仿宋" w:hAnsi="仿宋" w:eastAsia="仿宋" w:cs="仿宋"/>
                <w:szCs w:val="21"/>
              </w:rPr>
            </w:pPr>
          </w:p>
        </w:tc>
        <w:tc>
          <w:tcPr>
            <w:tcW w:w="1275" w:type="dxa"/>
            <w:vAlign w:val="center"/>
          </w:tcPr>
          <w:p w14:paraId="104D9401">
            <w:pPr>
              <w:spacing w:line="360" w:lineRule="auto"/>
              <w:jc w:val="center"/>
              <w:rPr>
                <w:rFonts w:ascii="仿宋" w:hAnsi="仿宋" w:eastAsia="仿宋" w:cs="仿宋"/>
                <w:szCs w:val="21"/>
              </w:rPr>
            </w:pPr>
          </w:p>
        </w:tc>
        <w:tc>
          <w:tcPr>
            <w:tcW w:w="1134" w:type="dxa"/>
            <w:vAlign w:val="center"/>
          </w:tcPr>
          <w:p w14:paraId="1DE38778">
            <w:pPr>
              <w:spacing w:line="360" w:lineRule="auto"/>
              <w:jc w:val="center"/>
              <w:rPr>
                <w:rFonts w:ascii="仿宋" w:hAnsi="仿宋" w:eastAsia="仿宋" w:cs="仿宋"/>
                <w:szCs w:val="21"/>
              </w:rPr>
            </w:pPr>
          </w:p>
        </w:tc>
        <w:tc>
          <w:tcPr>
            <w:tcW w:w="1418" w:type="dxa"/>
            <w:vAlign w:val="center"/>
          </w:tcPr>
          <w:p w14:paraId="41B51F58">
            <w:pPr>
              <w:spacing w:line="360" w:lineRule="auto"/>
              <w:jc w:val="center"/>
              <w:rPr>
                <w:rFonts w:ascii="仿宋" w:hAnsi="仿宋" w:eastAsia="仿宋" w:cs="仿宋"/>
                <w:szCs w:val="21"/>
              </w:rPr>
            </w:pPr>
          </w:p>
        </w:tc>
        <w:tc>
          <w:tcPr>
            <w:tcW w:w="954" w:type="dxa"/>
            <w:vAlign w:val="center"/>
          </w:tcPr>
          <w:p w14:paraId="5682F93B">
            <w:pPr>
              <w:spacing w:line="360" w:lineRule="auto"/>
              <w:jc w:val="center"/>
              <w:rPr>
                <w:rFonts w:ascii="仿宋" w:hAnsi="仿宋" w:eastAsia="仿宋" w:cs="仿宋"/>
                <w:szCs w:val="21"/>
              </w:rPr>
            </w:pPr>
          </w:p>
        </w:tc>
      </w:tr>
      <w:tr w14:paraId="2029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15" w:type="dxa"/>
            <w:vAlign w:val="center"/>
          </w:tcPr>
          <w:p w14:paraId="48FB3EAF">
            <w:pPr>
              <w:spacing w:line="360" w:lineRule="auto"/>
              <w:jc w:val="center"/>
              <w:rPr>
                <w:rFonts w:ascii="仿宋" w:hAnsi="仿宋" w:eastAsia="仿宋" w:cs="仿宋"/>
                <w:szCs w:val="21"/>
              </w:rPr>
            </w:pPr>
          </w:p>
        </w:tc>
        <w:tc>
          <w:tcPr>
            <w:tcW w:w="1776" w:type="dxa"/>
            <w:vAlign w:val="center"/>
          </w:tcPr>
          <w:p w14:paraId="22A00995">
            <w:pPr>
              <w:spacing w:line="360" w:lineRule="auto"/>
              <w:jc w:val="center"/>
              <w:rPr>
                <w:rFonts w:ascii="仿宋" w:hAnsi="仿宋" w:eastAsia="仿宋" w:cs="仿宋"/>
                <w:szCs w:val="21"/>
              </w:rPr>
            </w:pPr>
          </w:p>
        </w:tc>
        <w:tc>
          <w:tcPr>
            <w:tcW w:w="1192" w:type="dxa"/>
            <w:vAlign w:val="center"/>
          </w:tcPr>
          <w:p w14:paraId="3FABFAE2">
            <w:pPr>
              <w:spacing w:line="360" w:lineRule="auto"/>
              <w:jc w:val="center"/>
              <w:rPr>
                <w:rFonts w:ascii="仿宋" w:hAnsi="仿宋" w:eastAsia="仿宋" w:cs="仿宋"/>
                <w:szCs w:val="21"/>
              </w:rPr>
            </w:pPr>
          </w:p>
        </w:tc>
        <w:tc>
          <w:tcPr>
            <w:tcW w:w="1275" w:type="dxa"/>
            <w:vAlign w:val="center"/>
          </w:tcPr>
          <w:p w14:paraId="5725AF97">
            <w:pPr>
              <w:spacing w:line="360" w:lineRule="auto"/>
              <w:jc w:val="center"/>
              <w:rPr>
                <w:rFonts w:ascii="仿宋" w:hAnsi="仿宋" w:eastAsia="仿宋" w:cs="仿宋"/>
                <w:szCs w:val="21"/>
              </w:rPr>
            </w:pPr>
          </w:p>
        </w:tc>
        <w:tc>
          <w:tcPr>
            <w:tcW w:w="1134" w:type="dxa"/>
            <w:vAlign w:val="center"/>
          </w:tcPr>
          <w:p w14:paraId="46296962">
            <w:pPr>
              <w:spacing w:line="360" w:lineRule="auto"/>
              <w:jc w:val="center"/>
              <w:rPr>
                <w:rFonts w:ascii="仿宋" w:hAnsi="仿宋" w:eastAsia="仿宋" w:cs="仿宋"/>
                <w:szCs w:val="21"/>
              </w:rPr>
            </w:pPr>
          </w:p>
        </w:tc>
        <w:tc>
          <w:tcPr>
            <w:tcW w:w="1418" w:type="dxa"/>
            <w:vAlign w:val="center"/>
          </w:tcPr>
          <w:p w14:paraId="1FF5656D">
            <w:pPr>
              <w:spacing w:line="360" w:lineRule="auto"/>
              <w:jc w:val="center"/>
              <w:rPr>
                <w:rFonts w:ascii="仿宋" w:hAnsi="仿宋" w:eastAsia="仿宋" w:cs="仿宋"/>
                <w:szCs w:val="21"/>
              </w:rPr>
            </w:pPr>
          </w:p>
        </w:tc>
        <w:tc>
          <w:tcPr>
            <w:tcW w:w="954" w:type="dxa"/>
            <w:vAlign w:val="center"/>
          </w:tcPr>
          <w:p w14:paraId="48B64E44">
            <w:pPr>
              <w:spacing w:line="360" w:lineRule="auto"/>
              <w:jc w:val="center"/>
              <w:rPr>
                <w:rFonts w:ascii="仿宋" w:hAnsi="仿宋" w:eastAsia="仿宋" w:cs="仿宋"/>
                <w:szCs w:val="21"/>
              </w:rPr>
            </w:pPr>
          </w:p>
        </w:tc>
      </w:tr>
      <w:tr w14:paraId="672F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15" w:type="dxa"/>
            <w:vAlign w:val="center"/>
          </w:tcPr>
          <w:p w14:paraId="3B32954C">
            <w:pPr>
              <w:spacing w:line="360" w:lineRule="auto"/>
              <w:jc w:val="center"/>
              <w:rPr>
                <w:rFonts w:ascii="仿宋" w:hAnsi="仿宋" w:eastAsia="仿宋" w:cs="仿宋"/>
                <w:szCs w:val="21"/>
              </w:rPr>
            </w:pPr>
          </w:p>
        </w:tc>
        <w:tc>
          <w:tcPr>
            <w:tcW w:w="1776" w:type="dxa"/>
            <w:vAlign w:val="center"/>
          </w:tcPr>
          <w:p w14:paraId="09A32AB3">
            <w:pPr>
              <w:spacing w:line="360" w:lineRule="auto"/>
              <w:jc w:val="center"/>
              <w:rPr>
                <w:rFonts w:ascii="仿宋" w:hAnsi="仿宋" w:eastAsia="仿宋" w:cs="仿宋"/>
                <w:szCs w:val="21"/>
              </w:rPr>
            </w:pPr>
          </w:p>
        </w:tc>
        <w:tc>
          <w:tcPr>
            <w:tcW w:w="1192" w:type="dxa"/>
            <w:vAlign w:val="center"/>
          </w:tcPr>
          <w:p w14:paraId="3A0F4E3C">
            <w:pPr>
              <w:spacing w:line="360" w:lineRule="auto"/>
              <w:jc w:val="center"/>
              <w:rPr>
                <w:rFonts w:ascii="仿宋" w:hAnsi="仿宋" w:eastAsia="仿宋" w:cs="仿宋"/>
                <w:szCs w:val="21"/>
              </w:rPr>
            </w:pPr>
          </w:p>
        </w:tc>
        <w:tc>
          <w:tcPr>
            <w:tcW w:w="1275" w:type="dxa"/>
            <w:vAlign w:val="center"/>
          </w:tcPr>
          <w:p w14:paraId="5882DCE4">
            <w:pPr>
              <w:spacing w:line="360" w:lineRule="auto"/>
              <w:jc w:val="center"/>
              <w:rPr>
                <w:rFonts w:ascii="仿宋" w:hAnsi="仿宋" w:eastAsia="仿宋" w:cs="仿宋"/>
                <w:szCs w:val="21"/>
              </w:rPr>
            </w:pPr>
          </w:p>
        </w:tc>
        <w:tc>
          <w:tcPr>
            <w:tcW w:w="1134" w:type="dxa"/>
            <w:vAlign w:val="center"/>
          </w:tcPr>
          <w:p w14:paraId="46080D9E">
            <w:pPr>
              <w:spacing w:line="360" w:lineRule="auto"/>
              <w:jc w:val="center"/>
              <w:rPr>
                <w:rFonts w:ascii="仿宋" w:hAnsi="仿宋" w:eastAsia="仿宋" w:cs="仿宋"/>
                <w:szCs w:val="21"/>
              </w:rPr>
            </w:pPr>
          </w:p>
        </w:tc>
        <w:tc>
          <w:tcPr>
            <w:tcW w:w="1418" w:type="dxa"/>
            <w:vAlign w:val="center"/>
          </w:tcPr>
          <w:p w14:paraId="7B51571A">
            <w:pPr>
              <w:spacing w:line="360" w:lineRule="auto"/>
              <w:jc w:val="center"/>
              <w:rPr>
                <w:rFonts w:ascii="仿宋" w:hAnsi="仿宋" w:eastAsia="仿宋" w:cs="仿宋"/>
                <w:szCs w:val="21"/>
              </w:rPr>
            </w:pPr>
          </w:p>
        </w:tc>
        <w:tc>
          <w:tcPr>
            <w:tcW w:w="954" w:type="dxa"/>
            <w:vAlign w:val="center"/>
          </w:tcPr>
          <w:p w14:paraId="4C058C99">
            <w:pPr>
              <w:spacing w:line="360" w:lineRule="auto"/>
              <w:jc w:val="center"/>
              <w:rPr>
                <w:rFonts w:ascii="仿宋" w:hAnsi="仿宋" w:eastAsia="仿宋" w:cs="仿宋"/>
                <w:szCs w:val="21"/>
              </w:rPr>
            </w:pPr>
          </w:p>
        </w:tc>
      </w:tr>
      <w:tr w14:paraId="0AE5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15" w:type="dxa"/>
            <w:vAlign w:val="center"/>
          </w:tcPr>
          <w:p w14:paraId="159131A2">
            <w:pPr>
              <w:spacing w:line="360" w:lineRule="auto"/>
              <w:jc w:val="center"/>
              <w:rPr>
                <w:rFonts w:ascii="仿宋" w:hAnsi="仿宋" w:eastAsia="仿宋" w:cs="仿宋"/>
                <w:szCs w:val="21"/>
              </w:rPr>
            </w:pPr>
          </w:p>
        </w:tc>
        <w:tc>
          <w:tcPr>
            <w:tcW w:w="1776" w:type="dxa"/>
            <w:vAlign w:val="center"/>
          </w:tcPr>
          <w:p w14:paraId="51A140EB">
            <w:pPr>
              <w:spacing w:line="360" w:lineRule="auto"/>
              <w:jc w:val="center"/>
              <w:rPr>
                <w:rFonts w:ascii="仿宋" w:hAnsi="仿宋" w:eastAsia="仿宋" w:cs="仿宋"/>
                <w:szCs w:val="21"/>
              </w:rPr>
            </w:pPr>
          </w:p>
        </w:tc>
        <w:tc>
          <w:tcPr>
            <w:tcW w:w="1192" w:type="dxa"/>
            <w:vAlign w:val="center"/>
          </w:tcPr>
          <w:p w14:paraId="71588204">
            <w:pPr>
              <w:spacing w:line="360" w:lineRule="auto"/>
              <w:jc w:val="center"/>
              <w:rPr>
                <w:rFonts w:ascii="仿宋" w:hAnsi="仿宋" w:eastAsia="仿宋" w:cs="仿宋"/>
                <w:szCs w:val="21"/>
              </w:rPr>
            </w:pPr>
          </w:p>
        </w:tc>
        <w:tc>
          <w:tcPr>
            <w:tcW w:w="1275" w:type="dxa"/>
            <w:vAlign w:val="center"/>
          </w:tcPr>
          <w:p w14:paraId="1FB80214">
            <w:pPr>
              <w:spacing w:line="360" w:lineRule="auto"/>
              <w:jc w:val="center"/>
              <w:rPr>
                <w:rFonts w:ascii="仿宋" w:hAnsi="仿宋" w:eastAsia="仿宋" w:cs="仿宋"/>
                <w:szCs w:val="21"/>
              </w:rPr>
            </w:pPr>
          </w:p>
        </w:tc>
        <w:tc>
          <w:tcPr>
            <w:tcW w:w="1134" w:type="dxa"/>
            <w:vAlign w:val="center"/>
          </w:tcPr>
          <w:p w14:paraId="78EF2AC5">
            <w:pPr>
              <w:spacing w:line="360" w:lineRule="auto"/>
              <w:jc w:val="center"/>
              <w:rPr>
                <w:rFonts w:ascii="仿宋" w:hAnsi="仿宋" w:eastAsia="仿宋" w:cs="仿宋"/>
                <w:szCs w:val="21"/>
              </w:rPr>
            </w:pPr>
          </w:p>
        </w:tc>
        <w:tc>
          <w:tcPr>
            <w:tcW w:w="1418" w:type="dxa"/>
            <w:vAlign w:val="center"/>
          </w:tcPr>
          <w:p w14:paraId="43238627">
            <w:pPr>
              <w:spacing w:line="360" w:lineRule="auto"/>
              <w:jc w:val="center"/>
              <w:rPr>
                <w:rFonts w:ascii="仿宋" w:hAnsi="仿宋" w:eastAsia="仿宋" w:cs="仿宋"/>
                <w:szCs w:val="21"/>
              </w:rPr>
            </w:pPr>
          </w:p>
        </w:tc>
        <w:tc>
          <w:tcPr>
            <w:tcW w:w="954" w:type="dxa"/>
            <w:vAlign w:val="center"/>
          </w:tcPr>
          <w:p w14:paraId="1ABFC812">
            <w:pPr>
              <w:spacing w:line="360" w:lineRule="auto"/>
              <w:jc w:val="center"/>
              <w:rPr>
                <w:rFonts w:ascii="仿宋" w:hAnsi="仿宋" w:eastAsia="仿宋" w:cs="仿宋"/>
                <w:szCs w:val="21"/>
              </w:rPr>
            </w:pPr>
          </w:p>
        </w:tc>
      </w:tr>
      <w:tr w14:paraId="227C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15" w:type="dxa"/>
            <w:vAlign w:val="center"/>
          </w:tcPr>
          <w:p w14:paraId="6CA84480">
            <w:pPr>
              <w:spacing w:line="360" w:lineRule="auto"/>
              <w:jc w:val="center"/>
              <w:rPr>
                <w:rFonts w:ascii="仿宋" w:hAnsi="仿宋" w:eastAsia="仿宋" w:cs="仿宋"/>
                <w:szCs w:val="21"/>
              </w:rPr>
            </w:pPr>
          </w:p>
        </w:tc>
        <w:tc>
          <w:tcPr>
            <w:tcW w:w="1776" w:type="dxa"/>
            <w:vAlign w:val="center"/>
          </w:tcPr>
          <w:p w14:paraId="42987147">
            <w:pPr>
              <w:spacing w:line="360" w:lineRule="auto"/>
              <w:jc w:val="center"/>
              <w:rPr>
                <w:rFonts w:ascii="仿宋" w:hAnsi="仿宋" w:eastAsia="仿宋" w:cs="仿宋"/>
                <w:szCs w:val="21"/>
              </w:rPr>
            </w:pPr>
          </w:p>
        </w:tc>
        <w:tc>
          <w:tcPr>
            <w:tcW w:w="1192" w:type="dxa"/>
            <w:vAlign w:val="center"/>
          </w:tcPr>
          <w:p w14:paraId="5AD867F1">
            <w:pPr>
              <w:spacing w:line="360" w:lineRule="auto"/>
              <w:jc w:val="center"/>
              <w:rPr>
                <w:rFonts w:ascii="仿宋" w:hAnsi="仿宋" w:eastAsia="仿宋" w:cs="仿宋"/>
                <w:szCs w:val="21"/>
              </w:rPr>
            </w:pPr>
          </w:p>
        </w:tc>
        <w:tc>
          <w:tcPr>
            <w:tcW w:w="1275" w:type="dxa"/>
            <w:vAlign w:val="center"/>
          </w:tcPr>
          <w:p w14:paraId="2FE576A4">
            <w:pPr>
              <w:spacing w:line="360" w:lineRule="auto"/>
              <w:jc w:val="center"/>
              <w:rPr>
                <w:rFonts w:ascii="仿宋" w:hAnsi="仿宋" w:eastAsia="仿宋" w:cs="仿宋"/>
                <w:szCs w:val="21"/>
              </w:rPr>
            </w:pPr>
          </w:p>
        </w:tc>
        <w:tc>
          <w:tcPr>
            <w:tcW w:w="1134" w:type="dxa"/>
            <w:vAlign w:val="center"/>
          </w:tcPr>
          <w:p w14:paraId="4CCCBBD6">
            <w:pPr>
              <w:spacing w:line="360" w:lineRule="auto"/>
              <w:jc w:val="center"/>
              <w:rPr>
                <w:rFonts w:ascii="仿宋" w:hAnsi="仿宋" w:eastAsia="仿宋" w:cs="仿宋"/>
                <w:szCs w:val="21"/>
              </w:rPr>
            </w:pPr>
          </w:p>
        </w:tc>
        <w:tc>
          <w:tcPr>
            <w:tcW w:w="1418" w:type="dxa"/>
            <w:vAlign w:val="center"/>
          </w:tcPr>
          <w:p w14:paraId="1989A0B1">
            <w:pPr>
              <w:spacing w:line="360" w:lineRule="auto"/>
              <w:jc w:val="center"/>
              <w:rPr>
                <w:rFonts w:ascii="仿宋" w:hAnsi="仿宋" w:eastAsia="仿宋" w:cs="仿宋"/>
                <w:szCs w:val="21"/>
              </w:rPr>
            </w:pPr>
          </w:p>
        </w:tc>
        <w:tc>
          <w:tcPr>
            <w:tcW w:w="954" w:type="dxa"/>
            <w:vAlign w:val="center"/>
          </w:tcPr>
          <w:p w14:paraId="1757E50A">
            <w:pPr>
              <w:spacing w:line="360" w:lineRule="auto"/>
              <w:jc w:val="center"/>
              <w:rPr>
                <w:rFonts w:ascii="仿宋" w:hAnsi="仿宋" w:eastAsia="仿宋" w:cs="仿宋"/>
                <w:szCs w:val="21"/>
              </w:rPr>
            </w:pPr>
          </w:p>
        </w:tc>
      </w:tr>
    </w:tbl>
    <w:p w14:paraId="0DDE3471">
      <w:pPr>
        <w:spacing w:line="360" w:lineRule="auto"/>
        <w:jc w:val="left"/>
        <w:rPr>
          <w:rFonts w:ascii="仿宋" w:hAnsi="仿宋" w:eastAsia="仿宋" w:cs="仿宋"/>
          <w:b/>
          <w:sz w:val="24"/>
          <w:szCs w:val="24"/>
        </w:rPr>
      </w:pPr>
      <w:r>
        <w:rPr>
          <w:rFonts w:hint="eastAsia" w:ascii="仿宋" w:hAnsi="仿宋" w:eastAsia="仿宋" w:cs="仿宋"/>
          <w:b/>
          <w:bCs/>
          <w:sz w:val="24"/>
          <w:szCs w:val="24"/>
        </w:rPr>
        <w:t>备注：</w:t>
      </w:r>
      <w:r>
        <w:rPr>
          <w:rFonts w:hint="eastAsia" w:ascii="仿宋" w:hAnsi="仿宋" w:eastAsia="仿宋" w:cs="仿宋"/>
          <w:b/>
          <w:sz w:val="24"/>
          <w:szCs w:val="24"/>
        </w:rPr>
        <w:t>按照招标文件第三章的要求，提供有效证明材料，并顺序排放证明材料。</w:t>
      </w:r>
    </w:p>
    <w:p w14:paraId="7804C506">
      <w:pPr>
        <w:spacing w:line="360" w:lineRule="auto"/>
        <w:textAlignment w:val="baseline"/>
        <w:rPr>
          <w:rFonts w:ascii="仿宋" w:hAnsi="仿宋" w:eastAsia="仿宋" w:cs="仿宋"/>
          <w:b/>
          <w:sz w:val="24"/>
          <w:szCs w:val="24"/>
        </w:rPr>
      </w:pPr>
    </w:p>
    <w:p w14:paraId="29131EE5">
      <w:pPr>
        <w:spacing w:line="360" w:lineRule="auto"/>
        <w:textAlignment w:val="baseline"/>
        <w:rPr>
          <w:rFonts w:ascii="仿宋" w:hAnsi="仿宋" w:eastAsia="仿宋" w:cs="仿宋"/>
          <w:b/>
          <w:sz w:val="24"/>
          <w:szCs w:val="24"/>
        </w:rPr>
      </w:pPr>
    </w:p>
    <w:p w14:paraId="590D7693">
      <w:pPr>
        <w:spacing w:line="360" w:lineRule="auto"/>
        <w:jc w:val="right"/>
        <w:textAlignment w:val="baseline"/>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（盖章）</w:t>
      </w:r>
    </w:p>
    <w:p w14:paraId="75C35F7C">
      <w:pPr>
        <w:spacing w:line="360" w:lineRule="auto"/>
        <w:jc w:val="right"/>
        <w:rPr>
          <w:rFonts w:ascii="仿宋" w:hAnsi="仿宋" w:eastAsia="仿宋" w:cs="仿宋"/>
          <w:b/>
          <w:bCs/>
          <w:sz w:val="24"/>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3635997">
      <w:pPr>
        <w:spacing w:line="360" w:lineRule="auto"/>
        <w:rPr>
          <w:rFonts w:ascii="仿宋" w:hAnsi="仿宋" w:eastAsia="仿宋" w:cs="仿宋"/>
          <w:szCs w:val="24"/>
        </w:rPr>
      </w:pPr>
    </w:p>
    <w:p w14:paraId="21909356">
      <w:pPr>
        <w:spacing w:line="360" w:lineRule="auto"/>
        <w:rPr>
          <w:rFonts w:ascii="仿宋" w:hAnsi="仿宋" w:eastAsia="仿宋" w:cs="仿宋"/>
          <w:szCs w:val="24"/>
        </w:rPr>
      </w:pPr>
      <w:r>
        <w:rPr>
          <w:rFonts w:hint="eastAsia" w:ascii="仿宋" w:hAnsi="仿宋" w:eastAsia="仿宋" w:cs="仿宋"/>
          <w:szCs w:val="24"/>
        </w:rPr>
        <w:br w:type="page"/>
      </w:r>
    </w:p>
    <w:p w14:paraId="3DB01230">
      <w:pPr>
        <w:pStyle w:val="5"/>
        <w:spacing w:line="360" w:lineRule="auto"/>
        <w:rPr>
          <w:rFonts w:hint="default" w:ascii="仿宋" w:hAnsi="仿宋" w:cs="仿宋"/>
        </w:rPr>
      </w:pPr>
      <w:bookmarkStart w:id="1001" w:name="_Toc2083"/>
      <w:bookmarkStart w:id="1002" w:name="_Toc5609"/>
      <w:bookmarkStart w:id="1003" w:name="_Toc16755"/>
      <w:bookmarkStart w:id="1004" w:name="_Toc15209"/>
      <w:bookmarkStart w:id="1005" w:name="_Toc19280"/>
      <w:r>
        <w:rPr>
          <w:rFonts w:ascii="仿宋" w:hAnsi="仿宋" w:cs="仿宋"/>
        </w:rPr>
        <w:t>（十一）其他材料</w:t>
      </w:r>
      <w:bookmarkEnd w:id="981"/>
      <w:bookmarkEnd w:id="982"/>
      <w:bookmarkEnd w:id="984"/>
      <w:bookmarkEnd w:id="985"/>
      <w:bookmarkEnd w:id="1001"/>
      <w:bookmarkEnd w:id="1002"/>
      <w:bookmarkEnd w:id="1003"/>
      <w:bookmarkEnd w:id="1004"/>
      <w:bookmarkEnd w:id="1005"/>
    </w:p>
    <w:p w14:paraId="5B00B323">
      <w:pPr>
        <w:spacing w:line="360" w:lineRule="auto"/>
        <w:rPr>
          <w:rFonts w:ascii="仿宋" w:hAnsi="仿宋" w:eastAsia="仿宋" w:cs="仿宋"/>
          <w:szCs w:val="21"/>
        </w:rPr>
      </w:pPr>
      <w:r>
        <w:rPr>
          <w:rFonts w:hint="eastAsia" w:ascii="仿宋" w:hAnsi="仿宋" w:eastAsia="仿宋" w:cs="仿宋"/>
          <w:sz w:val="24"/>
        </w:rPr>
        <w:t>详细评审中商务部分涉及的文件及证明材料、</w:t>
      </w:r>
      <w:r>
        <w:rPr>
          <w:rFonts w:hint="eastAsia" w:ascii="仿宋" w:hAnsi="仿宋" w:eastAsia="仿宋" w:cs="仿宋"/>
          <w:sz w:val="24"/>
          <w:szCs w:val="24"/>
        </w:rPr>
        <w:t>投标人认为需提供的其他材料，格式自拟。</w:t>
      </w:r>
    </w:p>
    <w:p w14:paraId="5BB2645E"/>
    <w:p w14:paraId="596A6CA3">
      <w:pPr>
        <w:pStyle w:val="4"/>
        <w:rPr>
          <w:rFonts w:ascii="仿宋" w:hAnsi="仿宋" w:cs="仿宋"/>
          <w:szCs w:val="24"/>
        </w:rPr>
      </w:pPr>
      <w:bookmarkStart w:id="1006" w:name="_Toc20302"/>
      <w:bookmarkStart w:id="1007" w:name="_Toc22267"/>
      <w:bookmarkStart w:id="1008" w:name="_Toc109124327"/>
      <w:bookmarkStart w:id="1009" w:name="_Toc65683013"/>
      <w:bookmarkStart w:id="1010" w:name="_Toc9362"/>
      <w:r>
        <w:rPr>
          <w:rFonts w:hint="eastAsia" w:ascii="仿宋" w:hAnsi="仿宋" w:cs="仿宋"/>
        </w:rPr>
        <w:t>二、技术文件</w:t>
      </w:r>
      <w:bookmarkEnd w:id="1006"/>
      <w:bookmarkEnd w:id="1007"/>
      <w:bookmarkEnd w:id="1008"/>
      <w:bookmarkEnd w:id="1009"/>
      <w:bookmarkEnd w:id="1010"/>
    </w:p>
    <w:p w14:paraId="12A2840D">
      <w:pPr>
        <w:pStyle w:val="5"/>
        <w:spacing w:line="360" w:lineRule="auto"/>
        <w:ind w:firstLine="482"/>
        <w:rPr>
          <w:rFonts w:hint="default" w:ascii="仿宋" w:hAnsi="仿宋" w:cs="仿宋"/>
          <w:b w:val="0"/>
        </w:rPr>
      </w:pPr>
      <w:bookmarkStart w:id="1011" w:name="_Toc31863"/>
      <w:bookmarkStart w:id="1012" w:name="_Toc112068406"/>
      <w:bookmarkStart w:id="1013" w:name="_Toc8191"/>
      <w:bookmarkStart w:id="1014" w:name="_Toc28095"/>
      <w:bookmarkStart w:id="1015" w:name="_Toc8346"/>
      <w:bookmarkStart w:id="1016" w:name="_Toc15789"/>
      <w:bookmarkStart w:id="1017" w:name="_Toc29153"/>
      <w:bookmarkStart w:id="1018" w:name="_Toc109124328"/>
      <w:bookmarkStart w:id="1019" w:name="_Toc65683014"/>
      <w:r>
        <w:rPr>
          <w:rFonts w:ascii="仿宋" w:hAnsi="仿宋" w:cs="仿宋"/>
        </w:rPr>
        <w:t>详细评审索引表</w:t>
      </w:r>
      <w:bookmarkEnd w:id="1011"/>
      <w:bookmarkEnd w:id="1012"/>
      <w:bookmarkEnd w:id="1013"/>
      <w:bookmarkEnd w:id="1014"/>
      <w:bookmarkEnd w:id="1015"/>
      <w:bookmarkEnd w:id="1016"/>
    </w:p>
    <w:tbl>
      <w:tblPr>
        <w:tblStyle w:val="33"/>
        <w:tblW w:w="95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9"/>
        <w:gridCol w:w="1696"/>
        <w:gridCol w:w="2997"/>
        <w:gridCol w:w="4091"/>
      </w:tblGrid>
      <w:tr w14:paraId="469C0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29" w:type="dxa"/>
            <w:tcMar>
              <w:top w:w="15" w:type="dxa"/>
              <w:left w:w="15" w:type="dxa"/>
              <w:right w:w="15" w:type="dxa"/>
            </w:tcMar>
            <w:vAlign w:val="center"/>
          </w:tcPr>
          <w:p w14:paraId="392B6A0E">
            <w:pPr>
              <w:widowControl/>
              <w:spacing w:line="360" w:lineRule="auto"/>
              <w:jc w:val="center"/>
              <w:textAlignment w:val="center"/>
              <w:rPr>
                <w:rFonts w:ascii="仿宋" w:hAnsi="仿宋" w:eastAsia="仿宋" w:cs="仿宋"/>
                <w:b/>
                <w:szCs w:val="21"/>
              </w:rPr>
            </w:pPr>
            <w:r>
              <w:rPr>
                <w:rFonts w:hint="eastAsia" w:ascii="仿宋" w:hAnsi="仿宋" w:eastAsia="仿宋" w:cs="仿宋"/>
                <w:b/>
                <w:kern w:val="0"/>
                <w:szCs w:val="21"/>
                <w:lang w:bidi="ar"/>
              </w:rPr>
              <w:t>序号</w:t>
            </w:r>
          </w:p>
        </w:tc>
        <w:tc>
          <w:tcPr>
            <w:tcW w:w="1696" w:type="dxa"/>
            <w:tcMar>
              <w:top w:w="15" w:type="dxa"/>
              <w:left w:w="15" w:type="dxa"/>
              <w:right w:w="15" w:type="dxa"/>
            </w:tcMar>
            <w:vAlign w:val="center"/>
          </w:tcPr>
          <w:p w14:paraId="464A3645">
            <w:pPr>
              <w:spacing w:line="360" w:lineRule="auto"/>
              <w:jc w:val="center"/>
              <w:rPr>
                <w:rFonts w:ascii="仿宋" w:hAnsi="仿宋" w:eastAsia="仿宋" w:cs="仿宋"/>
                <w:b/>
                <w:kern w:val="0"/>
                <w:szCs w:val="21"/>
                <w:lang w:bidi="ar"/>
              </w:rPr>
            </w:pPr>
            <w:r>
              <w:rPr>
                <w:rFonts w:hint="eastAsia" w:ascii="仿宋" w:hAnsi="仿宋" w:eastAsia="仿宋" w:cs="仿宋"/>
                <w:b/>
                <w:bCs/>
                <w:szCs w:val="21"/>
              </w:rPr>
              <w:t>评审项</w:t>
            </w:r>
          </w:p>
        </w:tc>
        <w:tc>
          <w:tcPr>
            <w:tcW w:w="2997" w:type="dxa"/>
          </w:tcPr>
          <w:p w14:paraId="4C388638">
            <w:pPr>
              <w:widowControl/>
              <w:spacing w:line="360" w:lineRule="auto"/>
              <w:jc w:val="center"/>
              <w:rPr>
                <w:rFonts w:ascii="仿宋" w:hAnsi="仿宋" w:eastAsia="仿宋" w:cs="仿宋"/>
                <w:b/>
                <w:kern w:val="0"/>
                <w:szCs w:val="21"/>
              </w:rPr>
            </w:pPr>
            <w:r>
              <w:rPr>
                <w:rFonts w:hint="eastAsia" w:ascii="仿宋" w:hAnsi="仿宋" w:eastAsia="仿宋" w:cs="仿宋"/>
                <w:b/>
                <w:kern w:val="0"/>
                <w:szCs w:val="21"/>
                <w:lang w:bidi="ar"/>
              </w:rPr>
              <w:t>评审因素</w:t>
            </w:r>
          </w:p>
        </w:tc>
        <w:tc>
          <w:tcPr>
            <w:tcW w:w="4091" w:type="dxa"/>
            <w:tcMar>
              <w:top w:w="15" w:type="dxa"/>
              <w:left w:w="15" w:type="dxa"/>
              <w:right w:w="15" w:type="dxa"/>
            </w:tcMar>
            <w:vAlign w:val="center"/>
          </w:tcPr>
          <w:p w14:paraId="2C7C437A">
            <w:pPr>
              <w:widowControl/>
              <w:spacing w:line="360" w:lineRule="auto"/>
              <w:jc w:val="center"/>
              <w:rPr>
                <w:rFonts w:ascii="仿宋" w:hAnsi="仿宋" w:eastAsia="仿宋" w:cs="仿宋"/>
                <w:b/>
                <w:kern w:val="0"/>
                <w:szCs w:val="21"/>
              </w:rPr>
            </w:pPr>
            <w:r>
              <w:rPr>
                <w:rFonts w:hint="eastAsia" w:ascii="仿宋" w:hAnsi="仿宋" w:eastAsia="仿宋" w:cs="仿宋"/>
                <w:b/>
                <w:kern w:val="0"/>
                <w:szCs w:val="21"/>
              </w:rPr>
              <w:t>页码范围及说明</w:t>
            </w:r>
          </w:p>
        </w:tc>
      </w:tr>
      <w:tr w14:paraId="2F049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jc w:val="center"/>
        </w:trPr>
        <w:tc>
          <w:tcPr>
            <w:tcW w:w="729" w:type="dxa"/>
            <w:tcMar>
              <w:top w:w="15" w:type="dxa"/>
              <w:left w:w="15" w:type="dxa"/>
              <w:right w:w="15" w:type="dxa"/>
            </w:tcMar>
            <w:vAlign w:val="center"/>
          </w:tcPr>
          <w:p w14:paraId="158386E5">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w:t>
            </w:r>
          </w:p>
        </w:tc>
        <w:tc>
          <w:tcPr>
            <w:tcW w:w="1696" w:type="dxa"/>
            <w:vMerge w:val="restart"/>
            <w:tcMar>
              <w:top w:w="15" w:type="dxa"/>
              <w:left w:w="15" w:type="dxa"/>
              <w:right w:w="15" w:type="dxa"/>
            </w:tcMar>
            <w:vAlign w:val="center"/>
          </w:tcPr>
          <w:p w14:paraId="1A1B9468">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技术得分</w:t>
            </w:r>
          </w:p>
          <w:p w14:paraId="18D7983B">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（40分）</w:t>
            </w:r>
          </w:p>
        </w:tc>
        <w:tc>
          <w:tcPr>
            <w:tcW w:w="2997" w:type="dxa"/>
            <w:vAlign w:val="center"/>
          </w:tcPr>
          <w:p w14:paraId="04517E34">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项目团队成员</w:t>
            </w:r>
          </w:p>
          <w:p w14:paraId="0E07D06D">
            <w:pPr>
              <w:widowControl/>
              <w:spacing w:line="360" w:lineRule="auto"/>
              <w:jc w:val="center"/>
              <w:textAlignment w:val="center"/>
              <w:rPr>
                <w:rFonts w:ascii="仿宋" w:hAnsi="仿宋" w:eastAsia="仿宋" w:cs="仿宋"/>
                <w:szCs w:val="21"/>
              </w:rPr>
            </w:pPr>
            <w:r>
              <w:rPr>
                <w:rFonts w:hint="eastAsia" w:ascii="仿宋" w:hAnsi="仿宋" w:eastAsia="仿宋" w:cs="仿宋"/>
                <w:kern w:val="0"/>
                <w:szCs w:val="21"/>
                <w:lang w:bidi="ar"/>
              </w:rPr>
              <w:t>（5分）</w:t>
            </w:r>
          </w:p>
        </w:tc>
        <w:tc>
          <w:tcPr>
            <w:tcW w:w="4091" w:type="dxa"/>
            <w:tcMar>
              <w:top w:w="15" w:type="dxa"/>
              <w:left w:w="15" w:type="dxa"/>
              <w:right w:w="15" w:type="dxa"/>
            </w:tcMar>
            <w:vAlign w:val="center"/>
          </w:tcPr>
          <w:p w14:paraId="29748D39">
            <w:pPr>
              <w:spacing w:line="360" w:lineRule="auto"/>
              <w:jc w:val="center"/>
              <w:rPr>
                <w:rStyle w:val="105"/>
                <w:rFonts w:hint="default"/>
                <w:color w:val="auto"/>
                <w:lang w:bidi="ar"/>
              </w:rPr>
            </w:pPr>
            <w:r>
              <w:rPr>
                <w:rFonts w:hint="eastAsia" w:ascii="仿宋" w:hAnsi="仿宋" w:eastAsia="仿宋" w:cs="仿宋"/>
                <w:kern w:val="0"/>
                <w:szCs w:val="21"/>
              </w:rPr>
              <w:t>详见N-M页</w:t>
            </w:r>
          </w:p>
        </w:tc>
      </w:tr>
      <w:tr w14:paraId="63372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729" w:type="dxa"/>
            <w:tcMar>
              <w:top w:w="15" w:type="dxa"/>
              <w:left w:w="15" w:type="dxa"/>
              <w:right w:w="15" w:type="dxa"/>
            </w:tcMar>
            <w:vAlign w:val="center"/>
          </w:tcPr>
          <w:p w14:paraId="6AE945BD">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2</w:t>
            </w:r>
          </w:p>
        </w:tc>
        <w:tc>
          <w:tcPr>
            <w:tcW w:w="1696" w:type="dxa"/>
            <w:vMerge w:val="continue"/>
            <w:tcMar>
              <w:top w:w="15" w:type="dxa"/>
              <w:left w:w="15" w:type="dxa"/>
              <w:right w:w="15" w:type="dxa"/>
            </w:tcMar>
            <w:vAlign w:val="center"/>
          </w:tcPr>
          <w:p w14:paraId="7ABF0FEB">
            <w:pPr>
              <w:widowControl/>
              <w:spacing w:line="360" w:lineRule="auto"/>
              <w:jc w:val="center"/>
              <w:textAlignment w:val="center"/>
              <w:rPr>
                <w:rFonts w:ascii="仿宋" w:hAnsi="仿宋" w:eastAsia="仿宋" w:cs="仿宋"/>
                <w:szCs w:val="21"/>
              </w:rPr>
            </w:pPr>
          </w:p>
        </w:tc>
        <w:tc>
          <w:tcPr>
            <w:tcW w:w="2997" w:type="dxa"/>
            <w:vAlign w:val="center"/>
          </w:tcPr>
          <w:p w14:paraId="107119BC">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配送车辆</w:t>
            </w:r>
          </w:p>
          <w:p w14:paraId="6ACB5240">
            <w:pPr>
              <w:widowControl/>
              <w:spacing w:line="360" w:lineRule="auto"/>
              <w:jc w:val="center"/>
              <w:textAlignment w:val="center"/>
              <w:rPr>
                <w:rFonts w:ascii="仿宋" w:hAnsi="仿宋" w:eastAsia="仿宋" w:cs="仿宋"/>
                <w:szCs w:val="21"/>
              </w:rPr>
            </w:pPr>
            <w:r>
              <w:rPr>
                <w:rFonts w:hint="eastAsia" w:ascii="仿宋" w:hAnsi="仿宋" w:eastAsia="仿宋" w:cs="仿宋"/>
                <w:kern w:val="0"/>
                <w:szCs w:val="21"/>
                <w:lang w:bidi="ar"/>
              </w:rPr>
              <w:t>（4分）</w:t>
            </w:r>
          </w:p>
        </w:tc>
        <w:tc>
          <w:tcPr>
            <w:tcW w:w="4091" w:type="dxa"/>
            <w:tcMar>
              <w:top w:w="15" w:type="dxa"/>
              <w:left w:w="15" w:type="dxa"/>
              <w:right w:w="15" w:type="dxa"/>
            </w:tcMar>
            <w:vAlign w:val="center"/>
          </w:tcPr>
          <w:p w14:paraId="46B685B0">
            <w:pPr>
              <w:spacing w:line="360" w:lineRule="auto"/>
              <w:jc w:val="center"/>
              <w:rPr>
                <w:rStyle w:val="105"/>
                <w:rFonts w:hint="default"/>
                <w:color w:val="auto"/>
                <w:lang w:bidi="ar"/>
              </w:rPr>
            </w:pPr>
            <w:r>
              <w:rPr>
                <w:rFonts w:hint="eastAsia" w:ascii="仿宋" w:hAnsi="仿宋" w:eastAsia="仿宋" w:cs="仿宋"/>
                <w:kern w:val="0"/>
                <w:szCs w:val="21"/>
              </w:rPr>
              <w:t>详见N-M页</w:t>
            </w:r>
          </w:p>
        </w:tc>
      </w:tr>
      <w:tr w14:paraId="6BA9D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jc w:val="center"/>
        </w:trPr>
        <w:tc>
          <w:tcPr>
            <w:tcW w:w="729" w:type="dxa"/>
            <w:tcMar>
              <w:top w:w="15" w:type="dxa"/>
              <w:left w:w="15" w:type="dxa"/>
              <w:right w:w="15" w:type="dxa"/>
            </w:tcMar>
            <w:vAlign w:val="center"/>
          </w:tcPr>
          <w:p w14:paraId="43249235">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3</w:t>
            </w:r>
          </w:p>
        </w:tc>
        <w:tc>
          <w:tcPr>
            <w:tcW w:w="1696" w:type="dxa"/>
            <w:vMerge w:val="continue"/>
            <w:tcMar>
              <w:top w:w="15" w:type="dxa"/>
              <w:left w:w="15" w:type="dxa"/>
              <w:right w:w="15" w:type="dxa"/>
            </w:tcMar>
            <w:vAlign w:val="center"/>
          </w:tcPr>
          <w:p w14:paraId="6CFBCDF3">
            <w:pPr>
              <w:widowControl/>
              <w:spacing w:line="360" w:lineRule="auto"/>
              <w:jc w:val="center"/>
              <w:textAlignment w:val="center"/>
              <w:rPr>
                <w:rFonts w:ascii="仿宋" w:hAnsi="仿宋" w:eastAsia="仿宋" w:cs="仿宋"/>
                <w:szCs w:val="21"/>
              </w:rPr>
            </w:pPr>
          </w:p>
        </w:tc>
        <w:tc>
          <w:tcPr>
            <w:tcW w:w="2997" w:type="dxa"/>
            <w:vAlign w:val="center"/>
          </w:tcPr>
          <w:p w14:paraId="7F30C2CB">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洗涤设备</w:t>
            </w:r>
          </w:p>
          <w:p w14:paraId="3C44683C">
            <w:pPr>
              <w:widowControl/>
              <w:spacing w:line="360" w:lineRule="auto"/>
              <w:jc w:val="center"/>
              <w:textAlignment w:val="center"/>
              <w:rPr>
                <w:rFonts w:ascii="仿宋" w:hAnsi="仿宋" w:eastAsia="仿宋" w:cs="仿宋"/>
                <w:szCs w:val="21"/>
              </w:rPr>
            </w:pPr>
            <w:r>
              <w:rPr>
                <w:rFonts w:hint="eastAsia" w:ascii="仿宋" w:hAnsi="仿宋" w:eastAsia="仿宋" w:cs="仿宋"/>
                <w:kern w:val="0"/>
                <w:szCs w:val="21"/>
                <w:lang w:bidi="ar"/>
              </w:rPr>
              <w:t>（10分）</w:t>
            </w:r>
          </w:p>
        </w:tc>
        <w:tc>
          <w:tcPr>
            <w:tcW w:w="4091" w:type="dxa"/>
            <w:tcMar>
              <w:top w:w="15" w:type="dxa"/>
              <w:left w:w="15" w:type="dxa"/>
              <w:right w:w="15" w:type="dxa"/>
            </w:tcMar>
            <w:vAlign w:val="center"/>
          </w:tcPr>
          <w:p w14:paraId="35C7FFDE">
            <w:pPr>
              <w:spacing w:line="360" w:lineRule="auto"/>
              <w:jc w:val="center"/>
              <w:rPr>
                <w:rStyle w:val="105"/>
                <w:rFonts w:hint="default"/>
                <w:color w:val="auto"/>
                <w:lang w:bidi="ar"/>
              </w:rPr>
            </w:pPr>
            <w:r>
              <w:rPr>
                <w:rFonts w:hint="eastAsia" w:ascii="仿宋" w:hAnsi="仿宋" w:eastAsia="仿宋" w:cs="仿宋"/>
                <w:kern w:val="0"/>
                <w:szCs w:val="21"/>
              </w:rPr>
              <w:t>详见N-M页</w:t>
            </w:r>
          </w:p>
        </w:tc>
      </w:tr>
      <w:tr w14:paraId="633CC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jc w:val="center"/>
        </w:trPr>
        <w:tc>
          <w:tcPr>
            <w:tcW w:w="729" w:type="dxa"/>
            <w:tcMar>
              <w:top w:w="15" w:type="dxa"/>
              <w:left w:w="15" w:type="dxa"/>
              <w:right w:w="15" w:type="dxa"/>
            </w:tcMar>
            <w:vAlign w:val="center"/>
          </w:tcPr>
          <w:p w14:paraId="68645DAE">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4</w:t>
            </w:r>
          </w:p>
        </w:tc>
        <w:tc>
          <w:tcPr>
            <w:tcW w:w="1696" w:type="dxa"/>
            <w:vMerge w:val="continue"/>
            <w:tcMar>
              <w:top w:w="15" w:type="dxa"/>
              <w:left w:w="15" w:type="dxa"/>
              <w:right w:w="15" w:type="dxa"/>
            </w:tcMar>
            <w:vAlign w:val="center"/>
          </w:tcPr>
          <w:p w14:paraId="40FC4011">
            <w:pPr>
              <w:widowControl/>
              <w:spacing w:line="360" w:lineRule="auto"/>
              <w:jc w:val="center"/>
              <w:textAlignment w:val="center"/>
              <w:rPr>
                <w:rFonts w:ascii="仿宋" w:hAnsi="仿宋" w:eastAsia="仿宋" w:cs="仿宋"/>
                <w:szCs w:val="21"/>
              </w:rPr>
            </w:pPr>
          </w:p>
        </w:tc>
        <w:tc>
          <w:tcPr>
            <w:tcW w:w="2997" w:type="dxa"/>
            <w:vAlign w:val="center"/>
          </w:tcPr>
          <w:p w14:paraId="393828D5">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项目服务方案</w:t>
            </w:r>
          </w:p>
          <w:p w14:paraId="69CD0EC0">
            <w:pPr>
              <w:widowControl/>
              <w:spacing w:line="360" w:lineRule="auto"/>
              <w:jc w:val="center"/>
              <w:textAlignment w:val="center"/>
              <w:rPr>
                <w:rFonts w:ascii="仿宋" w:hAnsi="仿宋" w:eastAsia="仿宋" w:cs="仿宋"/>
                <w:szCs w:val="21"/>
              </w:rPr>
            </w:pPr>
            <w:r>
              <w:rPr>
                <w:rFonts w:hint="eastAsia" w:ascii="仿宋" w:hAnsi="仿宋" w:eastAsia="仿宋" w:cs="仿宋"/>
                <w:kern w:val="0"/>
                <w:szCs w:val="21"/>
                <w:lang w:bidi="ar"/>
              </w:rPr>
              <w:t>（10分）</w:t>
            </w:r>
          </w:p>
        </w:tc>
        <w:tc>
          <w:tcPr>
            <w:tcW w:w="4091" w:type="dxa"/>
            <w:tcMar>
              <w:top w:w="15" w:type="dxa"/>
              <w:left w:w="15" w:type="dxa"/>
              <w:right w:w="15" w:type="dxa"/>
            </w:tcMar>
            <w:vAlign w:val="center"/>
          </w:tcPr>
          <w:p w14:paraId="1EFEC55D">
            <w:pPr>
              <w:spacing w:line="360" w:lineRule="auto"/>
              <w:jc w:val="center"/>
              <w:rPr>
                <w:rStyle w:val="105"/>
                <w:rFonts w:hint="default"/>
                <w:color w:val="auto"/>
                <w:lang w:bidi="ar"/>
              </w:rPr>
            </w:pPr>
            <w:r>
              <w:rPr>
                <w:rFonts w:hint="eastAsia" w:ascii="仿宋" w:hAnsi="仿宋" w:eastAsia="仿宋" w:cs="仿宋"/>
                <w:kern w:val="0"/>
                <w:szCs w:val="21"/>
              </w:rPr>
              <w:t>详见N-M页</w:t>
            </w:r>
          </w:p>
        </w:tc>
      </w:tr>
      <w:tr w14:paraId="59709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jc w:val="center"/>
        </w:trPr>
        <w:tc>
          <w:tcPr>
            <w:tcW w:w="729" w:type="dxa"/>
            <w:tcMar>
              <w:top w:w="15" w:type="dxa"/>
              <w:left w:w="15" w:type="dxa"/>
              <w:right w:w="15" w:type="dxa"/>
            </w:tcMar>
            <w:vAlign w:val="center"/>
          </w:tcPr>
          <w:p w14:paraId="12080D09">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5</w:t>
            </w:r>
          </w:p>
        </w:tc>
        <w:tc>
          <w:tcPr>
            <w:tcW w:w="1696" w:type="dxa"/>
            <w:vMerge w:val="continue"/>
            <w:tcMar>
              <w:top w:w="15" w:type="dxa"/>
              <w:left w:w="15" w:type="dxa"/>
              <w:right w:w="15" w:type="dxa"/>
            </w:tcMar>
            <w:vAlign w:val="center"/>
          </w:tcPr>
          <w:p w14:paraId="07DEC3B0">
            <w:pPr>
              <w:widowControl/>
              <w:spacing w:line="360" w:lineRule="auto"/>
              <w:jc w:val="center"/>
              <w:textAlignment w:val="center"/>
              <w:rPr>
                <w:rFonts w:ascii="仿宋" w:hAnsi="仿宋" w:eastAsia="仿宋" w:cs="仿宋"/>
                <w:szCs w:val="21"/>
              </w:rPr>
            </w:pPr>
          </w:p>
        </w:tc>
        <w:tc>
          <w:tcPr>
            <w:tcW w:w="2997" w:type="dxa"/>
            <w:vAlign w:val="center"/>
          </w:tcPr>
          <w:p w14:paraId="68AC9E70">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洗衣质量保证方案</w:t>
            </w:r>
          </w:p>
          <w:p w14:paraId="102C6437">
            <w:pPr>
              <w:widowControl/>
              <w:spacing w:line="360" w:lineRule="auto"/>
              <w:jc w:val="center"/>
              <w:textAlignment w:val="center"/>
            </w:pPr>
            <w:r>
              <w:rPr>
                <w:rFonts w:hint="eastAsia" w:ascii="仿宋" w:hAnsi="仿宋" w:eastAsia="仿宋" w:cs="仿宋"/>
                <w:kern w:val="0"/>
                <w:szCs w:val="21"/>
                <w:lang w:bidi="ar"/>
              </w:rPr>
              <w:t>（7分）</w:t>
            </w:r>
          </w:p>
        </w:tc>
        <w:tc>
          <w:tcPr>
            <w:tcW w:w="4091" w:type="dxa"/>
            <w:tcMar>
              <w:top w:w="15" w:type="dxa"/>
              <w:left w:w="15" w:type="dxa"/>
              <w:right w:w="15" w:type="dxa"/>
            </w:tcMar>
            <w:vAlign w:val="center"/>
          </w:tcPr>
          <w:p w14:paraId="368B24AC">
            <w:pPr>
              <w:spacing w:line="360" w:lineRule="auto"/>
              <w:jc w:val="center"/>
              <w:rPr>
                <w:rFonts w:ascii="仿宋" w:hAnsi="仿宋" w:eastAsia="仿宋" w:cs="仿宋"/>
                <w:kern w:val="0"/>
                <w:szCs w:val="21"/>
              </w:rPr>
            </w:pPr>
            <w:r>
              <w:rPr>
                <w:rFonts w:hint="eastAsia" w:ascii="仿宋" w:hAnsi="仿宋" w:eastAsia="仿宋" w:cs="仿宋"/>
                <w:kern w:val="0"/>
                <w:szCs w:val="21"/>
              </w:rPr>
              <w:t>详见N-M页</w:t>
            </w:r>
          </w:p>
        </w:tc>
      </w:tr>
      <w:tr w14:paraId="3BABC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jc w:val="center"/>
        </w:trPr>
        <w:tc>
          <w:tcPr>
            <w:tcW w:w="729" w:type="dxa"/>
            <w:tcMar>
              <w:top w:w="15" w:type="dxa"/>
              <w:left w:w="15" w:type="dxa"/>
              <w:right w:w="15" w:type="dxa"/>
            </w:tcMar>
            <w:vAlign w:val="center"/>
          </w:tcPr>
          <w:p w14:paraId="3C97CF9D">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6</w:t>
            </w:r>
          </w:p>
        </w:tc>
        <w:tc>
          <w:tcPr>
            <w:tcW w:w="1696" w:type="dxa"/>
            <w:vMerge w:val="continue"/>
            <w:tcMar>
              <w:top w:w="15" w:type="dxa"/>
              <w:left w:w="15" w:type="dxa"/>
              <w:right w:w="15" w:type="dxa"/>
            </w:tcMar>
            <w:vAlign w:val="center"/>
          </w:tcPr>
          <w:p w14:paraId="54502E08">
            <w:pPr>
              <w:widowControl/>
              <w:spacing w:line="360" w:lineRule="auto"/>
              <w:jc w:val="center"/>
              <w:textAlignment w:val="center"/>
              <w:rPr>
                <w:rFonts w:ascii="仿宋" w:hAnsi="仿宋" w:eastAsia="仿宋" w:cs="仿宋"/>
                <w:szCs w:val="21"/>
              </w:rPr>
            </w:pPr>
          </w:p>
        </w:tc>
        <w:tc>
          <w:tcPr>
            <w:tcW w:w="2997" w:type="dxa"/>
            <w:vAlign w:val="center"/>
          </w:tcPr>
          <w:p w14:paraId="7AB33A63">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增值服务</w:t>
            </w:r>
          </w:p>
          <w:p w14:paraId="4C5CE380">
            <w:pPr>
              <w:widowControl/>
              <w:spacing w:line="360" w:lineRule="auto"/>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（4分）</w:t>
            </w:r>
          </w:p>
        </w:tc>
        <w:tc>
          <w:tcPr>
            <w:tcW w:w="4091" w:type="dxa"/>
            <w:tcMar>
              <w:top w:w="15" w:type="dxa"/>
              <w:left w:w="15" w:type="dxa"/>
              <w:right w:w="15" w:type="dxa"/>
            </w:tcMar>
            <w:vAlign w:val="center"/>
          </w:tcPr>
          <w:p w14:paraId="3AC73232">
            <w:pPr>
              <w:spacing w:line="360" w:lineRule="auto"/>
              <w:jc w:val="center"/>
              <w:rPr>
                <w:rFonts w:ascii="仿宋" w:hAnsi="仿宋" w:eastAsia="仿宋" w:cs="仿宋"/>
                <w:kern w:val="0"/>
                <w:szCs w:val="21"/>
              </w:rPr>
            </w:pPr>
            <w:r>
              <w:rPr>
                <w:rFonts w:hint="eastAsia" w:ascii="仿宋" w:hAnsi="仿宋" w:eastAsia="仿宋" w:cs="仿宋"/>
                <w:kern w:val="0"/>
                <w:szCs w:val="21"/>
              </w:rPr>
              <w:t>详见N-M页</w:t>
            </w:r>
          </w:p>
        </w:tc>
      </w:tr>
    </w:tbl>
    <w:p w14:paraId="7447B6D2">
      <w:pPr>
        <w:pStyle w:val="10"/>
        <w:spacing w:line="360" w:lineRule="auto"/>
        <w:ind w:firstLine="0"/>
        <w:rPr>
          <w:rFonts w:ascii="仿宋" w:hAnsi="仿宋" w:eastAsia="仿宋" w:cs="仿宋"/>
          <w:b/>
          <w:bCs/>
          <w:sz w:val="24"/>
          <w:szCs w:val="24"/>
        </w:rPr>
      </w:pPr>
      <w:r>
        <w:rPr>
          <w:rFonts w:hint="eastAsia" w:ascii="仿宋" w:hAnsi="仿宋" w:eastAsia="仿宋" w:cs="仿宋"/>
          <w:b/>
          <w:bCs/>
          <w:sz w:val="24"/>
          <w:szCs w:val="24"/>
        </w:rPr>
        <w:t>注：本索引表仅提供格式参考，投标人可根据招标文件第三章的要求自行调整。</w:t>
      </w:r>
    </w:p>
    <w:p w14:paraId="012602ED">
      <w:pPr>
        <w:spacing w:line="360" w:lineRule="auto"/>
        <w:rPr>
          <w:rFonts w:ascii="仿宋" w:hAnsi="仿宋" w:eastAsia="仿宋" w:cs="仿宋"/>
          <w:szCs w:val="24"/>
        </w:rPr>
      </w:pPr>
      <w:r>
        <w:rPr>
          <w:rFonts w:hint="eastAsia" w:ascii="仿宋" w:hAnsi="仿宋" w:eastAsia="仿宋" w:cs="仿宋"/>
          <w:szCs w:val="24"/>
        </w:rPr>
        <w:br w:type="page"/>
      </w:r>
    </w:p>
    <w:p w14:paraId="1F6C0364">
      <w:pPr>
        <w:pStyle w:val="5"/>
        <w:spacing w:line="360" w:lineRule="auto"/>
        <w:rPr>
          <w:rFonts w:hint="default" w:ascii="仿宋" w:hAnsi="仿宋" w:cs="仿宋"/>
          <w:szCs w:val="24"/>
        </w:rPr>
      </w:pPr>
      <w:bookmarkStart w:id="1020" w:name="_Toc30886"/>
      <w:bookmarkStart w:id="1021" w:name="_Toc17737"/>
      <w:bookmarkStart w:id="1022" w:name="_Toc21905"/>
      <w:bookmarkStart w:id="1023" w:name="_Toc28636"/>
      <w:bookmarkStart w:id="1024" w:name="_Toc17023"/>
      <w:r>
        <w:rPr>
          <w:rFonts w:ascii="仿宋" w:hAnsi="仿宋" w:cs="仿宋"/>
          <w:szCs w:val="24"/>
        </w:rPr>
        <w:t>（一）技术规范书应答偏离表</w:t>
      </w:r>
      <w:bookmarkEnd w:id="1017"/>
      <w:bookmarkEnd w:id="1018"/>
      <w:bookmarkEnd w:id="1019"/>
      <w:bookmarkEnd w:id="1020"/>
      <w:bookmarkEnd w:id="1021"/>
      <w:bookmarkEnd w:id="1022"/>
      <w:bookmarkEnd w:id="1023"/>
      <w:bookmarkEnd w:id="1024"/>
    </w:p>
    <w:p w14:paraId="5C3B9056">
      <w:pPr>
        <w:spacing w:line="360" w:lineRule="auto"/>
        <w:jc w:val="center"/>
        <w:rPr>
          <w:rFonts w:ascii="仿宋" w:hAnsi="仿宋" w:eastAsia="仿宋" w:cs="仿宋"/>
          <w:b/>
          <w:bCs/>
          <w:sz w:val="24"/>
          <w:szCs w:val="24"/>
        </w:rPr>
      </w:pPr>
      <w:bookmarkStart w:id="1025" w:name="_Toc125771198"/>
      <w:bookmarkStart w:id="1026" w:name="_Toc293297544"/>
      <w:bookmarkStart w:id="1027" w:name="_Toc125561188"/>
      <w:r>
        <w:rPr>
          <w:rFonts w:hint="eastAsia" w:ascii="仿宋" w:hAnsi="仿宋" w:eastAsia="仿宋" w:cs="仿宋"/>
          <w:b/>
          <w:bCs/>
          <w:sz w:val="24"/>
          <w:szCs w:val="24"/>
        </w:rPr>
        <w:t>技术规范书应答偏离表</w:t>
      </w:r>
      <w:bookmarkEnd w:id="1025"/>
      <w:bookmarkEnd w:id="1026"/>
      <w:bookmarkEnd w:id="1027"/>
    </w:p>
    <w:p w14:paraId="715D0D4E">
      <w:pPr>
        <w:spacing w:line="360" w:lineRule="auto"/>
        <w:rPr>
          <w:rFonts w:ascii="仿宋" w:hAnsi="仿宋" w:eastAsia="仿宋" w:cs="仿宋"/>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tbl>
      <w:tblPr>
        <w:tblStyle w:val="33"/>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64"/>
        <w:gridCol w:w="3239"/>
        <w:gridCol w:w="2640"/>
        <w:gridCol w:w="1434"/>
      </w:tblGrid>
      <w:tr w14:paraId="420539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75" w:type="dxa"/>
            <w:tcBorders>
              <w:top w:val="double" w:color="auto" w:sz="4" w:space="0"/>
              <w:left w:val="double" w:color="auto" w:sz="4" w:space="0"/>
              <w:bottom w:val="single" w:color="auto" w:sz="4" w:space="0"/>
              <w:right w:val="single" w:color="auto" w:sz="4" w:space="0"/>
            </w:tcBorders>
            <w:vAlign w:val="center"/>
          </w:tcPr>
          <w:p w14:paraId="7BE66734">
            <w:pPr>
              <w:spacing w:line="360" w:lineRule="auto"/>
              <w:jc w:val="center"/>
              <w:rPr>
                <w:rFonts w:ascii="仿宋" w:hAnsi="仿宋" w:eastAsia="仿宋" w:cs="仿宋"/>
                <w:b/>
                <w:szCs w:val="21"/>
              </w:rPr>
            </w:pPr>
            <w:r>
              <w:rPr>
                <w:rFonts w:hint="eastAsia" w:ascii="仿宋" w:hAnsi="仿宋" w:eastAsia="仿宋" w:cs="仿宋"/>
                <w:b/>
                <w:szCs w:val="21"/>
              </w:rPr>
              <w:t>序号</w:t>
            </w:r>
          </w:p>
        </w:tc>
        <w:tc>
          <w:tcPr>
            <w:tcW w:w="1864" w:type="dxa"/>
            <w:tcBorders>
              <w:top w:val="double" w:color="auto" w:sz="4" w:space="0"/>
              <w:left w:val="single" w:color="auto" w:sz="4" w:space="0"/>
              <w:bottom w:val="single" w:color="auto" w:sz="4" w:space="0"/>
              <w:right w:val="single" w:color="auto" w:sz="4" w:space="0"/>
            </w:tcBorders>
            <w:vAlign w:val="center"/>
          </w:tcPr>
          <w:p w14:paraId="43434843">
            <w:pPr>
              <w:spacing w:line="360" w:lineRule="auto"/>
              <w:jc w:val="center"/>
              <w:rPr>
                <w:rFonts w:ascii="仿宋" w:hAnsi="仿宋" w:eastAsia="仿宋" w:cs="仿宋"/>
                <w:b/>
                <w:bCs/>
                <w:sz w:val="24"/>
                <w:szCs w:val="24"/>
              </w:rPr>
            </w:pPr>
            <w:r>
              <w:rPr>
                <w:rFonts w:hint="eastAsia" w:ascii="仿宋" w:hAnsi="仿宋" w:eastAsia="仿宋" w:cs="仿宋"/>
                <w:b/>
                <w:bCs/>
              </w:rPr>
              <w:t>技术偏离类型（正负偏离）</w:t>
            </w:r>
          </w:p>
        </w:tc>
        <w:tc>
          <w:tcPr>
            <w:tcW w:w="3239" w:type="dxa"/>
            <w:tcBorders>
              <w:top w:val="double" w:color="auto" w:sz="4" w:space="0"/>
              <w:left w:val="single" w:color="auto" w:sz="4" w:space="0"/>
              <w:bottom w:val="single" w:color="auto" w:sz="4" w:space="0"/>
              <w:right w:val="single" w:color="auto" w:sz="4" w:space="0"/>
            </w:tcBorders>
            <w:vAlign w:val="center"/>
          </w:tcPr>
          <w:p w14:paraId="3ACBF753">
            <w:pPr>
              <w:spacing w:line="360" w:lineRule="auto"/>
              <w:jc w:val="center"/>
              <w:rPr>
                <w:rFonts w:ascii="仿宋" w:hAnsi="仿宋" w:eastAsia="仿宋" w:cs="仿宋"/>
                <w:b/>
                <w:bCs/>
                <w:sz w:val="24"/>
                <w:szCs w:val="24"/>
              </w:rPr>
            </w:pPr>
            <w:r>
              <w:rPr>
                <w:rFonts w:hint="eastAsia" w:ascii="仿宋" w:hAnsi="仿宋" w:eastAsia="仿宋" w:cs="仿宋"/>
                <w:b/>
                <w:bCs/>
              </w:rPr>
              <w:t>技术偏离的文档章节号及页号</w:t>
            </w:r>
          </w:p>
        </w:tc>
        <w:tc>
          <w:tcPr>
            <w:tcW w:w="2640" w:type="dxa"/>
            <w:tcBorders>
              <w:top w:val="double" w:color="auto" w:sz="4" w:space="0"/>
              <w:left w:val="single" w:color="auto" w:sz="4" w:space="0"/>
              <w:bottom w:val="single" w:color="auto" w:sz="4" w:space="0"/>
              <w:right w:val="single" w:color="auto" w:sz="4" w:space="0"/>
            </w:tcBorders>
            <w:vAlign w:val="center"/>
          </w:tcPr>
          <w:p w14:paraId="0F60F552">
            <w:pPr>
              <w:spacing w:line="360" w:lineRule="auto"/>
              <w:jc w:val="center"/>
              <w:rPr>
                <w:rFonts w:ascii="仿宋" w:hAnsi="仿宋" w:eastAsia="仿宋" w:cs="仿宋"/>
                <w:b/>
                <w:bCs/>
                <w:sz w:val="24"/>
                <w:szCs w:val="24"/>
              </w:rPr>
            </w:pPr>
            <w:r>
              <w:rPr>
                <w:rFonts w:hint="eastAsia" w:ascii="仿宋" w:hAnsi="仿宋" w:eastAsia="仿宋" w:cs="仿宋"/>
                <w:b/>
                <w:bCs/>
              </w:rPr>
              <w:t>技术偏离的主要内容说明</w:t>
            </w:r>
          </w:p>
        </w:tc>
        <w:tc>
          <w:tcPr>
            <w:tcW w:w="1434" w:type="dxa"/>
            <w:tcBorders>
              <w:top w:val="double" w:color="auto" w:sz="4" w:space="0"/>
              <w:left w:val="single" w:color="auto" w:sz="4" w:space="0"/>
              <w:bottom w:val="single" w:color="auto" w:sz="4" w:space="0"/>
              <w:right w:val="double" w:color="auto" w:sz="4" w:space="0"/>
            </w:tcBorders>
            <w:vAlign w:val="center"/>
          </w:tcPr>
          <w:p w14:paraId="1CBD51A8">
            <w:pPr>
              <w:spacing w:line="360" w:lineRule="auto"/>
              <w:jc w:val="center"/>
              <w:rPr>
                <w:rFonts w:ascii="仿宋" w:hAnsi="仿宋" w:eastAsia="仿宋" w:cs="仿宋"/>
                <w:b/>
                <w:szCs w:val="21"/>
              </w:rPr>
            </w:pPr>
            <w:r>
              <w:rPr>
                <w:rFonts w:hint="eastAsia" w:ascii="仿宋" w:hAnsi="仿宋" w:eastAsia="仿宋" w:cs="仿宋"/>
                <w:b/>
                <w:szCs w:val="21"/>
              </w:rPr>
              <w:t>备注</w:t>
            </w:r>
          </w:p>
        </w:tc>
      </w:tr>
      <w:tr w14:paraId="5F966B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75" w:type="dxa"/>
            <w:tcBorders>
              <w:top w:val="single" w:color="auto" w:sz="4" w:space="0"/>
              <w:left w:val="double" w:color="auto" w:sz="4" w:space="0"/>
              <w:bottom w:val="single" w:color="auto" w:sz="4" w:space="0"/>
              <w:right w:val="single" w:color="auto" w:sz="4" w:space="0"/>
            </w:tcBorders>
          </w:tcPr>
          <w:p w14:paraId="003688AF">
            <w:pPr>
              <w:spacing w:line="360" w:lineRule="auto"/>
              <w:rPr>
                <w:rFonts w:ascii="仿宋" w:hAnsi="仿宋" w:eastAsia="仿宋" w:cs="仿宋"/>
                <w:szCs w:val="21"/>
              </w:rPr>
            </w:pPr>
          </w:p>
        </w:tc>
        <w:tc>
          <w:tcPr>
            <w:tcW w:w="1864" w:type="dxa"/>
            <w:tcBorders>
              <w:top w:val="single" w:color="auto" w:sz="4" w:space="0"/>
              <w:left w:val="single" w:color="auto" w:sz="4" w:space="0"/>
              <w:bottom w:val="single" w:color="auto" w:sz="4" w:space="0"/>
              <w:right w:val="single" w:color="auto" w:sz="4" w:space="0"/>
            </w:tcBorders>
          </w:tcPr>
          <w:p w14:paraId="0FA27AC9">
            <w:pPr>
              <w:spacing w:line="360" w:lineRule="auto"/>
              <w:rPr>
                <w:rFonts w:ascii="仿宋" w:hAnsi="仿宋" w:eastAsia="仿宋" w:cs="仿宋"/>
                <w:szCs w:val="21"/>
              </w:rPr>
            </w:pPr>
            <w:r>
              <w:rPr>
                <w:rFonts w:hint="eastAsia" w:ascii="仿宋" w:hAnsi="仿宋" w:eastAsia="仿宋" w:cs="仿宋"/>
                <w:szCs w:val="21"/>
              </w:rPr>
              <w:t>负偏离（不满足）</w:t>
            </w:r>
          </w:p>
        </w:tc>
        <w:tc>
          <w:tcPr>
            <w:tcW w:w="3239" w:type="dxa"/>
            <w:tcBorders>
              <w:top w:val="single" w:color="auto" w:sz="4" w:space="0"/>
              <w:left w:val="single" w:color="auto" w:sz="4" w:space="0"/>
              <w:bottom w:val="single" w:color="auto" w:sz="4" w:space="0"/>
              <w:right w:val="single" w:color="auto" w:sz="4" w:space="0"/>
            </w:tcBorders>
          </w:tcPr>
          <w:p w14:paraId="4A7E8D38">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173CE10F">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6875A328">
            <w:pPr>
              <w:spacing w:line="360" w:lineRule="auto"/>
              <w:rPr>
                <w:rFonts w:ascii="仿宋" w:hAnsi="仿宋" w:eastAsia="仿宋" w:cs="仿宋"/>
                <w:szCs w:val="21"/>
              </w:rPr>
            </w:pPr>
          </w:p>
        </w:tc>
      </w:tr>
      <w:tr w14:paraId="20723E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75" w:type="dxa"/>
            <w:tcBorders>
              <w:top w:val="single" w:color="auto" w:sz="4" w:space="0"/>
              <w:left w:val="double" w:color="auto" w:sz="4" w:space="0"/>
              <w:bottom w:val="single" w:color="auto" w:sz="4" w:space="0"/>
              <w:right w:val="single" w:color="auto" w:sz="4" w:space="0"/>
            </w:tcBorders>
          </w:tcPr>
          <w:p w14:paraId="23711F83">
            <w:pPr>
              <w:spacing w:line="360" w:lineRule="auto"/>
              <w:rPr>
                <w:rFonts w:ascii="仿宋" w:hAnsi="仿宋" w:eastAsia="仿宋" w:cs="仿宋"/>
                <w:szCs w:val="21"/>
              </w:rPr>
            </w:pPr>
          </w:p>
        </w:tc>
        <w:tc>
          <w:tcPr>
            <w:tcW w:w="1864" w:type="dxa"/>
            <w:tcBorders>
              <w:top w:val="single" w:color="auto" w:sz="4" w:space="0"/>
              <w:left w:val="single" w:color="auto" w:sz="4" w:space="0"/>
              <w:bottom w:val="single" w:color="auto" w:sz="4" w:space="0"/>
              <w:right w:val="single" w:color="auto" w:sz="4" w:space="0"/>
            </w:tcBorders>
          </w:tcPr>
          <w:p w14:paraId="2D47260C">
            <w:pPr>
              <w:spacing w:line="360" w:lineRule="auto"/>
              <w:rPr>
                <w:rFonts w:ascii="仿宋" w:hAnsi="仿宋" w:eastAsia="仿宋" w:cs="仿宋"/>
                <w:szCs w:val="21"/>
              </w:rPr>
            </w:pPr>
          </w:p>
        </w:tc>
        <w:tc>
          <w:tcPr>
            <w:tcW w:w="3239" w:type="dxa"/>
            <w:tcBorders>
              <w:top w:val="single" w:color="auto" w:sz="4" w:space="0"/>
              <w:left w:val="single" w:color="auto" w:sz="4" w:space="0"/>
              <w:bottom w:val="single" w:color="auto" w:sz="4" w:space="0"/>
              <w:right w:val="single" w:color="auto" w:sz="4" w:space="0"/>
            </w:tcBorders>
          </w:tcPr>
          <w:p w14:paraId="2D8630C7">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43AA9F57">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41AF0117">
            <w:pPr>
              <w:spacing w:line="360" w:lineRule="auto"/>
              <w:rPr>
                <w:rFonts w:ascii="仿宋" w:hAnsi="仿宋" w:eastAsia="仿宋" w:cs="仿宋"/>
                <w:szCs w:val="21"/>
              </w:rPr>
            </w:pPr>
          </w:p>
        </w:tc>
      </w:tr>
      <w:tr w14:paraId="3D5557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75" w:type="dxa"/>
            <w:tcBorders>
              <w:top w:val="single" w:color="auto" w:sz="4" w:space="0"/>
              <w:left w:val="double" w:color="auto" w:sz="4" w:space="0"/>
              <w:bottom w:val="single" w:color="auto" w:sz="4" w:space="0"/>
              <w:right w:val="single" w:color="auto" w:sz="4" w:space="0"/>
            </w:tcBorders>
          </w:tcPr>
          <w:p w14:paraId="45628569">
            <w:pPr>
              <w:spacing w:line="360" w:lineRule="auto"/>
              <w:rPr>
                <w:rFonts w:ascii="仿宋" w:hAnsi="仿宋" w:eastAsia="仿宋" w:cs="仿宋"/>
                <w:szCs w:val="21"/>
              </w:rPr>
            </w:pPr>
          </w:p>
        </w:tc>
        <w:tc>
          <w:tcPr>
            <w:tcW w:w="1864" w:type="dxa"/>
            <w:tcBorders>
              <w:top w:val="single" w:color="auto" w:sz="4" w:space="0"/>
              <w:left w:val="single" w:color="auto" w:sz="4" w:space="0"/>
              <w:bottom w:val="single" w:color="auto" w:sz="4" w:space="0"/>
              <w:right w:val="single" w:color="auto" w:sz="4" w:space="0"/>
            </w:tcBorders>
          </w:tcPr>
          <w:p w14:paraId="3393394A">
            <w:pPr>
              <w:spacing w:line="360" w:lineRule="auto"/>
              <w:rPr>
                <w:rFonts w:ascii="仿宋" w:hAnsi="仿宋" w:eastAsia="仿宋" w:cs="仿宋"/>
                <w:szCs w:val="21"/>
              </w:rPr>
            </w:pPr>
          </w:p>
        </w:tc>
        <w:tc>
          <w:tcPr>
            <w:tcW w:w="3239" w:type="dxa"/>
            <w:tcBorders>
              <w:top w:val="single" w:color="auto" w:sz="4" w:space="0"/>
              <w:left w:val="single" w:color="auto" w:sz="4" w:space="0"/>
              <w:bottom w:val="single" w:color="auto" w:sz="4" w:space="0"/>
              <w:right w:val="single" w:color="auto" w:sz="4" w:space="0"/>
            </w:tcBorders>
          </w:tcPr>
          <w:p w14:paraId="6C36C16B">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0EED7A51">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6ABC859C">
            <w:pPr>
              <w:spacing w:line="360" w:lineRule="auto"/>
              <w:rPr>
                <w:rFonts w:ascii="仿宋" w:hAnsi="仿宋" w:eastAsia="仿宋" w:cs="仿宋"/>
                <w:szCs w:val="21"/>
              </w:rPr>
            </w:pPr>
          </w:p>
        </w:tc>
      </w:tr>
      <w:tr w14:paraId="126719D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75" w:type="dxa"/>
            <w:tcBorders>
              <w:top w:val="single" w:color="auto" w:sz="4" w:space="0"/>
              <w:left w:val="double" w:color="auto" w:sz="4" w:space="0"/>
              <w:bottom w:val="single" w:color="auto" w:sz="4" w:space="0"/>
              <w:right w:val="single" w:color="auto" w:sz="4" w:space="0"/>
            </w:tcBorders>
          </w:tcPr>
          <w:p w14:paraId="41AEA406">
            <w:pPr>
              <w:spacing w:line="360" w:lineRule="auto"/>
              <w:rPr>
                <w:rFonts w:ascii="仿宋" w:hAnsi="仿宋" w:eastAsia="仿宋" w:cs="仿宋"/>
                <w:szCs w:val="21"/>
              </w:rPr>
            </w:pPr>
          </w:p>
        </w:tc>
        <w:tc>
          <w:tcPr>
            <w:tcW w:w="1864" w:type="dxa"/>
            <w:tcBorders>
              <w:top w:val="single" w:color="auto" w:sz="4" w:space="0"/>
              <w:left w:val="single" w:color="auto" w:sz="4" w:space="0"/>
              <w:bottom w:val="single" w:color="auto" w:sz="4" w:space="0"/>
              <w:right w:val="single" w:color="auto" w:sz="4" w:space="0"/>
            </w:tcBorders>
          </w:tcPr>
          <w:p w14:paraId="09C94B5A">
            <w:pPr>
              <w:spacing w:line="360" w:lineRule="auto"/>
              <w:rPr>
                <w:rFonts w:ascii="仿宋" w:hAnsi="仿宋" w:eastAsia="仿宋" w:cs="仿宋"/>
                <w:szCs w:val="21"/>
              </w:rPr>
            </w:pPr>
          </w:p>
        </w:tc>
        <w:tc>
          <w:tcPr>
            <w:tcW w:w="3239" w:type="dxa"/>
            <w:tcBorders>
              <w:top w:val="single" w:color="auto" w:sz="4" w:space="0"/>
              <w:left w:val="single" w:color="auto" w:sz="4" w:space="0"/>
              <w:bottom w:val="single" w:color="auto" w:sz="4" w:space="0"/>
              <w:right w:val="single" w:color="auto" w:sz="4" w:space="0"/>
            </w:tcBorders>
          </w:tcPr>
          <w:p w14:paraId="58BE65FB">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1611CF43">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6BEA0BD1">
            <w:pPr>
              <w:spacing w:line="360" w:lineRule="auto"/>
              <w:rPr>
                <w:rFonts w:ascii="仿宋" w:hAnsi="仿宋" w:eastAsia="仿宋" w:cs="仿宋"/>
                <w:szCs w:val="21"/>
              </w:rPr>
            </w:pPr>
          </w:p>
        </w:tc>
      </w:tr>
      <w:tr w14:paraId="53FA0F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75" w:type="dxa"/>
            <w:tcBorders>
              <w:top w:val="single" w:color="auto" w:sz="4" w:space="0"/>
              <w:left w:val="double" w:color="auto" w:sz="4" w:space="0"/>
              <w:bottom w:val="single" w:color="auto" w:sz="4" w:space="0"/>
              <w:right w:val="single" w:color="auto" w:sz="4" w:space="0"/>
            </w:tcBorders>
          </w:tcPr>
          <w:p w14:paraId="59D48448">
            <w:pPr>
              <w:spacing w:line="360" w:lineRule="auto"/>
              <w:rPr>
                <w:rFonts w:ascii="仿宋" w:hAnsi="仿宋" w:eastAsia="仿宋" w:cs="仿宋"/>
                <w:szCs w:val="21"/>
              </w:rPr>
            </w:pPr>
          </w:p>
        </w:tc>
        <w:tc>
          <w:tcPr>
            <w:tcW w:w="1864" w:type="dxa"/>
            <w:tcBorders>
              <w:top w:val="single" w:color="auto" w:sz="4" w:space="0"/>
              <w:left w:val="single" w:color="auto" w:sz="4" w:space="0"/>
              <w:bottom w:val="single" w:color="auto" w:sz="4" w:space="0"/>
              <w:right w:val="single" w:color="auto" w:sz="4" w:space="0"/>
            </w:tcBorders>
          </w:tcPr>
          <w:p w14:paraId="3AB8EE64">
            <w:pPr>
              <w:spacing w:line="360" w:lineRule="auto"/>
              <w:rPr>
                <w:rFonts w:ascii="仿宋" w:hAnsi="仿宋" w:eastAsia="仿宋" w:cs="仿宋"/>
                <w:szCs w:val="21"/>
              </w:rPr>
            </w:pPr>
          </w:p>
        </w:tc>
        <w:tc>
          <w:tcPr>
            <w:tcW w:w="3239" w:type="dxa"/>
            <w:tcBorders>
              <w:top w:val="single" w:color="auto" w:sz="4" w:space="0"/>
              <w:left w:val="single" w:color="auto" w:sz="4" w:space="0"/>
              <w:bottom w:val="single" w:color="auto" w:sz="4" w:space="0"/>
              <w:right w:val="single" w:color="auto" w:sz="4" w:space="0"/>
            </w:tcBorders>
          </w:tcPr>
          <w:p w14:paraId="789592C4">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2ECBC0FE">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06B63E36">
            <w:pPr>
              <w:spacing w:line="360" w:lineRule="auto"/>
              <w:rPr>
                <w:rFonts w:ascii="仿宋" w:hAnsi="仿宋" w:eastAsia="仿宋" w:cs="仿宋"/>
                <w:szCs w:val="21"/>
              </w:rPr>
            </w:pPr>
          </w:p>
        </w:tc>
      </w:tr>
      <w:tr w14:paraId="0D51CF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75" w:type="dxa"/>
            <w:tcBorders>
              <w:top w:val="single" w:color="auto" w:sz="4" w:space="0"/>
              <w:left w:val="double" w:color="auto" w:sz="4" w:space="0"/>
              <w:bottom w:val="single" w:color="auto" w:sz="4" w:space="0"/>
              <w:right w:val="single" w:color="auto" w:sz="4" w:space="0"/>
            </w:tcBorders>
          </w:tcPr>
          <w:p w14:paraId="25FABF36">
            <w:pPr>
              <w:spacing w:line="360" w:lineRule="auto"/>
              <w:rPr>
                <w:rFonts w:ascii="仿宋" w:hAnsi="仿宋" w:eastAsia="仿宋" w:cs="仿宋"/>
                <w:szCs w:val="21"/>
              </w:rPr>
            </w:pPr>
            <w:r>
              <w:rPr>
                <w:rFonts w:hint="eastAsia" w:ascii="仿宋" w:hAnsi="仿宋" w:eastAsia="仿宋" w:cs="仿宋"/>
                <w:szCs w:val="21"/>
              </w:rPr>
              <w:t>……</w:t>
            </w:r>
          </w:p>
        </w:tc>
        <w:tc>
          <w:tcPr>
            <w:tcW w:w="1864" w:type="dxa"/>
            <w:tcBorders>
              <w:top w:val="single" w:color="auto" w:sz="4" w:space="0"/>
              <w:left w:val="single" w:color="auto" w:sz="4" w:space="0"/>
              <w:bottom w:val="single" w:color="auto" w:sz="4" w:space="0"/>
              <w:right w:val="single" w:color="auto" w:sz="4" w:space="0"/>
            </w:tcBorders>
          </w:tcPr>
          <w:p w14:paraId="4243FC8C">
            <w:pPr>
              <w:spacing w:line="360" w:lineRule="auto"/>
              <w:rPr>
                <w:rFonts w:ascii="仿宋" w:hAnsi="仿宋" w:eastAsia="仿宋" w:cs="仿宋"/>
                <w:szCs w:val="21"/>
              </w:rPr>
            </w:pPr>
            <w:r>
              <w:rPr>
                <w:rFonts w:hint="eastAsia" w:ascii="仿宋" w:hAnsi="仿宋" w:eastAsia="仿宋" w:cs="仿宋"/>
                <w:szCs w:val="21"/>
              </w:rPr>
              <w:t>……</w:t>
            </w:r>
          </w:p>
        </w:tc>
        <w:tc>
          <w:tcPr>
            <w:tcW w:w="3239" w:type="dxa"/>
            <w:tcBorders>
              <w:top w:val="single" w:color="auto" w:sz="4" w:space="0"/>
              <w:left w:val="single" w:color="auto" w:sz="4" w:space="0"/>
              <w:bottom w:val="single" w:color="auto" w:sz="4" w:space="0"/>
              <w:right w:val="single" w:color="auto" w:sz="4" w:space="0"/>
            </w:tcBorders>
          </w:tcPr>
          <w:p w14:paraId="499FBBB9">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1F18E395">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6C4960F8">
            <w:pPr>
              <w:spacing w:line="360" w:lineRule="auto"/>
              <w:rPr>
                <w:rFonts w:ascii="仿宋" w:hAnsi="仿宋" w:eastAsia="仿宋" w:cs="仿宋"/>
                <w:szCs w:val="21"/>
              </w:rPr>
            </w:pPr>
          </w:p>
        </w:tc>
      </w:tr>
      <w:tr w14:paraId="75C0E0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75" w:type="dxa"/>
            <w:tcBorders>
              <w:top w:val="single" w:color="auto" w:sz="4" w:space="0"/>
              <w:left w:val="double" w:color="auto" w:sz="4" w:space="0"/>
              <w:bottom w:val="single" w:color="auto" w:sz="4" w:space="0"/>
              <w:right w:val="single" w:color="auto" w:sz="4" w:space="0"/>
            </w:tcBorders>
          </w:tcPr>
          <w:p w14:paraId="27D33D8B">
            <w:pPr>
              <w:spacing w:line="360" w:lineRule="auto"/>
              <w:rPr>
                <w:rFonts w:ascii="仿宋" w:hAnsi="仿宋" w:eastAsia="仿宋" w:cs="仿宋"/>
                <w:szCs w:val="21"/>
              </w:rPr>
            </w:pPr>
          </w:p>
        </w:tc>
        <w:tc>
          <w:tcPr>
            <w:tcW w:w="1864" w:type="dxa"/>
            <w:tcBorders>
              <w:top w:val="single" w:color="auto" w:sz="4" w:space="0"/>
              <w:left w:val="single" w:color="auto" w:sz="4" w:space="0"/>
              <w:bottom w:val="single" w:color="auto" w:sz="4" w:space="0"/>
              <w:right w:val="single" w:color="auto" w:sz="4" w:space="0"/>
            </w:tcBorders>
          </w:tcPr>
          <w:p w14:paraId="3C1A62AB">
            <w:pPr>
              <w:spacing w:line="360" w:lineRule="auto"/>
              <w:rPr>
                <w:rFonts w:ascii="仿宋" w:hAnsi="仿宋" w:eastAsia="仿宋" w:cs="仿宋"/>
                <w:szCs w:val="21"/>
              </w:rPr>
            </w:pPr>
            <w:r>
              <w:rPr>
                <w:rFonts w:hint="eastAsia" w:ascii="仿宋" w:hAnsi="仿宋" w:eastAsia="仿宋" w:cs="仿宋"/>
                <w:szCs w:val="21"/>
              </w:rPr>
              <w:t>正偏离（优于）</w:t>
            </w:r>
          </w:p>
        </w:tc>
        <w:tc>
          <w:tcPr>
            <w:tcW w:w="3239" w:type="dxa"/>
            <w:tcBorders>
              <w:top w:val="single" w:color="auto" w:sz="4" w:space="0"/>
              <w:left w:val="single" w:color="auto" w:sz="4" w:space="0"/>
              <w:bottom w:val="single" w:color="auto" w:sz="4" w:space="0"/>
              <w:right w:val="single" w:color="auto" w:sz="4" w:space="0"/>
            </w:tcBorders>
          </w:tcPr>
          <w:p w14:paraId="007CBD68">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107B0085">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1C38A460">
            <w:pPr>
              <w:spacing w:line="360" w:lineRule="auto"/>
              <w:rPr>
                <w:rFonts w:ascii="仿宋" w:hAnsi="仿宋" w:eastAsia="仿宋" w:cs="仿宋"/>
                <w:szCs w:val="21"/>
              </w:rPr>
            </w:pPr>
          </w:p>
        </w:tc>
      </w:tr>
      <w:tr w14:paraId="5A3A76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75" w:type="dxa"/>
            <w:tcBorders>
              <w:top w:val="single" w:color="auto" w:sz="4" w:space="0"/>
              <w:left w:val="double" w:color="auto" w:sz="4" w:space="0"/>
              <w:bottom w:val="single" w:color="auto" w:sz="4" w:space="0"/>
              <w:right w:val="single" w:color="auto" w:sz="4" w:space="0"/>
            </w:tcBorders>
          </w:tcPr>
          <w:p w14:paraId="7A502A20">
            <w:pPr>
              <w:spacing w:line="360" w:lineRule="auto"/>
              <w:rPr>
                <w:rFonts w:ascii="仿宋" w:hAnsi="仿宋" w:eastAsia="仿宋" w:cs="仿宋"/>
                <w:szCs w:val="21"/>
              </w:rPr>
            </w:pPr>
          </w:p>
        </w:tc>
        <w:tc>
          <w:tcPr>
            <w:tcW w:w="1864" w:type="dxa"/>
            <w:tcBorders>
              <w:top w:val="single" w:color="auto" w:sz="4" w:space="0"/>
              <w:left w:val="single" w:color="auto" w:sz="4" w:space="0"/>
              <w:bottom w:val="single" w:color="auto" w:sz="4" w:space="0"/>
              <w:right w:val="single" w:color="auto" w:sz="4" w:space="0"/>
            </w:tcBorders>
          </w:tcPr>
          <w:p w14:paraId="5151CB3D">
            <w:pPr>
              <w:spacing w:line="360" w:lineRule="auto"/>
              <w:rPr>
                <w:rFonts w:ascii="仿宋" w:hAnsi="仿宋" w:eastAsia="仿宋" w:cs="仿宋"/>
                <w:szCs w:val="21"/>
              </w:rPr>
            </w:pPr>
          </w:p>
        </w:tc>
        <w:tc>
          <w:tcPr>
            <w:tcW w:w="3239" w:type="dxa"/>
            <w:tcBorders>
              <w:top w:val="single" w:color="auto" w:sz="4" w:space="0"/>
              <w:left w:val="single" w:color="auto" w:sz="4" w:space="0"/>
              <w:bottom w:val="single" w:color="auto" w:sz="4" w:space="0"/>
              <w:right w:val="single" w:color="auto" w:sz="4" w:space="0"/>
            </w:tcBorders>
          </w:tcPr>
          <w:p w14:paraId="3438EC40">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70783F2A">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7B23663C">
            <w:pPr>
              <w:spacing w:line="360" w:lineRule="auto"/>
              <w:rPr>
                <w:rFonts w:ascii="仿宋" w:hAnsi="仿宋" w:eastAsia="仿宋" w:cs="仿宋"/>
                <w:szCs w:val="21"/>
              </w:rPr>
            </w:pPr>
          </w:p>
        </w:tc>
      </w:tr>
      <w:tr w14:paraId="142607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75" w:type="dxa"/>
            <w:tcBorders>
              <w:top w:val="single" w:color="auto" w:sz="4" w:space="0"/>
              <w:left w:val="double" w:color="auto" w:sz="4" w:space="0"/>
              <w:bottom w:val="single" w:color="auto" w:sz="4" w:space="0"/>
              <w:right w:val="single" w:color="auto" w:sz="4" w:space="0"/>
            </w:tcBorders>
          </w:tcPr>
          <w:p w14:paraId="77693BFD">
            <w:pPr>
              <w:spacing w:line="360" w:lineRule="auto"/>
              <w:rPr>
                <w:rFonts w:ascii="仿宋" w:hAnsi="仿宋" w:eastAsia="仿宋" w:cs="仿宋"/>
                <w:szCs w:val="21"/>
              </w:rPr>
            </w:pPr>
          </w:p>
        </w:tc>
        <w:tc>
          <w:tcPr>
            <w:tcW w:w="1864" w:type="dxa"/>
            <w:tcBorders>
              <w:top w:val="single" w:color="auto" w:sz="4" w:space="0"/>
              <w:left w:val="single" w:color="auto" w:sz="4" w:space="0"/>
              <w:bottom w:val="single" w:color="auto" w:sz="4" w:space="0"/>
              <w:right w:val="single" w:color="auto" w:sz="4" w:space="0"/>
            </w:tcBorders>
          </w:tcPr>
          <w:p w14:paraId="7702FAAE">
            <w:pPr>
              <w:spacing w:line="360" w:lineRule="auto"/>
              <w:rPr>
                <w:rFonts w:ascii="仿宋" w:hAnsi="仿宋" w:eastAsia="仿宋" w:cs="仿宋"/>
                <w:szCs w:val="21"/>
              </w:rPr>
            </w:pPr>
          </w:p>
        </w:tc>
        <w:tc>
          <w:tcPr>
            <w:tcW w:w="3239" w:type="dxa"/>
            <w:tcBorders>
              <w:top w:val="single" w:color="auto" w:sz="4" w:space="0"/>
              <w:left w:val="single" w:color="auto" w:sz="4" w:space="0"/>
              <w:bottom w:val="single" w:color="auto" w:sz="4" w:space="0"/>
              <w:right w:val="single" w:color="auto" w:sz="4" w:space="0"/>
            </w:tcBorders>
          </w:tcPr>
          <w:p w14:paraId="2516D974">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20DB8FD3">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7733532E">
            <w:pPr>
              <w:spacing w:line="360" w:lineRule="auto"/>
              <w:rPr>
                <w:rFonts w:ascii="仿宋" w:hAnsi="仿宋" w:eastAsia="仿宋" w:cs="仿宋"/>
                <w:szCs w:val="21"/>
              </w:rPr>
            </w:pPr>
          </w:p>
        </w:tc>
      </w:tr>
      <w:tr w14:paraId="612B34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75" w:type="dxa"/>
            <w:tcBorders>
              <w:top w:val="single" w:color="auto" w:sz="4" w:space="0"/>
              <w:left w:val="double" w:color="auto" w:sz="4" w:space="0"/>
              <w:bottom w:val="single" w:color="auto" w:sz="4" w:space="0"/>
              <w:right w:val="single" w:color="auto" w:sz="4" w:space="0"/>
            </w:tcBorders>
          </w:tcPr>
          <w:p w14:paraId="59F3CEB0">
            <w:pPr>
              <w:spacing w:line="360" w:lineRule="auto"/>
              <w:rPr>
                <w:rFonts w:ascii="仿宋" w:hAnsi="仿宋" w:eastAsia="仿宋" w:cs="仿宋"/>
                <w:szCs w:val="21"/>
              </w:rPr>
            </w:pPr>
          </w:p>
        </w:tc>
        <w:tc>
          <w:tcPr>
            <w:tcW w:w="1864" w:type="dxa"/>
            <w:tcBorders>
              <w:top w:val="single" w:color="auto" w:sz="4" w:space="0"/>
              <w:left w:val="single" w:color="auto" w:sz="4" w:space="0"/>
              <w:bottom w:val="single" w:color="auto" w:sz="4" w:space="0"/>
              <w:right w:val="single" w:color="auto" w:sz="4" w:space="0"/>
            </w:tcBorders>
          </w:tcPr>
          <w:p w14:paraId="2B74FC00">
            <w:pPr>
              <w:spacing w:line="360" w:lineRule="auto"/>
              <w:rPr>
                <w:rFonts w:ascii="仿宋" w:hAnsi="仿宋" w:eastAsia="仿宋" w:cs="仿宋"/>
                <w:szCs w:val="21"/>
              </w:rPr>
            </w:pPr>
          </w:p>
        </w:tc>
        <w:tc>
          <w:tcPr>
            <w:tcW w:w="3239" w:type="dxa"/>
            <w:tcBorders>
              <w:top w:val="single" w:color="auto" w:sz="4" w:space="0"/>
              <w:left w:val="single" w:color="auto" w:sz="4" w:space="0"/>
              <w:bottom w:val="single" w:color="auto" w:sz="4" w:space="0"/>
              <w:right w:val="single" w:color="auto" w:sz="4" w:space="0"/>
            </w:tcBorders>
          </w:tcPr>
          <w:p w14:paraId="6D7CD516">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46719FD7">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3F834B0E">
            <w:pPr>
              <w:spacing w:line="360" w:lineRule="auto"/>
              <w:rPr>
                <w:rFonts w:ascii="仿宋" w:hAnsi="仿宋" w:eastAsia="仿宋" w:cs="仿宋"/>
                <w:szCs w:val="21"/>
              </w:rPr>
            </w:pPr>
          </w:p>
        </w:tc>
      </w:tr>
      <w:tr w14:paraId="6D2737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75" w:type="dxa"/>
            <w:tcBorders>
              <w:top w:val="single" w:color="auto" w:sz="4" w:space="0"/>
              <w:left w:val="double" w:color="auto" w:sz="4" w:space="0"/>
              <w:bottom w:val="single" w:color="auto" w:sz="4" w:space="0"/>
              <w:right w:val="single" w:color="auto" w:sz="4" w:space="0"/>
            </w:tcBorders>
          </w:tcPr>
          <w:p w14:paraId="05AC29C5">
            <w:pPr>
              <w:spacing w:line="360" w:lineRule="auto"/>
              <w:rPr>
                <w:rFonts w:ascii="仿宋" w:hAnsi="仿宋" w:eastAsia="仿宋" w:cs="仿宋"/>
                <w:szCs w:val="21"/>
              </w:rPr>
            </w:pPr>
            <w:r>
              <w:rPr>
                <w:rFonts w:hint="eastAsia" w:ascii="仿宋" w:hAnsi="仿宋" w:eastAsia="仿宋" w:cs="仿宋"/>
                <w:szCs w:val="21"/>
              </w:rPr>
              <w:t>……</w:t>
            </w:r>
          </w:p>
        </w:tc>
        <w:tc>
          <w:tcPr>
            <w:tcW w:w="1864" w:type="dxa"/>
            <w:tcBorders>
              <w:top w:val="single" w:color="auto" w:sz="4" w:space="0"/>
              <w:left w:val="single" w:color="auto" w:sz="4" w:space="0"/>
              <w:bottom w:val="single" w:color="auto" w:sz="4" w:space="0"/>
              <w:right w:val="single" w:color="auto" w:sz="4" w:space="0"/>
            </w:tcBorders>
          </w:tcPr>
          <w:p w14:paraId="35F67E0C">
            <w:pPr>
              <w:spacing w:line="360" w:lineRule="auto"/>
              <w:rPr>
                <w:rFonts w:ascii="仿宋" w:hAnsi="仿宋" w:eastAsia="仿宋" w:cs="仿宋"/>
                <w:szCs w:val="21"/>
              </w:rPr>
            </w:pPr>
            <w:r>
              <w:rPr>
                <w:rFonts w:hint="eastAsia" w:ascii="仿宋" w:hAnsi="仿宋" w:eastAsia="仿宋" w:cs="仿宋"/>
                <w:szCs w:val="21"/>
              </w:rPr>
              <w:t>……</w:t>
            </w:r>
          </w:p>
        </w:tc>
        <w:tc>
          <w:tcPr>
            <w:tcW w:w="3239" w:type="dxa"/>
            <w:tcBorders>
              <w:top w:val="single" w:color="auto" w:sz="4" w:space="0"/>
              <w:left w:val="single" w:color="auto" w:sz="4" w:space="0"/>
              <w:bottom w:val="single" w:color="auto" w:sz="4" w:space="0"/>
              <w:right w:val="single" w:color="auto" w:sz="4" w:space="0"/>
            </w:tcBorders>
          </w:tcPr>
          <w:p w14:paraId="2EBA2E9B">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7E7154B6">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4C1A2DFE">
            <w:pPr>
              <w:spacing w:line="360" w:lineRule="auto"/>
              <w:rPr>
                <w:rFonts w:ascii="仿宋" w:hAnsi="仿宋" w:eastAsia="仿宋" w:cs="仿宋"/>
                <w:szCs w:val="21"/>
              </w:rPr>
            </w:pPr>
          </w:p>
        </w:tc>
      </w:tr>
      <w:tr w14:paraId="1E90E3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75" w:type="dxa"/>
            <w:tcBorders>
              <w:top w:val="single" w:color="auto" w:sz="4" w:space="0"/>
              <w:left w:val="double" w:color="auto" w:sz="4" w:space="0"/>
              <w:bottom w:val="single" w:color="auto" w:sz="4" w:space="0"/>
              <w:right w:val="single" w:color="auto" w:sz="4" w:space="0"/>
            </w:tcBorders>
          </w:tcPr>
          <w:p w14:paraId="327B92D4">
            <w:pPr>
              <w:spacing w:line="360" w:lineRule="auto"/>
              <w:rPr>
                <w:rFonts w:ascii="仿宋" w:hAnsi="仿宋" w:eastAsia="仿宋" w:cs="仿宋"/>
                <w:szCs w:val="21"/>
              </w:rPr>
            </w:pPr>
          </w:p>
        </w:tc>
        <w:tc>
          <w:tcPr>
            <w:tcW w:w="1864" w:type="dxa"/>
            <w:tcBorders>
              <w:top w:val="single" w:color="auto" w:sz="4" w:space="0"/>
              <w:left w:val="single" w:color="auto" w:sz="4" w:space="0"/>
              <w:bottom w:val="single" w:color="auto" w:sz="4" w:space="0"/>
              <w:right w:val="single" w:color="auto" w:sz="4" w:space="0"/>
            </w:tcBorders>
          </w:tcPr>
          <w:p w14:paraId="63A416B7">
            <w:pPr>
              <w:spacing w:line="360" w:lineRule="auto"/>
              <w:rPr>
                <w:rFonts w:ascii="仿宋" w:hAnsi="仿宋" w:eastAsia="仿宋" w:cs="仿宋"/>
                <w:szCs w:val="21"/>
              </w:rPr>
            </w:pPr>
          </w:p>
        </w:tc>
        <w:tc>
          <w:tcPr>
            <w:tcW w:w="3239" w:type="dxa"/>
            <w:tcBorders>
              <w:top w:val="single" w:color="auto" w:sz="4" w:space="0"/>
              <w:left w:val="single" w:color="auto" w:sz="4" w:space="0"/>
              <w:bottom w:val="single" w:color="auto" w:sz="4" w:space="0"/>
              <w:right w:val="single" w:color="auto" w:sz="4" w:space="0"/>
            </w:tcBorders>
          </w:tcPr>
          <w:p w14:paraId="54E07FEC">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1C723B70">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68401D4C">
            <w:pPr>
              <w:spacing w:line="360" w:lineRule="auto"/>
              <w:rPr>
                <w:rFonts w:ascii="仿宋" w:hAnsi="仿宋" w:eastAsia="仿宋" w:cs="仿宋"/>
                <w:szCs w:val="21"/>
              </w:rPr>
            </w:pPr>
          </w:p>
        </w:tc>
      </w:tr>
      <w:tr w14:paraId="386F93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75" w:type="dxa"/>
            <w:tcBorders>
              <w:top w:val="single" w:color="auto" w:sz="4" w:space="0"/>
              <w:left w:val="double" w:color="auto" w:sz="4" w:space="0"/>
              <w:bottom w:val="single" w:color="auto" w:sz="4" w:space="0"/>
              <w:right w:val="single" w:color="auto" w:sz="4" w:space="0"/>
            </w:tcBorders>
          </w:tcPr>
          <w:p w14:paraId="15B7D7E6">
            <w:pPr>
              <w:spacing w:line="360" w:lineRule="auto"/>
              <w:rPr>
                <w:rFonts w:ascii="仿宋" w:hAnsi="仿宋" w:eastAsia="仿宋" w:cs="仿宋"/>
                <w:szCs w:val="21"/>
              </w:rPr>
            </w:pPr>
          </w:p>
        </w:tc>
        <w:tc>
          <w:tcPr>
            <w:tcW w:w="1864" w:type="dxa"/>
            <w:tcBorders>
              <w:top w:val="single" w:color="auto" w:sz="4" w:space="0"/>
              <w:left w:val="single" w:color="auto" w:sz="4" w:space="0"/>
              <w:bottom w:val="single" w:color="auto" w:sz="4" w:space="0"/>
              <w:right w:val="single" w:color="auto" w:sz="4" w:space="0"/>
            </w:tcBorders>
          </w:tcPr>
          <w:p w14:paraId="06CF8FAC">
            <w:pPr>
              <w:spacing w:line="360" w:lineRule="auto"/>
              <w:rPr>
                <w:rFonts w:ascii="仿宋" w:hAnsi="仿宋" w:eastAsia="仿宋" w:cs="仿宋"/>
                <w:szCs w:val="21"/>
              </w:rPr>
            </w:pPr>
          </w:p>
        </w:tc>
        <w:tc>
          <w:tcPr>
            <w:tcW w:w="3239" w:type="dxa"/>
            <w:tcBorders>
              <w:top w:val="single" w:color="auto" w:sz="4" w:space="0"/>
              <w:left w:val="single" w:color="auto" w:sz="4" w:space="0"/>
              <w:bottom w:val="single" w:color="auto" w:sz="4" w:space="0"/>
              <w:right w:val="single" w:color="auto" w:sz="4" w:space="0"/>
            </w:tcBorders>
          </w:tcPr>
          <w:p w14:paraId="2C089192">
            <w:pPr>
              <w:spacing w:line="360" w:lineRule="auto"/>
              <w:rPr>
                <w:rFonts w:ascii="仿宋" w:hAnsi="仿宋" w:eastAsia="仿宋" w:cs="仿宋"/>
                <w:szCs w:val="21"/>
              </w:rPr>
            </w:pPr>
          </w:p>
        </w:tc>
        <w:tc>
          <w:tcPr>
            <w:tcW w:w="2640" w:type="dxa"/>
            <w:tcBorders>
              <w:top w:val="single" w:color="auto" w:sz="4" w:space="0"/>
              <w:left w:val="single" w:color="auto" w:sz="4" w:space="0"/>
              <w:bottom w:val="single" w:color="auto" w:sz="4" w:space="0"/>
              <w:right w:val="single" w:color="auto" w:sz="4" w:space="0"/>
            </w:tcBorders>
          </w:tcPr>
          <w:p w14:paraId="489968AD">
            <w:pPr>
              <w:spacing w:line="360" w:lineRule="auto"/>
              <w:rPr>
                <w:rFonts w:ascii="仿宋" w:hAnsi="仿宋" w:eastAsia="仿宋" w:cs="仿宋"/>
                <w:szCs w:val="21"/>
              </w:rPr>
            </w:pPr>
          </w:p>
        </w:tc>
        <w:tc>
          <w:tcPr>
            <w:tcW w:w="1434" w:type="dxa"/>
            <w:tcBorders>
              <w:top w:val="single" w:color="auto" w:sz="4" w:space="0"/>
              <w:left w:val="single" w:color="auto" w:sz="4" w:space="0"/>
              <w:bottom w:val="single" w:color="auto" w:sz="4" w:space="0"/>
              <w:right w:val="double" w:color="auto" w:sz="4" w:space="0"/>
            </w:tcBorders>
          </w:tcPr>
          <w:p w14:paraId="17E65634">
            <w:pPr>
              <w:spacing w:line="360" w:lineRule="auto"/>
              <w:rPr>
                <w:rFonts w:ascii="仿宋" w:hAnsi="仿宋" w:eastAsia="仿宋" w:cs="仿宋"/>
                <w:szCs w:val="21"/>
              </w:rPr>
            </w:pPr>
          </w:p>
        </w:tc>
      </w:tr>
      <w:tr w14:paraId="752AA19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75" w:type="dxa"/>
            <w:tcBorders>
              <w:top w:val="single" w:color="auto" w:sz="4" w:space="0"/>
              <w:left w:val="double" w:color="auto" w:sz="4" w:space="0"/>
              <w:bottom w:val="double" w:color="auto" w:sz="4" w:space="0"/>
              <w:right w:val="single" w:color="auto" w:sz="4" w:space="0"/>
            </w:tcBorders>
          </w:tcPr>
          <w:p w14:paraId="46874F43">
            <w:pPr>
              <w:spacing w:line="360" w:lineRule="auto"/>
              <w:rPr>
                <w:rFonts w:ascii="仿宋" w:hAnsi="仿宋" w:eastAsia="仿宋" w:cs="仿宋"/>
                <w:szCs w:val="21"/>
              </w:rPr>
            </w:pPr>
          </w:p>
        </w:tc>
        <w:tc>
          <w:tcPr>
            <w:tcW w:w="1864" w:type="dxa"/>
            <w:tcBorders>
              <w:top w:val="single" w:color="auto" w:sz="4" w:space="0"/>
              <w:left w:val="single" w:color="auto" w:sz="4" w:space="0"/>
              <w:bottom w:val="double" w:color="auto" w:sz="4" w:space="0"/>
              <w:right w:val="single" w:color="auto" w:sz="4" w:space="0"/>
            </w:tcBorders>
          </w:tcPr>
          <w:p w14:paraId="230F7DD2">
            <w:pPr>
              <w:spacing w:line="360" w:lineRule="auto"/>
              <w:rPr>
                <w:rFonts w:ascii="仿宋" w:hAnsi="仿宋" w:eastAsia="仿宋" w:cs="仿宋"/>
                <w:szCs w:val="21"/>
              </w:rPr>
            </w:pPr>
          </w:p>
        </w:tc>
        <w:tc>
          <w:tcPr>
            <w:tcW w:w="3239" w:type="dxa"/>
            <w:tcBorders>
              <w:top w:val="single" w:color="auto" w:sz="4" w:space="0"/>
              <w:left w:val="single" w:color="auto" w:sz="4" w:space="0"/>
              <w:bottom w:val="double" w:color="auto" w:sz="4" w:space="0"/>
              <w:right w:val="single" w:color="auto" w:sz="4" w:space="0"/>
            </w:tcBorders>
          </w:tcPr>
          <w:p w14:paraId="7F538CB2">
            <w:pPr>
              <w:spacing w:line="360" w:lineRule="auto"/>
              <w:rPr>
                <w:rFonts w:ascii="仿宋" w:hAnsi="仿宋" w:eastAsia="仿宋" w:cs="仿宋"/>
                <w:szCs w:val="21"/>
              </w:rPr>
            </w:pPr>
          </w:p>
        </w:tc>
        <w:tc>
          <w:tcPr>
            <w:tcW w:w="2640" w:type="dxa"/>
            <w:tcBorders>
              <w:top w:val="single" w:color="auto" w:sz="4" w:space="0"/>
              <w:left w:val="single" w:color="auto" w:sz="4" w:space="0"/>
              <w:bottom w:val="double" w:color="auto" w:sz="4" w:space="0"/>
              <w:right w:val="single" w:color="auto" w:sz="4" w:space="0"/>
            </w:tcBorders>
          </w:tcPr>
          <w:p w14:paraId="028492FD">
            <w:pPr>
              <w:spacing w:line="360" w:lineRule="auto"/>
              <w:rPr>
                <w:rFonts w:ascii="仿宋" w:hAnsi="仿宋" w:eastAsia="仿宋" w:cs="仿宋"/>
                <w:szCs w:val="21"/>
              </w:rPr>
            </w:pPr>
          </w:p>
        </w:tc>
        <w:tc>
          <w:tcPr>
            <w:tcW w:w="1434" w:type="dxa"/>
            <w:tcBorders>
              <w:top w:val="single" w:color="auto" w:sz="4" w:space="0"/>
              <w:left w:val="single" w:color="auto" w:sz="4" w:space="0"/>
              <w:bottom w:val="double" w:color="auto" w:sz="4" w:space="0"/>
              <w:right w:val="double" w:color="auto" w:sz="4" w:space="0"/>
            </w:tcBorders>
          </w:tcPr>
          <w:p w14:paraId="54FC5F25">
            <w:pPr>
              <w:spacing w:line="360" w:lineRule="auto"/>
              <w:rPr>
                <w:rFonts w:ascii="仿宋" w:hAnsi="仿宋" w:eastAsia="仿宋" w:cs="仿宋"/>
                <w:szCs w:val="21"/>
              </w:rPr>
            </w:pPr>
          </w:p>
        </w:tc>
      </w:tr>
    </w:tbl>
    <w:p w14:paraId="2E69F237">
      <w:pPr>
        <w:spacing w:line="360" w:lineRule="auto"/>
        <w:jc w:val="left"/>
        <w:rPr>
          <w:rFonts w:ascii="仿宋" w:hAnsi="仿宋" w:eastAsia="仿宋" w:cs="仿宋"/>
          <w:b/>
          <w:bCs/>
          <w:color w:val="FF0000"/>
          <w:sz w:val="24"/>
        </w:rPr>
      </w:pPr>
      <w:r>
        <w:rPr>
          <w:rFonts w:hint="eastAsia" w:ascii="仿宋" w:hAnsi="仿宋" w:eastAsia="仿宋" w:cs="仿宋"/>
          <w:sz w:val="24"/>
          <w:szCs w:val="24"/>
        </w:rPr>
        <w:t>注：对于未列出的偏离内容视同投标人已完全接受招标文件的要求。</w:t>
      </w:r>
      <w:r>
        <w:rPr>
          <w:rFonts w:hint="eastAsia" w:ascii="仿宋" w:hAnsi="仿宋" w:eastAsia="仿宋" w:cs="仿宋"/>
          <w:b/>
          <w:bCs/>
          <w:sz w:val="24"/>
        </w:rPr>
        <w:t>如全部满足，在偏离表中应答“全部满足”即可</w:t>
      </w:r>
      <w:r>
        <w:rPr>
          <w:rFonts w:hint="eastAsia" w:ascii="仿宋" w:hAnsi="仿宋" w:eastAsia="仿宋" w:cs="仿宋"/>
          <w:sz w:val="24"/>
        </w:rPr>
        <w:t>。</w:t>
      </w:r>
      <w:r>
        <w:rPr>
          <w:rFonts w:hint="eastAsia" w:ascii="仿宋" w:hAnsi="仿宋" w:eastAsia="仿宋" w:cs="仿宋"/>
          <w:b/>
          <w:bCs/>
          <w:color w:val="FF0000"/>
          <w:sz w:val="24"/>
        </w:rPr>
        <w:t>如技术规范书条款（</w:t>
      </w:r>
      <w:r>
        <w:rPr>
          <w:rFonts w:hint="eastAsia" w:ascii="仿宋" w:hAnsi="仿宋" w:eastAsia="仿宋" w:cs="仿宋"/>
          <w:b/>
          <w:bCs/>
          <w:color w:val="FF0000"/>
          <w:sz w:val="24"/>
          <w:szCs w:val="24"/>
        </w:rPr>
        <w:t>★</w:t>
      </w:r>
      <w:r>
        <w:rPr>
          <w:rFonts w:hint="eastAsia" w:ascii="仿宋" w:hAnsi="仿宋" w:eastAsia="仿宋" w:cs="仿宋"/>
          <w:b/>
          <w:bCs/>
          <w:color w:val="FF0000"/>
          <w:sz w:val="24"/>
        </w:rPr>
        <w:t>）要求提供其他证明材料，投标人须按要求提供相关证明材料，否则将视为负偏离。</w:t>
      </w:r>
    </w:p>
    <w:p w14:paraId="1D9C8767">
      <w:pPr>
        <w:spacing w:line="360" w:lineRule="auto"/>
        <w:jc w:val="left"/>
        <w:rPr>
          <w:rFonts w:ascii="仿宋" w:hAnsi="仿宋" w:eastAsia="仿宋" w:cs="仿宋"/>
          <w:sz w:val="24"/>
          <w:szCs w:val="24"/>
        </w:rPr>
      </w:pPr>
    </w:p>
    <w:p w14:paraId="75685132">
      <w:pPr>
        <w:spacing w:line="360" w:lineRule="auto"/>
        <w:ind w:firstLine="4080" w:firstLineChars="1700"/>
        <w:jc w:val="right"/>
        <w:rPr>
          <w:rFonts w:ascii="仿宋" w:hAnsi="仿宋" w:eastAsia="仿宋" w:cs="仿宋"/>
          <w:sz w:val="24"/>
          <w:szCs w:val="24"/>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59318A5F">
      <w:pPr>
        <w:spacing w:line="360" w:lineRule="auto"/>
        <w:jc w:val="right"/>
        <w:rPr>
          <w:rFonts w:ascii="仿宋" w:hAnsi="仿宋" w:eastAsia="仿宋" w:cs="仿宋"/>
          <w:b/>
          <w:bCs/>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1837F36E">
      <w:pPr>
        <w:spacing w:line="360" w:lineRule="auto"/>
        <w:rPr>
          <w:rFonts w:ascii="仿宋" w:hAnsi="仿宋" w:eastAsia="仿宋" w:cs="仿宋"/>
          <w:sz w:val="24"/>
          <w:szCs w:val="24"/>
        </w:rPr>
      </w:pPr>
    </w:p>
    <w:p w14:paraId="148F4B6E">
      <w:pPr>
        <w:spacing w:line="360" w:lineRule="auto"/>
        <w:rPr>
          <w:rFonts w:ascii="仿宋" w:hAnsi="仿宋" w:eastAsia="仿宋" w:cs="仿宋"/>
          <w:szCs w:val="24"/>
        </w:rPr>
      </w:pPr>
      <w:bookmarkStart w:id="1028" w:name="_Toc58177623"/>
      <w:bookmarkStart w:id="1029" w:name="_Toc4895"/>
      <w:bookmarkStart w:id="1030" w:name="_Toc65683015"/>
      <w:bookmarkStart w:id="1031" w:name="_Toc109124329"/>
      <w:r>
        <w:rPr>
          <w:rFonts w:hint="eastAsia" w:ascii="仿宋" w:hAnsi="仿宋" w:eastAsia="仿宋" w:cs="仿宋"/>
          <w:szCs w:val="24"/>
        </w:rPr>
        <w:br w:type="page"/>
      </w:r>
    </w:p>
    <w:p w14:paraId="53453564">
      <w:pPr>
        <w:pStyle w:val="5"/>
        <w:spacing w:line="360" w:lineRule="auto"/>
        <w:rPr>
          <w:rFonts w:hint="default" w:ascii="仿宋" w:hAnsi="仿宋" w:cs="仿宋"/>
          <w:szCs w:val="24"/>
        </w:rPr>
      </w:pPr>
      <w:bookmarkStart w:id="1032" w:name="_Toc3024"/>
      <w:bookmarkStart w:id="1033" w:name="_Toc20554"/>
      <w:bookmarkStart w:id="1034" w:name="_Toc8837"/>
      <w:bookmarkStart w:id="1035" w:name="_Toc31673"/>
      <w:bookmarkStart w:id="1036" w:name="_Toc8981"/>
      <w:r>
        <w:rPr>
          <w:rFonts w:ascii="仿宋" w:hAnsi="仿宋" w:cs="仿宋"/>
          <w:szCs w:val="24"/>
        </w:rPr>
        <w:t>（二）技术方案</w:t>
      </w:r>
      <w:bookmarkEnd w:id="1028"/>
      <w:bookmarkEnd w:id="1029"/>
      <w:bookmarkEnd w:id="1030"/>
      <w:bookmarkEnd w:id="1031"/>
      <w:bookmarkEnd w:id="1032"/>
      <w:bookmarkEnd w:id="1033"/>
      <w:bookmarkEnd w:id="1034"/>
      <w:bookmarkEnd w:id="1035"/>
      <w:bookmarkEnd w:id="1036"/>
    </w:p>
    <w:p w14:paraId="623DE576">
      <w:pPr>
        <w:spacing w:line="360" w:lineRule="auto"/>
        <w:rPr>
          <w:rFonts w:ascii="仿宋" w:hAnsi="仿宋" w:eastAsia="仿宋" w:cs="仿宋"/>
          <w:b/>
          <w:bCs/>
          <w:color w:val="FF0000"/>
          <w:sz w:val="24"/>
          <w:szCs w:val="24"/>
        </w:rPr>
      </w:pPr>
      <w:r>
        <w:rPr>
          <w:rFonts w:hint="eastAsia" w:ascii="仿宋" w:hAnsi="仿宋" w:eastAsia="仿宋" w:cs="仿宋"/>
          <w:b/>
          <w:bCs/>
          <w:color w:val="FF0000"/>
          <w:sz w:val="24"/>
        </w:rPr>
        <w:t>投标人需按照要求提供详细评审中技术部分涉及的文件及证明材料、以及投标人认为需提供的其他材料，格式自拟</w:t>
      </w:r>
      <w:r>
        <w:rPr>
          <w:rFonts w:hint="eastAsia" w:ascii="仿宋" w:hAnsi="仿宋" w:eastAsia="仿宋" w:cs="仿宋"/>
          <w:b/>
          <w:bCs/>
          <w:color w:val="FF0000"/>
          <w:sz w:val="24"/>
          <w:szCs w:val="24"/>
        </w:rPr>
        <w:t>。</w:t>
      </w:r>
    </w:p>
    <w:p w14:paraId="2CD3D4A0">
      <w:pPr>
        <w:pStyle w:val="6"/>
        <w:spacing w:line="360" w:lineRule="auto"/>
        <w:rPr>
          <w:rFonts w:ascii="仿宋" w:hAnsi="仿宋" w:cs="仿宋"/>
          <w:szCs w:val="24"/>
        </w:rPr>
      </w:pPr>
      <w:bookmarkStart w:id="1037" w:name="_Toc9030"/>
      <w:bookmarkStart w:id="1038" w:name="_Toc10968"/>
      <w:bookmarkStart w:id="1039" w:name="_Toc26709"/>
      <w:bookmarkStart w:id="1040" w:name="_Toc947"/>
      <w:bookmarkStart w:id="1041" w:name="_Toc23192"/>
      <w:bookmarkStart w:id="1042" w:name="_Toc32743"/>
      <w:bookmarkStart w:id="1043" w:name="_Toc8269"/>
      <w:r>
        <w:rPr>
          <w:rFonts w:hint="eastAsia" w:ascii="仿宋" w:hAnsi="仿宋" w:cs="仿宋"/>
          <w:szCs w:val="24"/>
        </w:rPr>
        <w:t>1.团队人员配备</w:t>
      </w:r>
      <w:bookmarkEnd w:id="1037"/>
      <w:bookmarkEnd w:id="1038"/>
      <w:bookmarkEnd w:id="1039"/>
      <w:bookmarkEnd w:id="1040"/>
      <w:bookmarkEnd w:id="1041"/>
    </w:p>
    <w:p w14:paraId="28D84D1B">
      <w:pPr>
        <w:jc w:val="center"/>
        <w:rPr>
          <w:rFonts w:ascii="仿宋" w:hAnsi="仿宋" w:eastAsia="仿宋" w:cs="仿宋"/>
          <w:b/>
          <w:bCs/>
          <w:sz w:val="24"/>
          <w:szCs w:val="24"/>
        </w:rPr>
      </w:pPr>
      <w:r>
        <w:rPr>
          <w:rFonts w:hint="eastAsia" w:ascii="仿宋" w:hAnsi="仿宋" w:eastAsia="仿宋" w:cs="仿宋"/>
          <w:b/>
          <w:bCs/>
          <w:sz w:val="24"/>
          <w:szCs w:val="24"/>
        </w:rPr>
        <w:t>拟派团队成员汇总表</w:t>
      </w:r>
    </w:p>
    <w:tbl>
      <w:tblPr>
        <w:tblStyle w:val="33"/>
        <w:tblW w:w="3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03"/>
        <w:gridCol w:w="1217"/>
        <w:gridCol w:w="821"/>
        <w:gridCol w:w="1185"/>
        <w:gridCol w:w="1190"/>
      </w:tblGrid>
      <w:tr w14:paraId="263D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tblHeader/>
          <w:jc w:val="center"/>
        </w:trPr>
        <w:tc>
          <w:tcPr>
            <w:tcW w:w="807" w:type="pct"/>
            <w:vAlign w:val="center"/>
          </w:tcPr>
          <w:p w14:paraId="7DADD472">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序号</w:t>
            </w:r>
          </w:p>
        </w:tc>
        <w:tc>
          <w:tcPr>
            <w:tcW w:w="1308" w:type="pct"/>
            <w:vAlign w:val="center"/>
          </w:tcPr>
          <w:p w14:paraId="7536E01B">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本项目职务</w:t>
            </w:r>
          </w:p>
        </w:tc>
        <w:tc>
          <w:tcPr>
            <w:tcW w:w="795" w:type="pct"/>
            <w:vAlign w:val="center"/>
          </w:tcPr>
          <w:p w14:paraId="4445FA21">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姓名</w:t>
            </w:r>
          </w:p>
        </w:tc>
        <w:tc>
          <w:tcPr>
            <w:tcW w:w="536" w:type="pct"/>
            <w:vAlign w:val="center"/>
          </w:tcPr>
          <w:p w14:paraId="47380159">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学历</w:t>
            </w:r>
          </w:p>
        </w:tc>
        <w:tc>
          <w:tcPr>
            <w:tcW w:w="774" w:type="pct"/>
            <w:vAlign w:val="center"/>
          </w:tcPr>
          <w:p w14:paraId="603533C3">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资格证书</w:t>
            </w:r>
          </w:p>
        </w:tc>
        <w:tc>
          <w:tcPr>
            <w:tcW w:w="777" w:type="pct"/>
            <w:vAlign w:val="center"/>
          </w:tcPr>
          <w:p w14:paraId="3C452320">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职称证书</w:t>
            </w:r>
          </w:p>
        </w:tc>
      </w:tr>
      <w:tr w14:paraId="19ED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07" w:type="pct"/>
            <w:vAlign w:val="center"/>
          </w:tcPr>
          <w:p w14:paraId="1F2A1273">
            <w:pPr>
              <w:snapToGrid w:val="0"/>
              <w:spacing w:line="360" w:lineRule="auto"/>
              <w:jc w:val="center"/>
              <w:rPr>
                <w:rFonts w:ascii="仿宋" w:hAnsi="仿宋" w:eastAsia="仿宋" w:cs="仿宋"/>
                <w:szCs w:val="21"/>
              </w:rPr>
            </w:pPr>
            <w:r>
              <w:rPr>
                <w:rFonts w:hint="eastAsia" w:ascii="仿宋" w:hAnsi="仿宋" w:eastAsia="仿宋" w:cs="仿宋"/>
                <w:szCs w:val="21"/>
              </w:rPr>
              <w:t>1</w:t>
            </w:r>
          </w:p>
        </w:tc>
        <w:tc>
          <w:tcPr>
            <w:tcW w:w="1308" w:type="pct"/>
            <w:vAlign w:val="center"/>
          </w:tcPr>
          <w:p w14:paraId="679690EC">
            <w:pPr>
              <w:snapToGrid w:val="0"/>
              <w:spacing w:line="360" w:lineRule="auto"/>
              <w:jc w:val="center"/>
              <w:rPr>
                <w:rFonts w:ascii="仿宋" w:hAnsi="仿宋" w:eastAsia="仿宋" w:cs="仿宋"/>
                <w:szCs w:val="21"/>
              </w:rPr>
            </w:pPr>
            <w:r>
              <w:rPr>
                <w:rFonts w:hint="eastAsia" w:ascii="仿宋" w:hAnsi="仿宋" w:eastAsia="仿宋" w:cs="仿宋"/>
                <w:sz w:val="24"/>
                <w:szCs w:val="24"/>
              </w:rPr>
              <w:t>客服经理</w:t>
            </w:r>
          </w:p>
        </w:tc>
        <w:tc>
          <w:tcPr>
            <w:tcW w:w="795" w:type="pct"/>
            <w:vAlign w:val="center"/>
          </w:tcPr>
          <w:p w14:paraId="221FA6D3">
            <w:pPr>
              <w:snapToGrid w:val="0"/>
              <w:spacing w:line="360" w:lineRule="auto"/>
              <w:jc w:val="center"/>
              <w:rPr>
                <w:rFonts w:ascii="仿宋" w:hAnsi="仿宋" w:eastAsia="仿宋" w:cs="仿宋"/>
                <w:szCs w:val="21"/>
              </w:rPr>
            </w:pPr>
          </w:p>
        </w:tc>
        <w:tc>
          <w:tcPr>
            <w:tcW w:w="536" w:type="pct"/>
          </w:tcPr>
          <w:p w14:paraId="5A16F22D">
            <w:pPr>
              <w:snapToGrid w:val="0"/>
              <w:spacing w:line="360" w:lineRule="auto"/>
              <w:jc w:val="center"/>
              <w:rPr>
                <w:rFonts w:ascii="仿宋" w:hAnsi="仿宋" w:eastAsia="仿宋" w:cs="仿宋"/>
                <w:szCs w:val="21"/>
              </w:rPr>
            </w:pPr>
          </w:p>
        </w:tc>
        <w:tc>
          <w:tcPr>
            <w:tcW w:w="774" w:type="pct"/>
            <w:vAlign w:val="center"/>
          </w:tcPr>
          <w:p w14:paraId="42DE16D4">
            <w:pPr>
              <w:snapToGrid w:val="0"/>
              <w:spacing w:line="360" w:lineRule="auto"/>
              <w:jc w:val="center"/>
              <w:rPr>
                <w:rFonts w:ascii="仿宋" w:hAnsi="仿宋" w:eastAsia="仿宋" w:cs="仿宋"/>
                <w:szCs w:val="21"/>
              </w:rPr>
            </w:pPr>
          </w:p>
        </w:tc>
        <w:tc>
          <w:tcPr>
            <w:tcW w:w="777" w:type="pct"/>
            <w:vAlign w:val="center"/>
          </w:tcPr>
          <w:p w14:paraId="76329088">
            <w:pPr>
              <w:snapToGrid w:val="0"/>
              <w:spacing w:line="360" w:lineRule="auto"/>
              <w:jc w:val="center"/>
              <w:rPr>
                <w:rFonts w:ascii="仿宋" w:hAnsi="仿宋" w:eastAsia="仿宋" w:cs="仿宋"/>
                <w:szCs w:val="21"/>
              </w:rPr>
            </w:pPr>
          </w:p>
        </w:tc>
      </w:tr>
      <w:tr w14:paraId="100E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07" w:type="pct"/>
            <w:vAlign w:val="center"/>
          </w:tcPr>
          <w:p w14:paraId="4BAD5FB0">
            <w:pPr>
              <w:snapToGrid w:val="0"/>
              <w:spacing w:line="360" w:lineRule="auto"/>
              <w:jc w:val="center"/>
              <w:rPr>
                <w:rFonts w:ascii="仿宋" w:hAnsi="仿宋" w:eastAsia="仿宋" w:cs="仿宋"/>
                <w:szCs w:val="21"/>
              </w:rPr>
            </w:pPr>
            <w:r>
              <w:rPr>
                <w:rFonts w:hint="eastAsia" w:ascii="仿宋" w:hAnsi="仿宋" w:eastAsia="仿宋" w:cs="仿宋"/>
                <w:szCs w:val="21"/>
              </w:rPr>
              <w:t>2</w:t>
            </w:r>
          </w:p>
        </w:tc>
        <w:tc>
          <w:tcPr>
            <w:tcW w:w="1308" w:type="pct"/>
            <w:vAlign w:val="center"/>
          </w:tcPr>
          <w:p w14:paraId="5459E0E9">
            <w:pPr>
              <w:snapToGrid w:val="0"/>
              <w:spacing w:line="360" w:lineRule="auto"/>
              <w:jc w:val="center"/>
              <w:rPr>
                <w:rFonts w:ascii="仿宋" w:hAnsi="仿宋" w:eastAsia="仿宋" w:cs="仿宋"/>
                <w:szCs w:val="21"/>
              </w:rPr>
            </w:pPr>
          </w:p>
        </w:tc>
        <w:tc>
          <w:tcPr>
            <w:tcW w:w="795" w:type="pct"/>
            <w:vAlign w:val="center"/>
          </w:tcPr>
          <w:p w14:paraId="38124646">
            <w:pPr>
              <w:snapToGrid w:val="0"/>
              <w:spacing w:line="360" w:lineRule="auto"/>
              <w:jc w:val="center"/>
              <w:rPr>
                <w:rFonts w:ascii="仿宋" w:hAnsi="仿宋" w:eastAsia="仿宋" w:cs="仿宋"/>
                <w:szCs w:val="21"/>
              </w:rPr>
            </w:pPr>
          </w:p>
        </w:tc>
        <w:tc>
          <w:tcPr>
            <w:tcW w:w="536" w:type="pct"/>
          </w:tcPr>
          <w:p w14:paraId="4975C11C">
            <w:pPr>
              <w:snapToGrid w:val="0"/>
              <w:spacing w:line="360" w:lineRule="auto"/>
              <w:jc w:val="center"/>
              <w:rPr>
                <w:rFonts w:ascii="仿宋" w:hAnsi="仿宋" w:eastAsia="仿宋" w:cs="仿宋"/>
                <w:szCs w:val="21"/>
              </w:rPr>
            </w:pPr>
          </w:p>
        </w:tc>
        <w:tc>
          <w:tcPr>
            <w:tcW w:w="774" w:type="pct"/>
            <w:vAlign w:val="center"/>
          </w:tcPr>
          <w:p w14:paraId="710796F6">
            <w:pPr>
              <w:snapToGrid w:val="0"/>
              <w:spacing w:line="360" w:lineRule="auto"/>
              <w:jc w:val="center"/>
              <w:rPr>
                <w:rFonts w:ascii="仿宋" w:hAnsi="仿宋" w:eastAsia="仿宋" w:cs="仿宋"/>
                <w:szCs w:val="21"/>
              </w:rPr>
            </w:pPr>
          </w:p>
        </w:tc>
        <w:tc>
          <w:tcPr>
            <w:tcW w:w="777" w:type="pct"/>
            <w:vAlign w:val="center"/>
          </w:tcPr>
          <w:p w14:paraId="52839B38">
            <w:pPr>
              <w:snapToGrid w:val="0"/>
              <w:spacing w:line="360" w:lineRule="auto"/>
              <w:jc w:val="center"/>
              <w:rPr>
                <w:rFonts w:ascii="仿宋" w:hAnsi="仿宋" w:eastAsia="仿宋" w:cs="仿宋"/>
                <w:szCs w:val="21"/>
              </w:rPr>
            </w:pPr>
          </w:p>
        </w:tc>
      </w:tr>
      <w:tr w14:paraId="1162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07" w:type="pct"/>
            <w:vAlign w:val="center"/>
          </w:tcPr>
          <w:p w14:paraId="659C3887">
            <w:pPr>
              <w:snapToGrid w:val="0"/>
              <w:spacing w:line="360" w:lineRule="auto"/>
              <w:jc w:val="center"/>
              <w:rPr>
                <w:rFonts w:ascii="仿宋" w:hAnsi="仿宋" w:eastAsia="仿宋" w:cs="仿宋"/>
                <w:szCs w:val="21"/>
              </w:rPr>
            </w:pPr>
            <w:r>
              <w:rPr>
                <w:rFonts w:hint="eastAsia" w:ascii="仿宋" w:hAnsi="仿宋" w:eastAsia="仿宋" w:cs="仿宋"/>
                <w:szCs w:val="21"/>
              </w:rPr>
              <w:t>...</w:t>
            </w:r>
          </w:p>
        </w:tc>
        <w:tc>
          <w:tcPr>
            <w:tcW w:w="1308" w:type="pct"/>
            <w:vAlign w:val="center"/>
          </w:tcPr>
          <w:p w14:paraId="0B8BA4B3">
            <w:pPr>
              <w:snapToGrid w:val="0"/>
              <w:spacing w:line="360" w:lineRule="auto"/>
              <w:jc w:val="center"/>
              <w:rPr>
                <w:rFonts w:ascii="仿宋" w:hAnsi="仿宋" w:eastAsia="仿宋" w:cs="仿宋"/>
                <w:szCs w:val="21"/>
              </w:rPr>
            </w:pPr>
            <w:r>
              <w:rPr>
                <w:rFonts w:hint="eastAsia" w:ascii="仿宋" w:hAnsi="仿宋" w:eastAsia="仿宋" w:cs="仿宋"/>
                <w:szCs w:val="21"/>
              </w:rPr>
              <w:t>...</w:t>
            </w:r>
          </w:p>
        </w:tc>
        <w:tc>
          <w:tcPr>
            <w:tcW w:w="795" w:type="pct"/>
            <w:vAlign w:val="center"/>
          </w:tcPr>
          <w:p w14:paraId="6169405E">
            <w:pPr>
              <w:snapToGrid w:val="0"/>
              <w:spacing w:line="360" w:lineRule="auto"/>
              <w:jc w:val="center"/>
              <w:rPr>
                <w:rFonts w:ascii="仿宋" w:hAnsi="仿宋" w:eastAsia="仿宋" w:cs="仿宋"/>
                <w:szCs w:val="21"/>
              </w:rPr>
            </w:pPr>
          </w:p>
        </w:tc>
        <w:tc>
          <w:tcPr>
            <w:tcW w:w="536" w:type="pct"/>
          </w:tcPr>
          <w:p w14:paraId="030B6094">
            <w:pPr>
              <w:snapToGrid w:val="0"/>
              <w:spacing w:line="360" w:lineRule="auto"/>
              <w:jc w:val="center"/>
              <w:rPr>
                <w:rFonts w:ascii="仿宋" w:hAnsi="仿宋" w:eastAsia="仿宋" w:cs="仿宋"/>
                <w:szCs w:val="21"/>
              </w:rPr>
            </w:pPr>
          </w:p>
        </w:tc>
        <w:tc>
          <w:tcPr>
            <w:tcW w:w="774" w:type="pct"/>
            <w:vAlign w:val="center"/>
          </w:tcPr>
          <w:p w14:paraId="5353E311">
            <w:pPr>
              <w:snapToGrid w:val="0"/>
              <w:spacing w:line="360" w:lineRule="auto"/>
              <w:jc w:val="center"/>
              <w:rPr>
                <w:rFonts w:ascii="仿宋" w:hAnsi="仿宋" w:eastAsia="仿宋" w:cs="仿宋"/>
                <w:szCs w:val="21"/>
              </w:rPr>
            </w:pPr>
          </w:p>
        </w:tc>
        <w:tc>
          <w:tcPr>
            <w:tcW w:w="777" w:type="pct"/>
            <w:vAlign w:val="center"/>
          </w:tcPr>
          <w:p w14:paraId="371882DB">
            <w:pPr>
              <w:snapToGrid w:val="0"/>
              <w:spacing w:line="360" w:lineRule="auto"/>
              <w:jc w:val="center"/>
              <w:rPr>
                <w:rFonts w:ascii="仿宋" w:hAnsi="仿宋" w:eastAsia="仿宋" w:cs="仿宋"/>
                <w:szCs w:val="21"/>
              </w:rPr>
            </w:pPr>
          </w:p>
        </w:tc>
      </w:tr>
    </w:tbl>
    <w:p w14:paraId="67716635">
      <w:pPr>
        <w:spacing w:line="360" w:lineRule="auto"/>
        <w:rPr>
          <w:rFonts w:ascii="仿宋" w:hAnsi="仿宋" w:eastAsia="仿宋" w:cs="仿宋"/>
          <w:b/>
          <w:sz w:val="24"/>
          <w:szCs w:val="24"/>
          <w:lang w:bidi="ar"/>
        </w:rPr>
      </w:pPr>
      <w:r>
        <w:rPr>
          <w:rFonts w:hint="eastAsia" w:ascii="仿宋" w:hAnsi="仿宋" w:eastAsia="仿宋" w:cs="仿宋"/>
          <w:b/>
          <w:sz w:val="24"/>
          <w:szCs w:val="24"/>
          <w:lang w:bidi="ar"/>
        </w:rPr>
        <w:t>备注：需按照招标文件第三章或第五章中的相关要求，列明本项目服务团队所有人员信息及职责分工，并</w:t>
      </w:r>
      <w:r>
        <w:rPr>
          <w:rFonts w:hint="eastAsia" w:ascii="仿宋" w:hAnsi="仿宋" w:eastAsia="仿宋" w:cs="仿宋"/>
          <w:b/>
          <w:color w:val="FF0000"/>
          <w:sz w:val="24"/>
          <w:szCs w:val="24"/>
          <w:lang w:bidi="ar"/>
        </w:rPr>
        <w:t>按照评审要求提供相应的证明材料</w:t>
      </w:r>
      <w:r>
        <w:rPr>
          <w:rFonts w:hint="eastAsia" w:ascii="仿宋" w:hAnsi="仿宋" w:eastAsia="仿宋" w:cs="仿宋"/>
          <w:b/>
          <w:sz w:val="24"/>
          <w:szCs w:val="24"/>
          <w:lang w:bidi="ar"/>
        </w:rPr>
        <w:t>。</w:t>
      </w:r>
    </w:p>
    <w:p w14:paraId="22758CB0"/>
    <w:p w14:paraId="0E29F62D"/>
    <w:p w14:paraId="606EFF0F">
      <w:pPr>
        <w:pStyle w:val="2"/>
      </w:pPr>
    </w:p>
    <w:p w14:paraId="4C6493E0">
      <w:pPr>
        <w:pStyle w:val="6"/>
        <w:spacing w:line="360" w:lineRule="auto"/>
        <w:rPr>
          <w:rFonts w:ascii="仿宋" w:hAnsi="仿宋" w:cs="仿宋"/>
          <w:szCs w:val="24"/>
        </w:rPr>
      </w:pPr>
      <w:r>
        <w:rPr>
          <w:rFonts w:hint="eastAsia" w:ascii="仿宋" w:hAnsi="仿宋" w:cs="仿宋"/>
          <w:szCs w:val="24"/>
        </w:rPr>
        <w:t>2.配送车辆</w:t>
      </w:r>
    </w:p>
    <w:p w14:paraId="106556E1">
      <w:pPr>
        <w:spacing w:line="360" w:lineRule="auto"/>
        <w:rPr>
          <w:rFonts w:ascii="仿宋" w:hAnsi="仿宋" w:eastAsia="仿宋" w:cs="仿宋"/>
          <w:b/>
          <w:sz w:val="24"/>
          <w:szCs w:val="24"/>
          <w:lang w:bidi="ar"/>
        </w:rPr>
      </w:pPr>
      <w:r>
        <w:rPr>
          <w:rFonts w:hint="eastAsia" w:ascii="仿宋" w:hAnsi="仿宋" w:eastAsia="仿宋" w:cs="仿宋"/>
          <w:b/>
          <w:sz w:val="24"/>
          <w:szCs w:val="24"/>
          <w:lang w:bidi="ar"/>
        </w:rPr>
        <w:t>备注：需按照招标文件第三章或第五章中的相关要求，并</w:t>
      </w:r>
      <w:r>
        <w:rPr>
          <w:rFonts w:hint="eastAsia" w:ascii="仿宋" w:hAnsi="仿宋" w:eastAsia="仿宋" w:cs="仿宋"/>
          <w:b/>
          <w:color w:val="FF0000"/>
          <w:sz w:val="24"/>
          <w:szCs w:val="24"/>
          <w:lang w:bidi="ar"/>
        </w:rPr>
        <w:t>按照评审要求提供相应的证明材料</w:t>
      </w:r>
      <w:r>
        <w:rPr>
          <w:rFonts w:hint="eastAsia" w:ascii="仿宋" w:hAnsi="仿宋" w:eastAsia="仿宋" w:cs="仿宋"/>
          <w:b/>
          <w:sz w:val="24"/>
          <w:szCs w:val="24"/>
          <w:lang w:bidi="ar"/>
        </w:rPr>
        <w:t>。</w:t>
      </w:r>
    </w:p>
    <w:p w14:paraId="7F95F1DE">
      <w:pPr>
        <w:pStyle w:val="2"/>
        <w:rPr>
          <w:rFonts w:ascii="仿宋" w:hAnsi="仿宋" w:eastAsia="仿宋" w:cs="仿宋"/>
          <w:b/>
          <w:sz w:val="24"/>
          <w:szCs w:val="24"/>
          <w:lang w:bidi="ar"/>
        </w:rPr>
      </w:pPr>
    </w:p>
    <w:p w14:paraId="623C0806">
      <w:pPr>
        <w:rPr>
          <w:rFonts w:ascii="仿宋" w:hAnsi="仿宋" w:eastAsia="仿宋" w:cs="仿宋"/>
          <w:b/>
          <w:sz w:val="24"/>
          <w:szCs w:val="24"/>
          <w:lang w:bidi="ar"/>
        </w:rPr>
      </w:pPr>
    </w:p>
    <w:p w14:paraId="0390A196">
      <w:pPr>
        <w:pStyle w:val="2"/>
      </w:pPr>
    </w:p>
    <w:p w14:paraId="7F315DCA">
      <w:pPr>
        <w:pStyle w:val="2"/>
      </w:pPr>
    </w:p>
    <w:p w14:paraId="01F264C7">
      <w:pPr>
        <w:pStyle w:val="6"/>
        <w:spacing w:line="360" w:lineRule="auto"/>
        <w:rPr>
          <w:rFonts w:ascii="仿宋" w:hAnsi="仿宋" w:cs="仿宋"/>
          <w:szCs w:val="24"/>
        </w:rPr>
      </w:pPr>
      <w:r>
        <w:rPr>
          <w:rFonts w:hint="eastAsia" w:ascii="仿宋" w:hAnsi="仿宋" w:cs="仿宋"/>
          <w:szCs w:val="24"/>
        </w:rPr>
        <w:t>3.洗涤设备</w:t>
      </w:r>
    </w:p>
    <w:p w14:paraId="1EE667C9">
      <w:pPr>
        <w:jc w:val="center"/>
        <w:rPr>
          <w:rFonts w:ascii="仿宋" w:hAnsi="仿宋" w:eastAsia="仿宋" w:cs="仿宋"/>
          <w:b/>
          <w:bCs/>
          <w:sz w:val="24"/>
          <w:szCs w:val="24"/>
        </w:rPr>
      </w:pPr>
      <w:r>
        <w:rPr>
          <w:rFonts w:hint="eastAsia" w:ascii="仿宋" w:hAnsi="仿宋" w:eastAsia="仿宋" w:cs="仿宋"/>
          <w:b/>
          <w:bCs/>
          <w:sz w:val="24"/>
          <w:szCs w:val="24"/>
        </w:rPr>
        <w:t>洗涤设备汇总表</w:t>
      </w:r>
    </w:p>
    <w:tbl>
      <w:tblPr>
        <w:tblStyle w:val="33"/>
        <w:tblW w:w="48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830"/>
        <w:gridCol w:w="1572"/>
        <w:gridCol w:w="1280"/>
        <w:gridCol w:w="1184"/>
        <w:gridCol w:w="1674"/>
      </w:tblGrid>
      <w:tr w14:paraId="49BD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tblHeader/>
          <w:jc w:val="center"/>
        </w:trPr>
        <w:tc>
          <w:tcPr>
            <w:tcW w:w="488" w:type="pct"/>
            <w:vAlign w:val="center"/>
          </w:tcPr>
          <w:p w14:paraId="4EF9FCE8">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序号</w:t>
            </w:r>
          </w:p>
        </w:tc>
        <w:tc>
          <w:tcPr>
            <w:tcW w:w="1494" w:type="pct"/>
            <w:vAlign w:val="center"/>
          </w:tcPr>
          <w:p w14:paraId="6FABBABE">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设备名称</w:t>
            </w:r>
          </w:p>
        </w:tc>
        <w:tc>
          <w:tcPr>
            <w:tcW w:w="830" w:type="pct"/>
            <w:vAlign w:val="center"/>
          </w:tcPr>
          <w:p w14:paraId="07B8F10A">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品牌/型号</w:t>
            </w:r>
          </w:p>
        </w:tc>
        <w:tc>
          <w:tcPr>
            <w:tcW w:w="676" w:type="pct"/>
            <w:vAlign w:val="center"/>
          </w:tcPr>
          <w:p w14:paraId="60F99969">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生产厂家</w:t>
            </w:r>
          </w:p>
        </w:tc>
        <w:tc>
          <w:tcPr>
            <w:tcW w:w="625" w:type="pct"/>
            <w:vAlign w:val="center"/>
          </w:tcPr>
          <w:p w14:paraId="256F3BF3">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购买时间</w:t>
            </w:r>
          </w:p>
        </w:tc>
        <w:tc>
          <w:tcPr>
            <w:tcW w:w="884" w:type="pct"/>
            <w:vAlign w:val="center"/>
          </w:tcPr>
          <w:p w14:paraId="4D96EC47">
            <w:pPr>
              <w:snapToGrid w:val="0"/>
              <w:spacing w:line="360" w:lineRule="auto"/>
              <w:jc w:val="center"/>
              <w:rPr>
                <w:rFonts w:ascii="仿宋" w:hAnsi="仿宋" w:eastAsia="仿宋" w:cs="仿宋"/>
                <w:b/>
                <w:sz w:val="24"/>
                <w:szCs w:val="24"/>
              </w:rPr>
            </w:pPr>
            <w:r>
              <w:rPr>
                <w:rFonts w:hint="eastAsia" w:ascii="仿宋" w:hAnsi="仿宋" w:eastAsia="仿宋" w:cs="仿宋"/>
                <w:b/>
                <w:sz w:val="24"/>
                <w:szCs w:val="24"/>
              </w:rPr>
              <w:t>功能介绍</w:t>
            </w:r>
          </w:p>
        </w:tc>
      </w:tr>
      <w:tr w14:paraId="301A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88" w:type="pct"/>
            <w:vAlign w:val="center"/>
          </w:tcPr>
          <w:p w14:paraId="5D09E204">
            <w:pPr>
              <w:snapToGrid w:val="0"/>
              <w:spacing w:line="360" w:lineRule="auto"/>
              <w:jc w:val="center"/>
              <w:rPr>
                <w:rFonts w:ascii="仿宋" w:hAnsi="仿宋" w:eastAsia="仿宋" w:cs="仿宋"/>
                <w:szCs w:val="21"/>
              </w:rPr>
            </w:pPr>
            <w:r>
              <w:rPr>
                <w:rFonts w:hint="eastAsia" w:ascii="仿宋" w:hAnsi="仿宋" w:eastAsia="仿宋" w:cs="仿宋"/>
                <w:szCs w:val="21"/>
              </w:rPr>
              <w:t>1</w:t>
            </w:r>
          </w:p>
        </w:tc>
        <w:tc>
          <w:tcPr>
            <w:tcW w:w="1494" w:type="pct"/>
            <w:vAlign w:val="center"/>
          </w:tcPr>
          <w:p w14:paraId="405D0C3A">
            <w:pPr>
              <w:snapToGrid w:val="0"/>
              <w:spacing w:line="360" w:lineRule="auto"/>
              <w:jc w:val="center"/>
              <w:rPr>
                <w:rFonts w:ascii="仿宋" w:hAnsi="仿宋" w:eastAsia="仿宋" w:cs="仿宋"/>
                <w:szCs w:val="21"/>
              </w:rPr>
            </w:pPr>
          </w:p>
        </w:tc>
        <w:tc>
          <w:tcPr>
            <w:tcW w:w="830" w:type="pct"/>
            <w:vAlign w:val="center"/>
          </w:tcPr>
          <w:p w14:paraId="5EB425D7">
            <w:pPr>
              <w:snapToGrid w:val="0"/>
              <w:spacing w:line="360" w:lineRule="auto"/>
              <w:jc w:val="center"/>
              <w:rPr>
                <w:rFonts w:ascii="仿宋" w:hAnsi="仿宋" w:eastAsia="仿宋" w:cs="仿宋"/>
                <w:szCs w:val="21"/>
              </w:rPr>
            </w:pPr>
          </w:p>
        </w:tc>
        <w:tc>
          <w:tcPr>
            <w:tcW w:w="676" w:type="pct"/>
          </w:tcPr>
          <w:p w14:paraId="6F9C40BE">
            <w:pPr>
              <w:snapToGrid w:val="0"/>
              <w:spacing w:line="360" w:lineRule="auto"/>
              <w:jc w:val="center"/>
              <w:rPr>
                <w:rFonts w:ascii="仿宋" w:hAnsi="仿宋" w:eastAsia="仿宋" w:cs="仿宋"/>
                <w:szCs w:val="21"/>
              </w:rPr>
            </w:pPr>
          </w:p>
        </w:tc>
        <w:tc>
          <w:tcPr>
            <w:tcW w:w="625" w:type="pct"/>
            <w:vAlign w:val="center"/>
          </w:tcPr>
          <w:p w14:paraId="1CE614A0">
            <w:pPr>
              <w:snapToGrid w:val="0"/>
              <w:spacing w:line="360" w:lineRule="auto"/>
              <w:jc w:val="center"/>
              <w:rPr>
                <w:rFonts w:ascii="仿宋" w:hAnsi="仿宋" w:eastAsia="仿宋" w:cs="仿宋"/>
                <w:szCs w:val="21"/>
              </w:rPr>
            </w:pPr>
          </w:p>
        </w:tc>
        <w:tc>
          <w:tcPr>
            <w:tcW w:w="884" w:type="pct"/>
            <w:vAlign w:val="center"/>
          </w:tcPr>
          <w:p w14:paraId="26DCC8F9">
            <w:pPr>
              <w:snapToGrid w:val="0"/>
              <w:spacing w:line="360" w:lineRule="auto"/>
              <w:jc w:val="center"/>
              <w:rPr>
                <w:rFonts w:ascii="仿宋" w:hAnsi="仿宋" w:eastAsia="仿宋" w:cs="仿宋"/>
                <w:szCs w:val="21"/>
              </w:rPr>
            </w:pPr>
          </w:p>
        </w:tc>
      </w:tr>
      <w:tr w14:paraId="3D82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88" w:type="pct"/>
            <w:vAlign w:val="center"/>
          </w:tcPr>
          <w:p w14:paraId="5B9E7E75">
            <w:pPr>
              <w:snapToGrid w:val="0"/>
              <w:spacing w:line="360" w:lineRule="auto"/>
              <w:jc w:val="center"/>
              <w:rPr>
                <w:rFonts w:ascii="仿宋" w:hAnsi="仿宋" w:eastAsia="仿宋" w:cs="仿宋"/>
                <w:szCs w:val="21"/>
              </w:rPr>
            </w:pPr>
            <w:r>
              <w:rPr>
                <w:rFonts w:hint="eastAsia" w:ascii="仿宋" w:hAnsi="仿宋" w:eastAsia="仿宋" w:cs="仿宋"/>
                <w:szCs w:val="21"/>
              </w:rPr>
              <w:t>2</w:t>
            </w:r>
          </w:p>
        </w:tc>
        <w:tc>
          <w:tcPr>
            <w:tcW w:w="1494" w:type="pct"/>
            <w:vAlign w:val="center"/>
          </w:tcPr>
          <w:p w14:paraId="21CAC45A">
            <w:pPr>
              <w:snapToGrid w:val="0"/>
              <w:spacing w:line="360" w:lineRule="auto"/>
              <w:jc w:val="center"/>
              <w:rPr>
                <w:rFonts w:ascii="仿宋" w:hAnsi="仿宋" w:eastAsia="仿宋" w:cs="仿宋"/>
                <w:szCs w:val="21"/>
              </w:rPr>
            </w:pPr>
          </w:p>
        </w:tc>
        <w:tc>
          <w:tcPr>
            <w:tcW w:w="830" w:type="pct"/>
            <w:vAlign w:val="center"/>
          </w:tcPr>
          <w:p w14:paraId="077D1314">
            <w:pPr>
              <w:snapToGrid w:val="0"/>
              <w:spacing w:line="360" w:lineRule="auto"/>
              <w:jc w:val="center"/>
              <w:rPr>
                <w:rFonts w:ascii="仿宋" w:hAnsi="仿宋" w:eastAsia="仿宋" w:cs="仿宋"/>
                <w:szCs w:val="21"/>
              </w:rPr>
            </w:pPr>
          </w:p>
        </w:tc>
        <w:tc>
          <w:tcPr>
            <w:tcW w:w="676" w:type="pct"/>
          </w:tcPr>
          <w:p w14:paraId="0C48EDCC">
            <w:pPr>
              <w:snapToGrid w:val="0"/>
              <w:spacing w:line="360" w:lineRule="auto"/>
              <w:jc w:val="center"/>
              <w:rPr>
                <w:rFonts w:ascii="仿宋" w:hAnsi="仿宋" w:eastAsia="仿宋" w:cs="仿宋"/>
                <w:szCs w:val="21"/>
              </w:rPr>
            </w:pPr>
          </w:p>
        </w:tc>
        <w:tc>
          <w:tcPr>
            <w:tcW w:w="625" w:type="pct"/>
            <w:vAlign w:val="center"/>
          </w:tcPr>
          <w:p w14:paraId="6B47B0D8">
            <w:pPr>
              <w:snapToGrid w:val="0"/>
              <w:spacing w:line="360" w:lineRule="auto"/>
              <w:jc w:val="center"/>
              <w:rPr>
                <w:rFonts w:ascii="仿宋" w:hAnsi="仿宋" w:eastAsia="仿宋" w:cs="仿宋"/>
                <w:szCs w:val="21"/>
              </w:rPr>
            </w:pPr>
          </w:p>
        </w:tc>
        <w:tc>
          <w:tcPr>
            <w:tcW w:w="884" w:type="pct"/>
            <w:vAlign w:val="center"/>
          </w:tcPr>
          <w:p w14:paraId="3EF801C4">
            <w:pPr>
              <w:snapToGrid w:val="0"/>
              <w:spacing w:line="360" w:lineRule="auto"/>
              <w:jc w:val="center"/>
              <w:rPr>
                <w:rFonts w:ascii="仿宋" w:hAnsi="仿宋" w:eastAsia="仿宋" w:cs="仿宋"/>
                <w:szCs w:val="21"/>
              </w:rPr>
            </w:pPr>
          </w:p>
        </w:tc>
      </w:tr>
      <w:tr w14:paraId="0E7E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88" w:type="pct"/>
            <w:vAlign w:val="center"/>
          </w:tcPr>
          <w:p w14:paraId="5502C8B1">
            <w:pPr>
              <w:snapToGrid w:val="0"/>
              <w:spacing w:line="360" w:lineRule="auto"/>
              <w:jc w:val="center"/>
              <w:rPr>
                <w:rFonts w:ascii="仿宋" w:hAnsi="仿宋" w:eastAsia="仿宋" w:cs="仿宋"/>
                <w:szCs w:val="21"/>
              </w:rPr>
            </w:pPr>
            <w:r>
              <w:rPr>
                <w:rFonts w:hint="eastAsia" w:ascii="仿宋" w:hAnsi="仿宋" w:eastAsia="仿宋" w:cs="仿宋"/>
                <w:szCs w:val="21"/>
              </w:rPr>
              <w:t>...</w:t>
            </w:r>
          </w:p>
        </w:tc>
        <w:tc>
          <w:tcPr>
            <w:tcW w:w="1494" w:type="pct"/>
            <w:vAlign w:val="center"/>
          </w:tcPr>
          <w:p w14:paraId="3DC22E14">
            <w:pPr>
              <w:snapToGrid w:val="0"/>
              <w:spacing w:line="360" w:lineRule="auto"/>
              <w:jc w:val="center"/>
              <w:rPr>
                <w:rFonts w:ascii="仿宋" w:hAnsi="仿宋" w:eastAsia="仿宋" w:cs="仿宋"/>
                <w:szCs w:val="21"/>
              </w:rPr>
            </w:pPr>
            <w:r>
              <w:rPr>
                <w:rFonts w:hint="eastAsia" w:ascii="仿宋" w:hAnsi="仿宋" w:eastAsia="仿宋" w:cs="仿宋"/>
                <w:szCs w:val="21"/>
              </w:rPr>
              <w:t>...</w:t>
            </w:r>
          </w:p>
        </w:tc>
        <w:tc>
          <w:tcPr>
            <w:tcW w:w="830" w:type="pct"/>
            <w:vAlign w:val="center"/>
          </w:tcPr>
          <w:p w14:paraId="30163E4A">
            <w:pPr>
              <w:snapToGrid w:val="0"/>
              <w:spacing w:line="360" w:lineRule="auto"/>
              <w:jc w:val="center"/>
              <w:rPr>
                <w:rFonts w:ascii="仿宋" w:hAnsi="仿宋" w:eastAsia="仿宋" w:cs="仿宋"/>
                <w:szCs w:val="21"/>
              </w:rPr>
            </w:pPr>
          </w:p>
        </w:tc>
        <w:tc>
          <w:tcPr>
            <w:tcW w:w="676" w:type="pct"/>
          </w:tcPr>
          <w:p w14:paraId="32B2F3B4">
            <w:pPr>
              <w:snapToGrid w:val="0"/>
              <w:spacing w:line="360" w:lineRule="auto"/>
              <w:jc w:val="center"/>
              <w:rPr>
                <w:rFonts w:ascii="仿宋" w:hAnsi="仿宋" w:eastAsia="仿宋" w:cs="仿宋"/>
                <w:szCs w:val="21"/>
              </w:rPr>
            </w:pPr>
          </w:p>
        </w:tc>
        <w:tc>
          <w:tcPr>
            <w:tcW w:w="625" w:type="pct"/>
            <w:vAlign w:val="center"/>
          </w:tcPr>
          <w:p w14:paraId="6053BCA8">
            <w:pPr>
              <w:snapToGrid w:val="0"/>
              <w:spacing w:line="360" w:lineRule="auto"/>
              <w:jc w:val="center"/>
              <w:rPr>
                <w:rFonts w:ascii="仿宋" w:hAnsi="仿宋" w:eastAsia="仿宋" w:cs="仿宋"/>
                <w:szCs w:val="21"/>
              </w:rPr>
            </w:pPr>
          </w:p>
        </w:tc>
        <w:tc>
          <w:tcPr>
            <w:tcW w:w="884" w:type="pct"/>
            <w:vAlign w:val="center"/>
          </w:tcPr>
          <w:p w14:paraId="6B43ED2F">
            <w:pPr>
              <w:snapToGrid w:val="0"/>
              <w:spacing w:line="360" w:lineRule="auto"/>
              <w:jc w:val="center"/>
              <w:rPr>
                <w:rFonts w:ascii="仿宋" w:hAnsi="仿宋" w:eastAsia="仿宋" w:cs="仿宋"/>
                <w:szCs w:val="21"/>
              </w:rPr>
            </w:pPr>
          </w:p>
        </w:tc>
      </w:tr>
    </w:tbl>
    <w:p w14:paraId="6B7C7839">
      <w:pPr>
        <w:spacing w:line="360" w:lineRule="auto"/>
        <w:rPr>
          <w:rFonts w:ascii="仿宋" w:hAnsi="仿宋" w:eastAsia="仿宋" w:cs="仿宋"/>
          <w:b/>
          <w:sz w:val="24"/>
          <w:szCs w:val="24"/>
          <w:lang w:bidi="ar"/>
        </w:rPr>
      </w:pPr>
      <w:r>
        <w:rPr>
          <w:rFonts w:hint="eastAsia" w:ascii="仿宋" w:hAnsi="仿宋" w:eastAsia="仿宋" w:cs="仿宋"/>
          <w:b/>
          <w:sz w:val="24"/>
          <w:szCs w:val="24"/>
          <w:lang w:bidi="ar"/>
        </w:rPr>
        <w:t>备注：需按照招标文件第三章或第五章中的相关要求，并</w:t>
      </w:r>
      <w:r>
        <w:rPr>
          <w:rFonts w:hint="eastAsia" w:ascii="仿宋" w:hAnsi="仿宋" w:eastAsia="仿宋" w:cs="仿宋"/>
          <w:b/>
          <w:color w:val="FF0000"/>
          <w:sz w:val="24"/>
          <w:szCs w:val="24"/>
          <w:lang w:bidi="ar"/>
        </w:rPr>
        <w:t>按照评审要求提供相应的证明材料</w:t>
      </w:r>
      <w:r>
        <w:rPr>
          <w:rFonts w:hint="eastAsia" w:ascii="仿宋" w:hAnsi="仿宋" w:eastAsia="仿宋" w:cs="仿宋"/>
          <w:b/>
          <w:sz w:val="24"/>
          <w:szCs w:val="24"/>
          <w:lang w:bidi="ar"/>
        </w:rPr>
        <w:t>。</w:t>
      </w:r>
    </w:p>
    <w:p w14:paraId="1CB92272"/>
    <w:p w14:paraId="156F5F80">
      <w:pPr>
        <w:pStyle w:val="2"/>
      </w:pPr>
    </w:p>
    <w:p w14:paraId="49AA14CD"/>
    <w:p w14:paraId="77499E6C">
      <w:pPr>
        <w:pStyle w:val="6"/>
        <w:spacing w:line="360" w:lineRule="auto"/>
        <w:rPr>
          <w:rFonts w:ascii="仿宋" w:hAnsi="仿宋" w:cs="仿宋"/>
          <w:szCs w:val="24"/>
        </w:rPr>
      </w:pPr>
      <w:r>
        <w:rPr>
          <w:rFonts w:hint="eastAsia" w:ascii="仿宋" w:hAnsi="仿宋" w:cs="仿宋"/>
          <w:szCs w:val="24"/>
        </w:rPr>
        <w:t>4</w:t>
      </w:r>
      <w:bookmarkEnd w:id="1042"/>
      <w:bookmarkEnd w:id="1043"/>
      <w:r>
        <w:rPr>
          <w:rFonts w:hint="eastAsia" w:ascii="仿宋" w:hAnsi="仿宋" w:cs="仿宋"/>
          <w:szCs w:val="24"/>
        </w:rPr>
        <w:t>.项目服务方案</w:t>
      </w:r>
    </w:p>
    <w:p w14:paraId="09369F20"/>
    <w:p w14:paraId="7CA30C24"/>
    <w:p w14:paraId="467BFA46">
      <w:pPr>
        <w:pStyle w:val="2"/>
      </w:pPr>
    </w:p>
    <w:p w14:paraId="1344615A">
      <w:pPr>
        <w:spacing w:before="120" w:after="120" w:line="360" w:lineRule="auto"/>
        <w:jc w:val="left"/>
        <w:outlineLvl w:val="3"/>
        <w:rPr>
          <w:rFonts w:ascii="仿宋" w:hAnsi="仿宋" w:eastAsia="仿宋" w:cs="仿宋"/>
          <w:b/>
          <w:kern w:val="0"/>
          <w:sz w:val="24"/>
          <w:szCs w:val="24"/>
        </w:rPr>
      </w:pPr>
      <w:r>
        <w:rPr>
          <w:rFonts w:hint="eastAsia" w:ascii="仿宋" w:hAnsi="仿宋" w:eastAsia="仿宋" w:cs="仿宋"/>
          <w:b/>
          <w:kern w:val="0"/>
          <w:sz w:val="24"/>
          <w:szCs w:val="24"/>
        </w:rPr>
        <w:t>5.洗衣质量保证方案</w:t>
      </w:r>
    </w:p>
    <w:p w14:paraId="278E3FF8">
      <w:pPr>
        <w:rPr>
          <w:rFonts w:ascii="仿宋" w:hAnsi="仿宋" w:eastAsia="仿宋" w:cs="仿宋"/>
          <w:b/>
          <w:kern w:val="0"/>
          <w:sz w:val="24"/>
          <w:szCs w:val="24"/>
        </w:rPr>
      </w:pPr>
    </w:p>
    <w:p w14:paraId="13ADCE5B">
      <w:pPr>
        <w:pStyle w:val="2"/>
      </w:pPr>
    </w:p>
    <w:p w14:paraId="045207A6">
      <w:pPr>
        <w:pStyle w:val="2"/>
      </w:pPr>
    </w:p>
    <w:p w14:paraId="5D789BA8">
      <w:pPr>
        <w:spacing w:before="120" w:after="120" w:line="360" w:lineRule="auto"/>
        <w:jc w:val="left"/>
        <w:outlineLvl w:val="3"/>
        <w:rPr>
          <w:rFonts w:ascii="仿宋" w:hAnsi="仿宋" w:eastAsia="仿宋" w:cs="仿宋"/>
          <w:b/>
          <w:kern w:val="0"/>
          <w:sz w:val="24"/>
          <w:szCs w:val="24"/>
        </w:rPr>
      </w:pPr>
      <w:r>
        <w:rPr>
          <w:rFonts w:hint="eastAsia" w:ascii="仿宋" w:hAnsi="仿宋" w:eastAsia="仿宋" w:cs="仿宋"/>
          <w:b/>
          <w:kern w:val="0"/>
          <w:sz w:val="24"/>
          <w:szCs w:val="24"/>
        </w:rPr>
        <w:t>6.增值服务</w:t>
      </w:r>
    </w:p>
    <w:p w14:paraId="35BE6EA2">
      <w:pPr>
        <w:rPr>
          <w:rFonts w:ascii="仿宋" w:hAnsi="仿宋" w:eastAsia="仿宋" w:cs="仿宋"/>
          <w:szCs w:val="24"/>
        </w:rPr>
      </w:pPr>
      <w:bookmarkStart w:id="1044" w:name="_Toc23092"/>
      <w:bookmarkStart w:id="1045" w:name="_Toc16707"/>
      <w:bookmarkStart w:id="1046" w:name="_Toc1099"/>
      <w:bookmarkStart w:id="1047" w:name="_Toc65683016"/>
      <w:bookmarkStart w:id="1048" w:name="_Toc109124330"/>
    </w:p>
    <w:p w14:paraId="7B49567B">
      <w:pPr>
        <w:pStyle w:val="2"/>
      </w:pPr>
    </w:p>
    <w:p w14:paraId="72042599">
      <w:pPr>
        <w:pStyle w:val="5"/>
        <w:spacing w:line="360" w:lineRule="auto"/>
        <w:rPr>
          <w:rFonts w:hint="default" w:ascii="仿宋" w:hAnsi="仿宋" w:cs="仿宋"/>
          <w:szCs w:val="24"/>
        </w:rPr>
      </w:pPr>
      <w:bookmarkStart w:id="1049" w:name="_Toc20596"/>
      <w:bookmarkStart w:id="1050" w:name="_Toc15671"/>
      <w:bookmarkStart w:id="1051" w:name="_Toc20033"/>
      <w:r>
        <w:rPr>
          <w:rFonts w:ascii="仿宋" w:hAnsi="仿宋" w:cs="仿宋"/>
          <w:szCs w:val="24"/>
        </w:rPr>
        <w:t>（三）其他材料</w:t>
      </w:r>
      <w:bookmarkEnd w:id="1044"/>
      <w:bookmarkEnd w:id="1045"/>
      <w:bookmarkEnd w:id="1046"/>
      <w:bookmarkEnd w:id="1047"/>
      <w:bookmarkEnd w:id="1048"/>
      <w:bookmarkEnd w:id="1049"/>
      <w:bookmarkEnd w:id="1050"/>
      <w:bookmarkEnd w:id="1051"/>
      <w:r>
        <w:rPr>
          <w:rFonts w:ascii="仿宋" w:hAnsi="仿宋" w:cs="仿宋"/>
          <w:szCs w:val="24"/>
        </w:rPr>
        <w:tab/>
      </w:r>
    </w:p>
    <w:p w14:paraId="21A1AA9B">
      <w:pPr>
        <w:spacing w:line="360" w:lineRule="auto"/>
        <w:rPr>
          <w:rFonts w:ascii="仿宋" w:hAnsi="仿宋" w:eastAsia="仿宋" w:cs="仿宋"/>
          <w:szCs w:val="21"/>
        </w:rPr>
      </w:pPr>
      <w:bookmarkStart w:id="1052" w:name="_Toc109124331"/>
      <w:bookmarkStart w:id="1053" w:name="_Toc65683017"/>
      <w:bookmarkStart w:id="1054" w:name="_Toc29561"/>
      <w:r>
        <w:rPr>
          <w:rFonts w:hint="eastAsia" w:ascii="仿宋" w:hAnsi="仿宋" w:eastAsia="仿宋" w:cs="仿宋"/>
          <w:sz w:val="24"/>
        </w:rPr>
        <w:t>详细评审中技术部分涉及的文件及证明材料、</w:t>
      </w:r>
      <w:r>
        <w:rPr>
          <w:rFonts w:hint="eastAsia" w:ascii="仿宋" w:hAnsi="仿宋" w:eastAsia="仿宋" w:cs="仿宋"/>
          <w:sz w:val="24"/>
          <w:szCs w:val="24"/>
        </w:rPr>
        <w:t>投标人认为需提供的其他材料，格式自拟。</w:t>
      </w:r>
    </w:p>
    <w:p w14:paraId="00C6918F">
      <w:pPr>
        <w:spacing w:line="360" w:lineRule="auto"/>
        <w:rPr>
          <w:rFonts w:ascii="仿宋" w:hAnsi="仿宋" w:eastAsia="仿宋" w:cs="仿宋"/>
          <w:szCs w:val="24"/>
        </w:rPr>
      </w:pPr>
    </w:p>
    <w:p w14:paraId="1EC77BFC">
      <w:pPr>
        <w:rPr>
          <w:rFonts w:ascii="仿宋" w:hAnsi="仿宋" w:eastAsia="仿宋" w:cs="仿宋"/>
          <w:szCs w:val="24"/>
        </w:rPr>
      </w:pPr>
      <w:bookmarkStart w:id="1055" w:name="_Toc25223"/>
      <w:r>
        <w:rPr>
          <w:rFonts w:hint="eastAsia" w:ascii="仿宋" w:hAnsi="仿宋" w:eastAsia="仿宋" w:cs="仿宋"/>
          <w:szCs w:val="24"/>
        </w:rPr>
        <w:br w:type="page"/>
      </w:r>
    </w:p>
    <w:p w14:paraId="4A31D6A8">
      <w:pPr>
        <w:pStyle w:val="4"/>
        <w:rPr>
          <w:rFonts w:ascii="仿宋" w:hAnsi="仿宋" w:cs="仿宋"/>
          <w:szCs w:val="24"/>
        </w:rPr>
      </w:pPr>
      <w:bookmarkStart w:id="1056" w:name="_Toc17466"/>
      <w:r>
        <w:rPr>
          <w:rFonts w:hint="eastAsia" w:ascii="仿宋" w:hAnsi="仿宋" w:cs="仿宋"/>
          <w:szCs w:val="24"/>
        </w:rPr>
        <w:t>三、报价文件</w:t>
      </w:r>
      <w:bookmarkEnd w:id="1052"/>
      <w:bookmarkEnd w:id="1053"/>
      <w:bookmarkEnd w:id="1054"/>
      <w:bookmarkEnd w:id="1055"/>
      <w:bookmarkEnd w:id="1056"/>
    </w:p>
    <w:p w14:paraId="2CC7DD3D">
      <w:pPr>
        <w:pStyle w:val="5"/>
        <w:spacing w:line="360" w:lineRule="auto"/>
        <w:jc w:val="both"/>
        <w:rPr>
          <w:rFonts w:hint="default" w:ascii="仿宋" w:hAnsi="仿宋" w:cs="仿宋"/>
          <w:szCs w:val="24"/>
        </w:rPr>
      </w:pPr>
      <w:bookmarkStart w:id="1057" w:name="_Toc22093"/>
      <w:bookmarkStart w:id="1058" w:name="_Toc21440"/>
      <w:bookmarkStart w:id="1059" w:name="_Toc26738"/>
      <w:bookmarkStart w:id="1060" w:name="_Toc18522"/>
      <w:bookmarkStart w:id="1061" w:name="_Toc20114"/>
      <w:bookmarkStart w:id="1062" w:name="_Toc109124332"/>
      <w:bookmarkStart w:id="1063" w:name="_Toc65683018"/>
      <w:bookmarkStart w:id="1064" w:name="_Toc20305"/>
      <w:r>
        <w:rPr>
          <w:rFonts w:ascii="仿宋" w:hAnsi="仿宋" w:cs="仿宋"/>
          <w:szCs w:val="24"/>
        </w:rPr>
        <w:t>（一）投标一览表</w:t>
      </w:r>
      <w:bookmarkEnd w:id="1057"/>
      <w:bookmarkEnd w:id="1058"/>
      <w:bookmarkEnd w:id="1059"/>
    </w:p>
    <w:bookmarkEnd w:id="1060"/>
    <w:bookmarkEnd w:id="1061"/>
    <w:p w14:paraId="2C7DE8BE"/>
    <w:bookmarkEnd w:id="1062"/>
    <w:bookmarkEnd w:id="1063"/>
    <w:bookmarkEnd w:id="1064"/>
    <w:p w14:paraId="50A841D0">
      <w:pPr>
        <w:jc w:val="center"/>
        <w:rPr>
          <w:rFonts w:ascii="仿宋" w:hAnsi="仿宋" w:eastAsia="仿宋" w:cs="仿宋"/>
          <w:b/>
          <w:bCs/>
          <w:sz w:val="24"/>
          <w:szCs w:val="24"/>
        </w:rPr>
      </w:pPr>
      <w:r>
        <w:rPr>
          <w:rFonts w:hint="eastAsia" w:ascii="仿宋" w:hAnsi="仿宋" w:eastAsia="仿宋" w:cs="仿宋"/>
          <w:b/>
          <w:bCs/>
          <w:sz w:val="28"/>
          <w:szCs w:val="28"/>
        </w:rPr>
        <w:t>投标一览表</w:t>
      </w:r>
    </w:p>
    <w:p w14:paraId="05C1F013">
      <w:pPr>
        <w:pStyle w:val="10"/>
        <w:spacing w:line="360" w:lineRule="auto"/>
        <w:ind w:hanging="142"/>
        <w:rPr>
          <w:rFonts w:ascii="仿宋" w:hAnsi="仿宋" w:eastAsia="仿宋" w:cs="仿宋"/>
          <w:sz w:val="24"/>
          <w:szCs w:val="24"/>
        </w:rPr>
      </w:pPr>
      <w:r>
        <w:rPr>
          <w:rFonts w:hint="eastAsia" w:ascii="仿宋" w:hAnsi="仿宋" w:eastAsia="仿宋" w:cs="仿宋"/>
          <w:sz w:val="24"/>
          <w:szCs w:val="24"/>
        </w:rPr>
        <w:t xml:space="preserve">项目名称：  </w:t>
      </w:r>
    </w:p>
    <w:p w14:paraId="6A2A6A3E">
      <w:pPr>
        <w:pStyle w:val="10"/>
        <w:spacing w:line="360" w:lineRule="auto"/>
        <w:ind w:hanging="142"/>
        <w:rPr>
          <w:rFonts w:ascii="仿宋" w:hAnsi="仿宋" w:eastAsia="仿宋" w:cs="仿宋"/>
          <w:sz w:val="24"/>
          <w:szCs w:val="24"/>
        </w:rPr>
      </w:pPr>
      <w:r>
        <w:rPr>
          <w:rFonts w:hint="eastAsia" w:ascii="仿宋" w:hAnsi="仿宋" w:eastAsia="仿宋" w:cs="仿宋"/>
          <w:sz w:val="24"/>
          <w:szCs w:val="24"/>
        </w:rPr>
        <w:t xml:space="preserve">项目编号:                                                  </w:t>
      </w:r>
    </w:p>
    <w:p w14:paraId="4D16DB8D">
      <w:pPr>
        <w:pStyle w:val="10"/>
        <w:spacing w:line="360" w:lineRule="auto"/>
        <w:ind w:hanging="142"/>
        <w:jc w:val="right"/>
        <w:rPr>
          <w:rFonts w:ascii="仿宋" w:hAnsi="仿宋" w:eastAsia="仿宋" w:cs="仿宋"/>
          <w:sz w:val="24"/>
          <w:szCs w:val="24"/>
        </w:rPr>
      </w:pPr>
      <w:r>
        <w:rPr>
          <w:rFonts w:hint="eastAsia" w:ascii="仿宋" w:hAnsi="仿宋" w:eastAsia="仿宋" w:cs="仿宋"/>
          <w:sz w:val="24"/>
          <w:szCs w:val="24"/>
        </w:rPr>
        <w:t>货币单位：人民币/元</w:t>
      </w:r>
    </w:p>
    <w:tbl>
      <w:tblPr>
        <w:tblStyle w:val="33"/>
        <w:tblW w:w="4592"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autofit"/>
        <w:tblCellMar>
          <w:top w:w="0" w:type="dxa"/>
          <w:left w:w="108" w:type="dxa"/>
          <w:bottom w:w="0" w:type="dxa"/>
          <w:right w:w="108" w:type="dxa"/>
        </w:tblCellMar>
      </w:tblPr>
      <w:tblGrid>
        <w:gridCol w:w="2630"/>
        <w:gridCol w:w="677"/>
        <w:gridCol w:w="1721"/>
        <w:gridCol w:w="1693"/>
        <w:gridCol w:w="1305"/>
        <w:gridCol w:w="1024"/>
      </w:tblGrid>
      <w:tr w14:paraId="4C1866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cantSplit/>
          <w:trHeight w:val="454" w:hRule="atLeast"/>
          <w:jc w:val="center"/>
        </w:trPr>
        <w:tc>
          <w:tcPr>
            <w:tcW w:w="2630" w:type="dxa"/>
            <w:tcBorders>
              <w:tl2br w:val="nil"/>
              <w:tr2bl w:val="nil"/>
            </w:tcBorders>
            <w:shd w:val="clear" w:color="auto" w:fill="FFFFFF" w:themeFill="background1"/>
            <w:vAlign w:val="center"/>
          </w:tcPr>
          <w:p w14:paraId="4BF42FBC">
            <w:pPr>
              <w:widowControl/>
              <w:jc w:val="center"/>
              <w:textAlignment w:val="center"/>
              <w:rPr>
                <w:rFonts w:ascii="仿宋" w:hAnsi="仿宋" w:eastAsia="仿宋" w:cs="仿宋"/>
                <w:b/>
                <w:sz w:val="24"/>
                <w:szCs w:val="24"/>
              </w:rPr>
            </w:pPr>
            <w:r>
              <w:rPr>
                <w:rFonts w:hint="eastAsia" w:ascii="仿宋" w:hAnsi="仿宋" w:eastAsia="仿宋" w:cs="仿宋"/>
                <w:b/>
                <w:bCs/>
                <w:color w:val="000000"/>
                <w:kern w:val="0"/>
                <w:sz w:val="24"/>
                <w:szCs w:val="24"/>
                <w:lang w:bidi="ar"/>
              </w:rPr>
              <w:t>衣物类别（常规品类）</w:t>
            </w:r>
          </w:p>
        </w:tc>
        <w:tc>
          <w:tcPr>
            <w:tcW w:w="677" w:type="dxa"/>
            <w:tcBorders>
              <w:tl2br w:val="nil"/>
              <w:tr2bl w:val="nil"/>
            </w:tcBorders>
            <w:shd w:val="clear" w:color="auto" w:fill="FFFFFF" w:themeFill="background1"/>
            <w:vAlign w:val="center"/>
          </w:tcPr>
          <w:p w14:paraId="59C7BF24">
            <w:pPr>
              <w:widowControl/>
              <w:jc w:val="center"/>
              <w:textAlignment w:val="center"/>
              <w:rPr>
                <w:rFonts w:ascii="仿宋" w:hAnsi="仿宋" w:eastAsia="仿宋" w:cs="仿宋"/>
                <w:b/>
                <w:sz w:val="24"/>
                <w:szCs w:val="24"/>
              </w:rPr>
            </w:pPr>
            <w:r>
              <w:rPr>
                <w:rFonts w:hint="eastAsia" w:ascii="仿宋" w:hAnsi="仿宋" w:eastAsia="仿宋" w:cs="仿宋"/>
                <w:b/>
                <w:bCs/>
                <w:color w:val="000000"/>
                <w:kern w:val="0"/>
                <w:sz w:val="24"/>
                <w:szCs w:val="24"/>
                <w:lang w:bidi="ar"/>
              </w:rPr>
              <w:t>单位</w:t>
            </w:r>
          </w:p>
        </w:tc>
        <w:tc>
          <w:tcPr>
            <w:tcW w:w="1721" w:type="dxa"/>
            <w:tcBorders>
              <w:tl2br w:val="nil"/>
              <w:tr2bl w:val="nil"/>
            </w:tcBorders>
            <w:shd w:val="clear" w:color="auto" w:fill="FFFFFF" w:themeFill="background1"/>
            <w:vAlign w:val="center"/>
          </w:tcPr>
          <w:p w14:paraId="49D80453">
            <w:pPr>
              <w:widowControl/>
              <w:jc w:val="center"/>
              <w:textAlignment w:val="center"/>
              <w:rPr>
                <w:rFonts w:ascii="仿宋" w:hAnsi="仿宋" w:eastAsia="仿宋" w:cs="仿宋"/>
                <w:b/>
                <w:sz w:val="24"/>
                <w:szCs w:val="24"/>
              </w:rPr>
            </w:pPr>
            <w:r>
              <w:rPr>
                <w:rFonts w:hint="eastAsia" w:ascii="仿宋" w:hAnsi="仿宋" w:eastAsia="仿宋" w:cs="仿宋"/>
                <w:b/>
                <w:bCs/>
                <w:color w:val="000000"/>
                <w:kern w:val="0"/>
                <w:sz w:val="24"/>
                <w:szCs w:val="24"/>
                <w:lang w:bidi="ar"/>
              </w:rPr>
              <w:t>含税单价限价（元/单位）</w:t>
            </w:r>
          </w:p>
        </w:tc>
        <w:tc>
          <w:tcPr>
            <w:tcW w:w="1693" w:type="dxa"/>
            <w:tcBorders>
              <w:tl2br w:val="nil"/>
              <w:tr2bl w:val="nil"/>
            </w:tcBorders>
            <w:shd w:val="clear" w:color="auto" w:fill="FFFFFF" w:themeFill="background1"/>
            <w:vAlign w:val="center"/>
          </w:tcPr>
          <w:p w14:paraId="30FF3FA7">
            <w:pPr>
              <w:spacing w:line="360" w:lineRule="auto"/>
              <w:jc w:val="center"/>
              <w:rPr>
                <w:rFonts w:ascii="仿宋" w:hAnsi="仿宋" w:eastAsia="仿宋" w:cs="仿宋"/>
                <w:b/>
                <w:sz w:val="24"/>
                <w:szCs w:val="24"/>
              </w:rPr>
            </w:pPr>
            <w:r>
              <w:rPr>
                <w:rFonts w:hint="eastAsia" w:ascii="仿宋" w:hAnsi="仿宋" w:eastAsia="仿宋" w:cs="仿宋"/>
                <w:b/>
                <w:sz w:val="24"/>
                <w:szCs w:val="24"/>
              </w:rPr>
              <w:t>统一折扣率</w:t>
            </w:r>
          </w:p>
        </w:tc>
        <w:tc>
          <w:tcPr>
            <w:tcW w:w="1305" w:type="dxa"/>
            <w:tcBorders>
              <w:tl2br w:val="nil"/>
              <w:tr2bl w:val="nil"/>
            </w:tcBorders>
            <w:shd w:val="clear" w:color="auto" w:fill="FFFFFF" w:themeFill="background1"/>
            <w:vAlign w:val="center"/>
          </w:tcPr>
          <w:p w14:paraId="3F2F122A">
            <w:pPr>
              <w:spacing w:line="360" w:lineRule="auto"/>
              <w:jc w:val="center"/>
              <w:rPr>
                <w:rFonts w:ascii="仿宋" w:hAnsi="仿宋" w:eastAsia="仿宋" w:cs="仿宋"/>
                <w:b/>
                <w:sz w:val="24"/>
                <w:szCs w:val="24"/>
              </w:rPr>
            </w:pPr>
            <w:r>
              <w:rPr>
                <w:rFonts w:hint="eastAsia" w:ascii="仿宋" w:hAnsi="仿宋" w:eastAsia="仿宋" w:cs="仿宋"/>
                <w:b/>
                <w:sz w:val="24"/>
                <w:szCs w:val="24"/>
              </w:rPr>
              <w:t>发票</w:t>
            </w:r>
          </w:p>
        </w:tc>
        <w:tc>
          <w:tcPr>
            <w:tcW w:w="1024" w:type="dxa"/>
            <w:tcBorders>
              <w:tl2br w:val="nil"/>
              <w:tr2bl w:val="nil"/>
            </w:tcBorders>
            <w:shd w:val="clear" w:color="auto" w:fill="FFFFFF" w:themeFill="background1"/>
            <w:vAlign w:val="center"/>
          </w:tcPr>
          <w:p w14:paraId="01A5658B">
            <w:pPr>
              <w:spacing w:line="360" w:lineRule="auto"/>
              <w:jc w:val="center"/>
              <w:rPr>
                <w:rFonts w:ascii="仿宋" w:hAnsi="仿宋" w:eastAsia="仿宋" w:cs="仿宋"/>
                <w:b/>
                <w:sz w:val="24"/>
                <w:szCs w:val="24"/>
              </w:rPr>
            </w:pPr>
            <w:r>
              <w:rPr>
                <w:rFonts w:hint="eastAsia" w:ascii="仿宋" w:hAnsi="仿宋" w:eastAsia="仿宋" w:cs="仿宋"/>
                <w:b/>
                <w:sz w:val="24"/>
                <w:szCs w:val="24"/>
              </w:rPr>
              <w:t>备注</w:t>
            </w:r>
          </w:p>
        </w:tc>
      </w:tr>
      <w:tr w14:paraId="09CD6E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30" w:hRule="atLeast"/>
          <w:jc w:val="center"/>
        </w:trPr>
        <w:tc>
          <w:tcPr>
            <w:tcW w:w="2630" w:type="dxa"/>
            <w:tcBorders>
              <w:tl2br w:val="nil"/>
              <w:tr2bl w:val="nil"/>
            </w:tcBorders>
            <w:shd w:val="clear" w:color="auto" w:fill="FFFFFF" w:themeFill="background1"/>
            <w:vAlign w:val="center"/>
          </w:tcPr>
          <w:p w14:paraId="3C27CAE9">
            <w:pPr>
              <w:widowControl/>
              <w:jc w:val="center"/>
              <w:textAlignment w:val="center"/>
              <w:rPr>
                <w:rFonts w:ascii="仿宋" w:hAnsi="仿宋" w:eastAsia="仿宋" w:cs="仿宋"/>
                <w:bCs/>
                <w:sz w:val="24"/>
                <w:szCs w:val="24"/>
              </w:rPr>
            </w:pPr>
            <w:r>
              <w:rPr>
                <w:rFonts w:hint="eastAsia" w:ascii="仿宋" w:hAnsi="仿宋" w:eastAsia="仿宋" w:cs="仿宋"/>
                <w:b/>
                <w:bCs/>
                <w:color w:val="000000"/>
                <w:kern w:val="0"/>
                <w:sz w:val="24"/>
                <w:szCs w:val="24"/>
                <w:lang w:bidi="ar"/>
              </w:rPr>
              <w:t>西装</w:t>
            </w:r>
          </w:p>
        </w:tc>
        <w:tc>
          <w:tcPr>
            <w:tcW w:w="677" w:type="dxa"/>
            <w:tcBorders>
              <w:tl2br w:val="nil"/>
              <w:tr2bl w:val="nil"/>
            </w:tcBorders>
            <w:shd w:val="clear" w:color="auto" w:fill="FFFFFF" w:themeFill="background1"/>
            <w:vAlign w:val="center"/>
          </w:tcPr>
          <w:p w14:paraId="35CB8A18">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件</w:t>
            </w:r>
          </w:p>
        </w:tc>
        <w:tc>
          <w:tcPr>
            <w:tcW w:w="1721" w:type="dxa"/>
            <w:tcBorders>
              <w:tl2br w:val="nil"/>
              <w:tr2bl w:val="nil"/>
            </w:tcBorders>
            <w:shd w:val="clear" w:color="auto" w:fill="FFFFFF" w:themeFill="background1"/>
            <w:vAlign w:val="center"/>
          </w:tcPr>
          <w:p w14:paraId="537569CD">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 xml:space="preserve">￥18.0 </w:t>
            </w:r>
          </w:p>
        </w:tc>
        <w:tc>
          <w:tcPr>
            <w:tcW w:w="1693" w:type="dxa"/>
            <w:vMerge w:val="restart"/>
            <w:tcBorders>
              <w:tl2br w:val="nil"/>
              <w:tr2bl w:val="nil"/>
            </w:tcBorders>
            <w:shd w:val="clear" w:color="auto" w:fill="FFFFFF" w:themeFill="background1"/>
            <w:vAlign w:val="center"/>
          </w:tcPr>
          <w:p w14:paraId="6BF51CDC">
            <w:pPr>
              <w:adjustRightInd w:val="0"/>
              <w:snapToGrid w:val="0"/>
              <w:spacing w:line="360" w:lineRule="auto"/>
              <w:jc w:val="center"/>
              <w:rPr>
                <w:rFonts w:ascii="仿宋" w:hAnsi="仿宋" w:eastAsia="仿宋" w:cs="仿宋"/>
                <w:bCs/>
                <w:sz w:val="24"/>
                <w:szCs w:val="24"/>
              </w:rPr>
            </w:pPr>
            <w:r>
              <w:rPr>
                <w:rFonts w:hint="eastAsia" w:ascii="仿宋" w:hAnsi="仿宋" w:eastAsia="仿宋" w:cs="仿宋"/>
                <w:bCs/>
                <w:sz w:val="24"/>
                <w:szCs w:val="24"/>
              </w:rPr>
              <w:t>XX.XX%</w:t>
            </w:r>
          </w:p>
        </w:tc>
        <w:tc>
          <w:tcPr>
            <w:tcW w:w="1305" w:type="dxa"/>
            <w:vMerge w:val="restart"/>
            <w:tcBorders>
              <w:tl2br w:val="nil"/>
              <w:tr2bl w:val="nil"/>
            </w:tcBorders>
            <w:shd w:val="clear" w:color="auto" w:fill="FFFFFF" w:themeFill="background1"/>
            <w:vAlign w:val="center"/>
          </w:tcPr>
          <w:p w14:paraId="11565407">
            <w:pPr>
              <w:adjustRightInd w:val="0"/>
              <w:snapToGrid w:val="0"/>
              <w:spacing w:line="360" w:lineRule="auto"/>
              <w:jc w:val="center"/>
              <w:rPr>
                <w:rFonts w:ascii="仿宋" w:hAnsi="仿宋" w:eastAsia="仿宋" w:cs="仿宋"/>
                <w:bCs/>
                <w:sz w:val="24"/>
                <w:szCs w:val="24"/>
              </w:rPr>
            </w:pPr>
            <w:r>
              <w:rPr>
                <w:rFonts w:hint="eastAsia" w:ascii="仿宋" w:hAnsi="仿宋" w:eastAsia="仿宋" w:cs="仿宋"/>
                <w:bCs/>
                <w:sz w:val="24"/>
                <w:szCs w:val="24"/>
              </w:rPr>
              <w:t>增值税普通发票</w:t>
            </w:r>
          </w:p>
        </w:tc>
        <w:tc>
          <w:tcPr>
            <w:tcW w:w="1024" w:type="dxa"/>
            <w:vMerge w:val="restart"/>
            <w:tcBorders>
              <w:tl2br w:val="nil"/>
              <w:tr2bl w:val="nil"/>
            </w:tcBorders>
            <w:shd w:val="clear" w:color="auto" w:fill="FFFFFF" w:themeFill="background1"/>
            <w:vAlign w:val="center"/>
          </w:tcPr>
          <w:p w14:paraId="4BB6FD80">
            <w:pPr>
              <w:adjustRightInd w:val="0"/>
              <w:snapToGrid w:val="0"/>
              <w:spacing w:line="360" w:lineRule="auto"/>
              <w:jc w:val="center"/>
              <w:rPr>
                <w:rFonts w:ascii="仿宋" w:hAnsi="仿宋" w:eastAsia="仿宋" w:cs="仿宋"/>
                <w:bCs/>
                <w:sz w:val="24"/>
                <w:szCs w:val="24"/>
              </w:rPr>
            </w:pPr>
          </w:p>
        </w:tc>
      </w:tr>
      <w:tr w14:paraId="2CC5EC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21" w:hRule="atLeast"/>
          <w:jc w:val="center"/>
        </w:trPr>
        <w:tc>
          <w:tcPr>
            <w:tcW w:w="2630" w:type="dxa"/>
            <w:tcBorders>
              <w:tl2br w:val="nil"/>
              <w:tr2bl w:val="nil"/>
            </w:tcBorders>
            <w:shd w:val="clear" w:color="auto" w:fill="FFFFFF" w:themeFill="background1"/>
            <w:vAlign w:val="center"/>
          </w:tcPr>
          <w:p w14:paraId="707E5629">
            <w:pPr>
              <w:widowControl/>
              <w:jc w:val="center"/>
              <w:textAlignment w:val="center"/>
              <w:rPr>
                <w:rFonts w:ascii="仿宋" w:hAnsi="仿宋" w:eastAsia="仿宋" w:cs="仿宋"/>
                <w:bCs/>
                <w:sz w:val="24"/>
                <w:szCs w:val="24"/>
              </w:rPr>
            </w:pPr>
            <w:r>
              <w:rPr>
                <w:rFonts w:hint="eastAsia" w:ascii="仿宋" w:hAnsi="仿宋" w:eastAsia="仿宋" w:cs="仿宋"/>
                <w:b/>
                <w:bCs/>
                <w:color w:val="000000"/>
                <w:kern w:val="0"/>
                <w:sz w:val="24"/>
                <w:szCs w:val="24"/>
                <w:lang w:bidi="ar"/>
              </w:rPr>
              <w:t>西裤</w:t>
            </w:r>
          </w:p>
        </w:tc>
        <w:tc>
          <w:tcPr>
            <w:tcW w:w="677" w:type="dxa"/>
            <w:tcBorders>
              <w:tl2br w:val="nil"/>
              <w:tr2bl w:val="nil"/>
            </w:tcBorders>
            <w:shd w:val="clear" w:color="auto" w:fill="FFFFFF" w:themeFill="background1"/>
            <w:vAlign w:val="center"/>
          </w:tcPr>
          <w:p w14:paraId="40FFAEB6">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条</w:t>
            </w:r>
          </w:p>
        </w:tc>
        <w:tc>
          <w:tcPr>
            <w:tcW w:w="1721" w:type="dxa"/>
            <w:tcBorders>
              <w:tl2br w:val="nil"/>
              <w:tr2bl w:val="nil"/>
            </w:tcBorders>
            <w:shd w:val="clear" w:color="auto" w:fill="FFFFFF" w:themeFill="background1"/>
            <w:vAlign w:val="center"/>
          </w:tcPr>
          <w:p w14:paraId="3CE2909E">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￥14.0</w:t>
            </w:r>
          </w:p>
        </w:tc>
        <w:tc>
          <w:tcPr>
            <w:tcW w:w="1693" w:type="dxa"/>
            <w:vMerge w:val="continue"/>
            <w:tcBorders>
              <w:tl2br w:val="nil"/>
              <w:tr2bl w:val="nil"/>
            </w:tcBorders>
            <w:shd w:val="clear" w:color="auto" w:fill="FFFFFF" w:themeFill="background1"/>
            <w:vAlign w:val="center"/>
          </w:tcPr>
          <w:p w14:paraId="6B51FC53">
            <w:pPr>
              <w:adjustRightInd w:val="0"/>
              <w:snapToGrid w:val="0"/>
              <w:spacing w:line="360" w:lineRule="auto"/>
              <w:jc w:val="center"/>
              <w:rPr>
                <w:rFonts w:ascii="仿宋" w:hAnsi="仿宋" w:eastAsia="仿宋" w:cs="仿宋"/>
                <w:bCs/>
                <w:sz w:val="24"/>
                <w:szCs w:val="24"/>
              </w:rPr>
            </w:pPr>
          </w:p>
        </w:tc>
        <w:tc>
          <w:tcPr>
            <w:tcW w:w="1305" w:type="dxa"/>
            <w:vMerge w:val="continue"/>
            <w:tcBorders>
              <w:tl2br w:val="nil"/>
              <w:tr2bl w:val="nil"/>
            </w:tcBorders>
            <w:shd w:val="clear" w:color="auto" w:fill="FFFFFF" w:themeFill="background1"/>
            <w:vAlign w:val="center"/>
          </w:tcPr>
          <w:p w14:paraId="53723756">
            <w:pPr>
              <w:adjustRightInd w:val="0"/>
              <w:snapToGrid w:val="0"/>
              <w:spacing w:line="360" w:lineRule="auto"/>
              <w:jc w:val="center"/>
              <w:rPr>
                <w:rFonts w:ascii="仿宋" w:hAnsi="仿宋" w:eastAsia="仿宋" w:cs="仿宋"/>
                <w:bCs/>
                <w:sz w:val="24"/>
                <w:szCs w:val="24"/>
              </w:rPr>
            </w:pPr>
          </w:p>
        </w:tc>
        <w:tc>
          <w:tcPr>
            <w:tcW w:w="1024" w:type="dxa"/>
            <w:vMerge w:val="continue"/>
            <w:tcBorders>
              <w:tl2br w:val="nil"/>
              <w:tr2bl w:val="nil"/>
            </w:tcBorders>
            <w:shd w:val="clear" w:color="auto" w:fill="FFFFFF" w:themeFill="background1"/>
            <w:vAlign w:val="center"/>
          </w:tcPr>
          <w:p w14:paraId="5897F6B2">
            <w:pPr>
              <w:adjustRightInd w:val="0"/>
              <w:snapToGrid w:val="0"/>
              <w:spacing w:line="360" w:lineRule="auto"/>
              <w:jc w:val="center"/>
              <w:rPr>
                <w:rFonts w:ascii="仿宋" w:hAnsi="仿宋" w:eastAsia="仿宋" w:cs="仿宋"/>
                <w:bCs/>
                <w:sz w:val="24"/>
                <w:szCs w:val="24"/>
              </w:rPr>
            </w:pPr>
          </w:p>
        </w:tc>
      </w:tr>
      <w:tr w14:paraId="527D09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48" w:hRule="atLeast"/>
          <w:jc w:val="center"/>
        </w:trPr>
        <w:tc>
          <w:tcPr>
            <w:tcW w:w="2630" w:type="dxa"/>
            <w:tcBorders>
              <w:tl2br w:val="nil"/>
              <w:tr2bl w:val="nil"/>
            </w:tcBorders>
            <w:shd w:val="clear" w:color="auto" w:fill="FFFFFF" w:themeFill="background1"/>
            <w:vAlign w:val="center"/>
          </w:tcPr>
          <w:p w14:paraId="1F581343">
            <w:pPr>
              <w:widowControl/>
              <w:jc w:val="center"/>
              <w:textAlignment w:val="center"/>
              <w:rPr>
                <w:rFonts w:ascii="仿宋" w:hAnsi="仿宋" w:eastAsia="仿宋" w:cs="仿宋"/>
                <w:bCs/>
                <w:sz w:val="24"/>
                <w:szCs w:val="24"/>
              </w:rPr>
            </w:pPr>
            <w:r>
              <w:rPr>
                <w:rFonts w:hint="eastAsia" w:ascii="仿宋" w:hAnsi="仿宋" w:eastAsia="仿宋" w:cs="仿宋"/>
                <w:b/>
                <w:bCs/>
                <w:color w:val="000000"/>
                <w:kern w:val="0"/>
                <w:sz w:val="24"/>
                <w:szCs w:val="24"/>
                <w:lang w:bidi="ar"/>
              </w:rPr>
              <w:t>西裙</w:t>
            </w:r>
          </w:p>
        </w:tc>
        <w:tc>
          <w:tcPr>
            <w:tcW w:w="677" w:type="dxa"/>
            <w:tcBorders>
              <w:tl2br w:val="nil"/>
              <w:tr2bl w:val="nil"/>
            </w:tcBorders>
            <w:shd w:val="clear" w:color="auto" w:fill="FFFFFF" w:themeFill="background1"/>
            <w:vAlign w:val="center"/>
          </w:tcPr>
          <w:p w14:paraId="573EFA9F">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条</w:t>
            </w:r>
          </w:p>
        </w:tc>
        <w:tc>
          <w:tcPr>
            <w:tcW w:w="1721" w:type="dxa"/>
            <w:tcBorders>
              <w:tl2br w:val="nil"/>
              <w:tr2bl w:val="nil"/>
            </w:tcBorders>
            <w:shd w:val="clear" w:color="auto" w:fill="FFFFFF" w:themeFill="background1"/>
            <w:vAlign w:val="center"/>
          </w:tcPr>
          <w:p w14:paraId="54E94774">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￥14.0</w:t>
            </w:r>
          </w:p>
        </w:tc>
        <w:tc>
          <w:tcPr>
            <w:tcW w:w="1693" w:type="dxa"/>
            <w:vMerge w:val="continue"/>
            <w:tcBorders>
              <w:tl2br w:val="nil"/>
              <w:tr2bl w:val="nil"/>
            </w:tcBorders>
            <w:shd w:val="clear" w:color="auto" w:fill="FFFFFF" w:themeFill="background1"/>
            <w:vAlign w:val="center"/>
          </w:tcPr>
          <w:p w14:paraId="56719108">
            <w:pPr>
              <w:adjustRightInd w:val="0"/>
              <w:snapToGrid w:val="0"/>
              <w:spacing w:line="360" w:lineRule="auto"/>
              <w:jc w:val="center"/>
              <w:rPr>
                <w:rFonts w:ascii="仿宋" w:hAnsi="仿宋" w:eastAsia="仿宋" w:cs="仿宋"/>
                <w:bCs/>
                <w:sz w:val="24"/>
                <w:szCs w:val="24"/>
              </w:rPr>
            </w:pPr>
          </w:p>
        </w:tc>
        <w:tc>
          <w:tcPr>
            <w:tcW w:w="1305" w:type="dxa"/>
            <w:vMerge w:val="continue"/>
            <w:tcBorders>
              <w:tl2br w:val="nil"/>
              <w:tr2bl w:val="nil"/>
            </w:tcBorders>
            <w:shd w:val="clear" w:color="auto" w:fill="FFFFFF" w:themeFill="background1"/>
            <w:vAlign w:val="center"/>
          </w:tcPr>
          <w:p w14:paraId="150FFB03">
            <w:pPr>
              <w:adjustRightInd w:val="0"/>
              <w:snapToGrid w:val="0"/>
              <w:spacing w:line="360" w:lineRule="auto"/>
              <w:jc w:val="center"/>
              <w:rPr>
                <w:rFonts w:ascii="仿宋" w:hAnsi="仿宋" w:eastAsia="仿宋" w:cs="仿宋"/>
                <w:bCs/>
                <w:sz w:val="24"/>
                <w:szCs w:val="24"/>
              </w:rPr>
            </w:pPr>
          </w:p>
        </w:tc>
        <w:tc>
          <w:tcPr>
            <w:tcW w:w="1024" w:type="dxa"/>
            <w:vMerge w:val="continue"/>
            <w:tcBorders>
              <w:tl2br w:val="nil"/>
              <w:tr2bl w:val="nil"/>
            </w:tcBorders>
            <w:shd w:val="clear" w:color="auto" w:fill="FFFFFF" w:themeFill="background1"/>
            <w:vAlign w:val="center"/>
          </w:tcPr>
          <w:p w14:paraId="3EF8A0FC">
            <w:pPr>
              <w:adjustRightInd w:val="0"/>
              <w:snapToGrid w:val="0"/>
              <w:spacing w:line="360" w:lineRule="auto"/>
              <w:jc w:val="center"/>
              <w:rPr>
                <w:rFonts w:ascii="仿宋" w:hAnsi="仿宋" w:eastAsia="仿宋" w:cs="仿宋"/>
                <w:bCs/>
                <w:sz w:val="24"/>
                <w:szCs w:val="24"/>
              </w:rPr>
            </w:pPr>
          </w:p>
        </w:tc>
      </w:tr>
      <w:tr w14:paraId="5CDDCF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72" w:hRule="atLeast"/>
          <w:jc w:val="center"/>
        </w:trPr>
        <w:tc>
          <w:tcPr>
            <w:tcW w:w="2630" w:type="dxa"/>
            <w:tcBorders>
              <w:tl2br w:val="nil"/>
              <w:tr2bl w:val="nil"/>
            </w:tcBorders>
            <w:shd w:val="clear" w:color="auto" w:fill="FFFFFF" w:themeFill="background1"/>
            <w:vAlign w:val="center"/>
          </w:tcPr>
          <w:p w14:paraId="762C5C5E">
            <w:pPr>
              <w:widowControl/>
              <w:jc w:val="center"/>
              <w:textAlignment w:val="center"/>
              <w:rPr>
                <w:rFonts w:ascii="仿宋" w:hAnsi="仿宋" w:eastAsia="仿宋" w:cs="仿宋"/>
                <w:bCs/>
                <w:sz w:val="24"/>
                <w:szCs w:val="24"/>
              </w:rPr>
            </w:pPr>
            <w:r>
              <w:rPr>
                <w:rFonts w:hint="eastAsia" w:ascii="仿宋" w:hAnsi="仿宋" w:eastAsia="仿宋" w:cs="仿宋"/>
                <w:b/>
                <w:bCs/>
                <w:color w:val="000000"/>
                <w:kern w:val="0"/>
                <w:sz w:val="24"/>
                <w:szCs w:val="24"/>
                <w:lang w:bidi="ar"/>
              </w:rPr>
              <w:t>衬衫</w:t>
            </w:r>
          </w:p>
        </w:tc>
        <w:tc>
          <w:tcPr>
            <w:tcW w:w="677" w:type="dxa"/>
            <w:tcBorders>
              <w:tl2br w:val="nil"/>
              <w:tr2bl w:val="nil"/>
            </w:tcBorders>
            <w:shd w:val="clear" w:color="auto" w:fill="FFFFFF" w:themeFill="background1"/>
            <w:vAlign w:val="center"/>
          </w:tcPr>
          <w:p w14:paraId="48B19F75">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件</w:t>
            </w:r>
          </w:p>
        </w:tc>
        <w:tc>
          <w:tcPr>
            <w:tcW w:w="1721" w:type="dxa"/>
            <w:tcBorders>
              <w:tl2br w:val="nil"/>
              <w:tr2bl w:val="nil"/>
            </w:tcBorders>
            <w:shd w:val="clear" w:color="auto" w:fill="FFFFFF" w:themeFill="background1"/>
            <w:vAlign w:val="center"/>
          </w:tcPr>
          <w:p w14:paraId="05D8F0B9">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￥15.0</w:t>
            </w:r>
          </w:p>
        </w:tc>
        <w:tc>
          <w:tcPr>
            <w:tcW w:w="1693" w:type="dxa"/>
            <w:vMerge w:val="continue"/>
            <w:tcBorders>
              <w:tl2br w:val="nil"/>
              <w:tr2bl w:val="nil"/>
            </w:tcBorders>
            <w:shd w:val="clear" w:color="auto" w:fill="FFFFFF" w:themeFill="background1"/>
            <w:vAlign w:val="center"/>
          </w:tcPr>
          <w:p w14:paraId="0B4E7232">
            <w:pPr>
              <w:adjustRightInd w:val="0"/>
              <w:snapToGrid w:val="0"/>
              <w:spacing w:line="360" w:lineRule="auto"/>
              <w:jc w:val="center"/>
              <w:rPr>
                <w:rFonts w:ascii="仿宋" w:hAnsi="仿宋" w:eastAsia="仿宋" w:cs="仿宋"/>
                <w:bCs/>
                <w:sz w:val="24"/>
                <w:szCs w:val="24"/>
              </w:rPr>
            </w:pPr>
          </w:p>
        </w:tc>
        <w:tc>
          <w:tcPr>
            <w:tcW w:w="1305" w:type="dxa"/>
            <w:vMerge w:val="continue"/>
            <w:tcBorders>
              <w:tl2br w:val="nil"/>
              <w:tr2bl w:val="nil"/>
            </w:tcBorders>
            <w:shd w:val="clear" w:color="auto" w:fill="FFFFFF" w:themeFill="background1"/>
            <w:vAlign w:val="center"/>
          </w:tcPr>
          <w:p w14:paraId="17A372F7">
            <w:pPr>
              <w:adjustRightInd w:val="0"/>
              <w:snapToGrid w:val="0"/>
              <w:spacing w:line="360" w:lineRule="auto"/>
              <w:jc w:val="center"/>
              <w:rPr>
                <w:rFonts w:ascii="仿宋" w:hAnsi="仿宋" w:eastAsia="仿宋" w:cs="仿宋"/>
                <w:bCs/>
                <w:sz w:val="24"/>
                <w:szCs w:val="24"/>
              </w:rPr>
            </w:pPr>
          </w:p>
        </w:tc>
        <w:tc>
          <w:tcPr>
            <w:tcW w:w="1024" w:type="dxa"/>
            <w:vMerge w:val="continue"/>
            <w:tcBorders>
              <w:tl2br w:val="nil"/>
              <w:tr2bl w:val="nil"/>
            </w:tcBorders>
            <w:shd w:val="clear" w:color="auto" w:fill="FFFFFF" w:themeFill="background1"/>
            <w:vAlign w:val="center"/>
          </w:tcPr>
          <w:p w14:paraId="772D1273">
            <w:pPr>
              <w:adjustRightInd w:val="0"/>
              <w:snapToGrid w:val="0"/>
              <w:spacing w:line="360" w:lineRule="auto"/>
              <w:jc w:val="center"/>
              <w:rPr>
                <w:rFonts w:ascii="仿宋" w:hAnsi="仿宋" w:eastAsia="仿宋" w:cs="仿宋"/>
                <w:bCs/>
                <w:sz w:val="24"/>
                <w:szCs w:val="24"/>
              </w:rPr>
            </w:pPr>
          </w:p>
        </w:tc>
      </w:tr>
      <w:tr w14:paraId="0F8C89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40" w:hRule="atLeast"/>
          <w:jc w:val="center"/>
        </w:trPr>
        <w:tc>
          <w:tcPr>
            <w:tcW w:w="2630" w:type="dxa"/>
            <w:tcBorders>
              <w:tl2br w:val="nil"/>
              <w:tr2bl w:val="nil"/>
            </w:tcBorders>
            <w:shd w:val="clear" w:color="auto" w:fill="FFFFFF" w:themeFill="background1"/>
            <w:vAlign w:val="center"/>
          </w:tcPr>
          <w:p w14:paraId="1A270C45">
            <w:pPr>
              <w:widowControl/>
              <w:jc w:val="center"/>
              <w:textAlignment w:val="center"/>
              <w:rPr>
                <w:rFonts w:ascii="仿宋" w:hAnsi="仿宋" w:eastAsia="仿宋" w:cs="仿宋"/>
                <w:bCs/>
                <w:sz w:val="24"/>
                <w:szCs w:val="24"/>
              </w:rPr>
            </w:pPr>
            <w:r>
              <w:rPr>
                <w:rFonts w:hint="eastAsia" w:ascii="仿宋" w:hAnsi="仿宋" w:eastAsia="仿宋" w:cs="仿宋"/>
                <w:b/>
                <w:bCs/>
                <w:color w:val="000000"/>
                <w:kern w:val="0"/>
                <w:sz w:val="24"/>
                <w:szCs w:val="24"/>
                <w:lang w:bidi="ar"/>
              </w:rPr>
              <w:t>马甲</w:t>
            </w:r>
          </w:p>
        </w:tc>
        <w:tc>
          <w:tcPr>
            <w:tcW w:w="677" w:type="dxa"/>
            <w:tcBorders>
              <w:tl2br w:val="nil"/>
              <w:tr2bl w:val="nil"/>
            </w:tcBorders>
            <w:shd w:val="clear" w:color="auto" w:fill="FFFFFF" w:themeFill="background1"/>
            <w:vAlign w:val="center"/>
          </w:tcPr>
          <w:p w14:paraId="6CE41332">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件</w:t>
            </w:r>
          </w:p>
        </w:tc>
        <w:tc>
          <w:tcPr>
            <w:tcW w:w="1721" w:type="dxa"/>
            <w:tcBorders>
              <w:tl2br w:val="nil"/>
              <w:tr2bl w:val="nil"/>
            </w:tcBorders>
            <w:shd w:val="clear" w:color="auto" w:fill="FFFFFF" w:themeFill="background1"/>
            <w:vAlign w:val="center"/>
          </w:tcPr>
          <w:p w14:paraId="127C53DE">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￥12.6</w:t>
            </w:r>
          </w:p>
        </w:tc>
        <w:tc>
          <w:tcPr>
            <w:tcW w:w="1693" w:type="dxa"/>
            <w:vMerge w:val="continue"/>
            <w:tcBorders>
              <w:tl2br w:val="nil"/>
              <w:tr2bl w:val="nil"/>
            </w:tcBorders>
            <w:shd w:val="clear" w:color="auto" w:fill="FFFFFF" w:themeFill="background1"/>
            <w:vAlign w:val="center"/>
          </w:tcPr>
          <w:p w14:paraId="2040D963">
            <w:pPr>
              <w:adjustRightInd w:val="0"/>
              <w:snapToGrid w:val="0"/>
              <w:spacing w:line="360" w:lineRule="auto"/>
              <w:jc w:val="center"/>
              <w:rPr>
                <w:rFonts w:ascii="仿宋" w:hAnsi="仿宋" w:eastAsia="仿宋" w:cs="仿宋"/>
                <w:bCs/>
                <w:sz w:val="24"/>
                <w:szCs w:val="24"/>
              </w:rPr>
            </w:pPr>
          </w:p>
        </w:tc>
        <w:tc>
          <w:tcPr>
            <w:tcW w:w="1305" w:type="dxa"/>
            <w:vMerge w:val="continue"/>
            <w:tcBorders>
              <w:tl2br w:val="nil"/>
              <w:tr2bl w:val="nil"/>
            </w:tcBorders>
            <w:shd w:val="clear" w:color="auto" w:fill="FFFFFF" w:themeFill="background1"/>
            <w:vAlign w:val="center"/>
          </w:tcPr>
          <w:p w14:paraId="7A90CA37">
            <w:pPr>
              <w:adjustRightInd w:val="0"/>
              <w:snapToGrid w:val="0"/>
              <w:spacing w:line="360" w:lineRule="auto"/>
              <w:jc w:val="center"/>
              <w:rPr>
                <w:rFonts w:ascii="仿宋" w:hAnsi="仿宋" w:eastAsia="仿宋" w:cs="仿宋"/>
                <w:bCs/>
                <w:sz w:val="24"/>
                <w:szCs w:val="24"/>
              </w:rPr>
            </w:pPr>
          </w:p>
        </w:tc>
        <w:tc>
          <w:tcPr>
            <w:tcW w:w="1024" w:type="dxa"/>
            <w:vMerge w:val="continue"/>
            <w:tcBorders>
              <w:tl2br w:val="nil"/>
              <w:tr2bl w:val="nil"/>
            </w:tcBorders>
            <w:shd w:val="clear" w:color="auto" w:fill="FFFFFF" w:themeFill="background1"/>
            <w:vAlign w:val="center"/>
          </w:tcPr>
          <w:p w14:paraId="262ADE09">
            <w:pPr>
              <w:adjustRightInd w:val="0"/>
              <w:snapToGrid w:val="0"/>
              <w:spacing w:line="360" w:lineRule="auto"/>
              <w:jc w:val="center"/>
              <w:rPr>
                <w:rFonts w:ascii="仿宋" w:hAnsi="仿宋" w:eastAsia="仿宋" w:cs="仿宋"/>
                <w:bCs/>
                <w:sz w:val="24"/>
                <w:szCs w:val="24"/>
              </w:rPr>
            </w:pPr>
          </w:p>
        </w:tc>
      </w:tr>
      <w:tr w14:paraId="3F40E1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4" w:hRule="atLeast"/>
          <w:jc w:val="center"/>
        </w:trPr>
        <w:tc>
          <w:tcPr>
            <w:tcW w:w="2630" w:type="dxa"/>
            <w:tcBorders>
              <w:tl2br w:val="nil"/>
              <w:tr2bl w:val="nil"/>
            </w:tcBorders>
            <w:shd w:val="clear" w:color="auto" w:fill="FFFFFF" w:themeFill="background1"/>
            <w:vAlign w:val="center"/>
          </w:tcPr>
          <w:p w14:paraId="072BC668">
            <w:pPr>
              <w:widowControl/>
              <w:jc w:val="center"/>
              <w:textAlignment w:val="center"/>
              <w:rPr>
                <w:rFonts w:ascii="仿宋" w:hAnsi="仿宋" w:eastAsia="仿宋" w:cs="仿宋"/>
                <w:bCs/>
                <w:sz w:val="24"/>
                <w:szCs w:val="24"/>
              </w:rPr>
            </w:pPr>
            <w:r>
              <w:rPr>
                <w:rFonts w:hint="eastAsia" w:ascii="仿宋" w:hAnsi="仿宋" w:eastAsia="仿宋" w:cs="仿宋"/>
                <w:b/>
                <w:bCs/>
                <w:color w:val="000000"/>
                <w:kern w:val="0"/>
                <w:sz w:val="24"/>
                <w:szCs w:val="24"/>
                <w:lang w:bidi="ar"/>
              </w:rPr>
              <w:t>领带/领花</w:t>
            </w:r>
          </w:p>
        </w:tc>
        <w:tc>
          <w:tcPr>
            <w:tcW w:w="677" w:type="dxa"/>
            <w:tcBorders>
              <w:tl2br w:val="nil"/>
              <w:tr2bl w:val="nil"/>
            </w:tcBorders>
            <w:shd w:val="clear" w:color="auto" w:fill="FFFFFF" w:themeFill="background1"/>
            <w:vAlign w:val="center"/>
          </w:tcPr>
          <w:p w14:paraId="2B7D0162">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条</w:t>
            </w:r>
          </w:p>
        </w:tc>
        <w:tc>
          <w:tcPr>
            <w:tcW w:w="1721" w:type="dxa"/>
            <w:tcBorders>
              <w:tl2br w:val="nil"/>
              <w:tr2bl w:val="nil"/>
            </w:tcBorders>
            <w:shd w:val="clear" w:color="auto" w:fill="FFFFFF" w:themeFill="background1"/>
            <w:vAlign w:val="center"/>
          </w:tcPr>
          <w:p w14:paraId="0F61CAD3">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￥9.0</w:t>
            </w:r>
          </w:p>
        </w:tc>
        <w:tc>
          <w:tcPr>
            <w:tcW w:w="1693" w:type="dxa"/>
            <w:vMerge w:val="continue"/>
            <w:tcBorders>
              <w:tl2br w:val="nil"/>
              <w:tr2bl w:val="nil"/>
            </w:tcBorders>
            <w:shd w:val="clear" w:color="auto" w:fill="FFFFFF" w:themeFill="background1"/>
            <w:vAlign w:val="center"/>
          </w:tcPr>
          <w:p w14:paraId="292D9E9C">
            <w:pPr>
              <w:adjustRightInd w:val="0"/>
              <w:snapToGrid w:val="0"/>
              <w:spacing w:line="360" w:lineRule="auto"/>
              <w:jc w:val="center"/>
              <w:rPr>
                <w:rFonts w:ascii="仿宋" w:hAnsi="仿宋" w:eastAsia="仿宋" w:cs="仿宋"/>
                <w:bCs/>
                <w:sz w:val="24"/>
                <w:szCs w:val="24"/>
              </w:rPr>
            </w:pPr>
          </w:p>
        </w:tc>
        <w:tc>
          <w:tcPr>
            <w:tcW w:w="1305" w:type="dxa"/>
            <w:vMerge w:val="continue"/>
            <w:tcBorders>
              <w:tl2br w:val="nil"/>
              <w:tr2bl w:val="nil"/>
            </w:tcBorders>
            <w:shd w:val="clear" w:color="auto" w:fill="FFFFFF" w:themeFill="background1"/>
            <w:vAlign w:val="center"/>
          </w:tcPr>
          <w:p w14:paraId="529C2D5F">
            <w:pPr>
              <w:adjustRightInd w:val="0"/>
              <w:snapToGrid w:val="0"/>
              <w:spacing w:line="360" w:lineRule="auto"/>
              <w:jc w:val="center"/>
              <w:rPr>
                <w:rFonts w:ascii="仿宋" w:hAnsi="仿宋" w:eastAsia="仿宋" w:cs="仿宋"/>
                <w:bCs/>
                <w:sz w:val="24"/>
                <w:szCs w:val="24"/>
              </w:rPr>
            </w:pPr>
          </w:p>
        </w:tc>
        <w:tc>
          <w:tcPr>
            <w:tcW w:w="1024" w:type="dxa"/>
            <w:vMerge w:val="continue"/>
            <w:tcBorders>
              <w:tl2br w:val="nil"/>
              <w:tr2bl w:val="nil"/>
            </w:tcBorders>
            <w:shd w:val="clear" w:color="auto" w:fill="FFFFFF" w:themeFill="background1"/>
            <w:vAlign w:val="center"/>
          </w:tcPr>
          <w:p w14:paraId="58F4B033">
            <w:pPr>
              <w:adjustRightInd w:val="0"/>
              <w:snapToGrid w:val="0"/>
              <w:spacing w:line="360" w:lineRule="auto"/>
              <w:jc w:val="center"/>
              <w:rPr>
                <w:rFonts w:ascii="仿宋" w:hAnsi="仿宋" w:eastAsia="仿宋" w:cs="仿宋"/>
                <w:bCs/>
                <w:sz w:val="24"/>
                <w:szCs w:val="24"/>
              </w:rPr>
            </w:pPr>
          </w:p>
        </w:tc>
      </w:tr>
      <w:tr w14:paraId="754300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9" w:hRule="atLeast"/>
          <w:jc w:val="center"/>
        </w:trPr>
        <w:tc>
          <w:tcPr>
            <w:tcW w:w="2630" w:type="dxa"/>
            <w:tcBorders>
              <w:tl2br w:val="nil"/>
              <w:tr2bl w:val="nil"/>
            </w:tcBorders>
            <w:shd w:val="clear" w:color="auto" w:fill="FFFFFF" w:themeFill="background1"/>
            <w:vAlign w:val="center"/>
          </w:tcPr>
          <w:p w14:paraId="773F2844">
            <w:pPr>
              <w:widowControl/>
              <w:jc w:val="center"/>
              <w:textAlignment w:val="center"/>
              <w:rPr>
                <w:rFonts w:ascii="仿宋" w:hAnsi="仿宋" w:eastAsia="仿宋" w:cs="仿宋"/>
                <w:bCs/>
                <w:sz w:val="24"/>
                <w:szCs w:val="24"/>
              </w:rPr>
            </w:pPr>
            <w:r>
              <w:rPr>
                <w:rFonts w:hint="eastAsia" w:ascii="仿宋" w:hAnsi="仿宋" w:eastAsia="仿宋" w:cs="仿宋"/>
                <w:b/>
                <w:bCs/>
                <w:color w:val="000000"/>
                <w:kern w:val="0"/>
                <w:sz w:val="24"/>
                <w:szCs w:val="24"/>
                <w:lang w:bidi="ar"/>
              </w:rPr>
              <w:t>毛呢大衣/羊绒大衣</w:t>
            </w:r>
          </w:p>
        </w:tc>
        <w:tc>
          <w:tcPr>
            <w:tcW w:w="677" w:type="dxa"/>
            <w:tcBorders>
              <w:tl2br w:val="nil"/>
              <w:tr2bl w:val="nil"/>
            </w:tcBorders>
            <w:shd w:val="clear" w:color="auto" w:fill="FFFFFF" w:themeFill="background1"/>
            <w:vAlign w:val="center"/>
          </w:tcPr>
          <w:p w14:paraId="4CD887D7">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件</w:t>
            </w:r>
          </w:p>
        </w:tc>
        <w:tc>
          <w:tcPr>
            <w:tcW w:w="1721" w:type="dxa"/>
            <w:tcBorders>
              <w:tl2br w:val="nil"/>
              <w:tr2bl w:val="nil"/>
            </w:tcBorders>
            <w:shd w:val="clear" w:color="auto" w:fill="FFFFFF" w:themeFill="background1"/>
            <w:vAlign w:val="center"/>
          </w:tcPr>
          <w:p w14:paraId="7832504E">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￥36.0</w:t>
            </w:r>
          </w:p>
        </w:tc>
        <w:tc>
          <w:tcPr>
            <w:tcW w:w="1693" w:type="dxa"/>
            <w:vMerge w:val="continue"/>
            <w:tcBorders>
              <w:tl2br w:val="nil"/>
              <w:tr2bl w:val="nil"/>
            </w:tcBorders>
            <w:shd w:val="clear" w:color="auto" w:fill="FFFFFF" w:themeFill="background1"/>
            <w:vAlign w:val="center"/>
          </w:tcPr>
          <w:p w14:paraId="6880AF3E">
            <w:pPr>
              <w:adjustRightInd w:val="0"/>
              <w:snapToGrid w:val="0"/>
              <w:spacing w:line="360" w:lineRule="auto"/>
              <w:jc w:val="center"/>
              <w:rPr>
                <w:rFonts w:ascii="仿宋" w:hAnsi="仿宋" w:eastAsia="仿宋" w:cs="仿宋"/>
                <w:bCs/>
                <w:sz w:val="24"/>
                <w:szCs w:val="24"/>
              </w:rPr>
            </w:pPr>
          </w:p>
        </w:tc>
        <w:tc>
          <w:tcPr>
            <w:tcW w:w="1305" w:type="dxa"/>
            <w:vMerge w:val="continue"/>
            <w:tcBorders>
              <w:tl2br w:val="nil"/>
              <w:tr2bl w:val="nil"/>
            </w:tcBorders>
            <w:shd w:val="clear" w:color="auto" w:fill="FFFFFF" w:themeFill="background1"/>
            <w:vAlign w:val="center"/>
          </w:tcPr>
          <w:p w14:paraId="42AD7DD2">
            <w:pPr>
              <w:adjustRightInd w:val="0"/>
              <w:snapToGrid w:val="0"/>
              <w:spacing w:line="360" w:lineRule="auto"/>
              <w:jc w:val="center"/>
              <w:rPr>
                <w:rFonts w:ascii="仿宋" w:hAnsi="仿宋" w:eastAsia="仿宋" w:cs="仿宋"/>
                <w:bCs/>
                <w:sz w:val="24"/>
                <w:szCs w:val="24"/>
              </w:rPr>
            </w:pPr>
          </w:p>
        </w:tc>
        <w:tc>
          <w:tcPr>
            <w:tcW w:w="1024" w:type="dxa"/>
            <w:vMerge w:val="continue"/>
            <w:tcBorders>
              <w:tl2br w:val="nil"/>
              <w:tr2bl w:val="nil"/>
            </w:tcBorders>
            <w:shd w:val="clear" w:color="auto" w:fill="FFFFFF" w:themeFill="background1"/>
            <w:vAlign w:val="center"/>
          </w:tcPr>
          <w:p w14:paraId="10C27041">
            <w:pPr>
              <w:adjustRightInd w:val="0"/>
              <w:snapToGrid w:val="0"/>
              <w:spacing w:line="360" w:lineRule="auto"/>
              <w:jc w:val="center"/>
              <w:rPr>
                <w:rFonts w:ascii="仿宋" w:hAnsi="仿宋" w:eastAsia="仿宋" w:cs="仿宋"/>
                <w:bCs/>
                <w:sz w:val="24"/>
                <w:szCs w:val="24"/>
              </w:rPr>
            </w:pPr>
          </w:p>
        </w:tc>
      </w:tr>
      <w:tr w14:paraId="5E0A01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3" w:hRule="atLeast"/>
          <w:jc w:val="center"/>
        </w:trPr>
        <w:tc>
          <w:tcPr>
            <w:tcW w:w="2630" w:type="dxa"/>
            <w:tcBorders>
              <w:tl2br w:val="nil"/>
              <w:tr2bl w:val="nil"/>
            </w:tcBorders>
            <w:shd w:val="clear" w:color="auto" w:fill="FFFFFF" w:themeFill="background1"/>
            <w:vAlign w:val="center"/>
          </w:tcPr>
          <w:p w14:paraId="5BED5877">
            <w:pPr>
              <w:widowControl/>
              <w:jc w:val="center"/>
              <w:textAlignment w:val="center"/>
              <w:rPr>
                <w:rFonts w:ascii="仿宋" w:hAnsi="仿宋" w:eastAsia="仿宋" w:cs="仿宋"/>
                <w:bCs/>
                <w:sz w:val="24"/>
                <w:szCs w:val="24"/>
              </w:rPr>
            </w:pPr>
            <w:r>
              <w:rPr>
                <w:rFonts w:hint="eastAsia" w:ascii="仿宋" w:hAnsi="仿宋" w:eastAsia="仿宋" w:cs="仿宋"/>
                <w:b/>
                <w:bCs/>
                <w:color w:val="000000"/>
                <w:kern w:val="0"/>
                <w:sz w:val="24"/>
                <w:szCs w:val="24"/>
                <w:lang w:bidi="ar"/>
              </w:rPr>
              <w:t>羽绒服（短款）</w:t>
            </w:r>
          </w:p>
        </w:tc>
        <w:tc>
          <w:tcPr>
            <w:tcW w:w="677" w:type="dxa"/>
            <w:tcBorders>
              <w:tl2br w:val="nil"/>
              <w:tr2bl w:val="nil"/>
            </w:tcBorders>
            <w:shd w:val="clear" w:color="auto" w:fill="FFFFFF" w:themeFill="background1"/>
            <w:vAlign w:val="center"/>
          </w:tcPr>
          <w:p w14:paraId="689C76CF">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件</w:t>
            </w:r>
          </w:p>
        </w:tc>
        <w:tc>
          <w:tcPr>
            <w:tcW w:w="1721" w:type="dxa"/>
            <w:tcBorders>
              <w:tl2br w:val="nil"/>
              <w:tr2bl w:val="nil"/>
            </w:tcBorders>
            <w:shd w:val="clear" w:color="auto" w:fill="FFFFFF" w:themeFill="background1"/>
            <w:vAlign w:val="center"/>
          </w:tcPr>
          <w:p w14:paraId="430930AA">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 xml:space="preserve">￥36.0 </w:t>
            </w:r>
          </w:p>
        </w:tc>
        <w:tc>
          <w:tcPr>
            <w:tcW w:w="1693" w:type="dxa"/>
            <w:vMerge w:val="continue"/>
            <w:tcBorders>
              <w:tl2br w:val="nil"/>
              <w:tr2bl w:val="nil"/>
            </w:tcBorders>
            <w:shd w:val="clear" w:color="auto" w:fill="FFFFFF" w:themeFill="background1"/>
            <w:vAlign w:val="center"/>
          </w:tcPr>
          <w:p w14:paraId="3559F792">
            <w:pPr>
              <w:adjustRightInd w:val="0"/>
              <w:snapToGrid w:val="0"/>
              <w:spacing w:line="360" w:lineRule="auto"/>
              <w:jc w:val="center"/>
              <w:rPr>
                <w:rFonts w:ascii="仿宋" w:hAnsi="仿宋" w:eastAsia="仿宋" w:cs="仿宋"/>
                <w:bCs/>
                <w:sz w:val="24"/>
                <w:szCs w:val="24"/>
              </w:rPr>
            </w:pPr>
          </w:p>
        </w:tc>
        <w:tc>
          <w:tcPr>
            <w:tcW w:w="1305" w:type="dxa"/>
            <w:vMerge w:val="continue"/>
            <w:tcBorders>
              <w:tl2br w:val="nil"/>
              <w:tr2bl w:val="nil"/>
            </w:tcBorders>
            <w:shd w:val="clear" w:color="auto" w:fill="FFFFFF" w:themeFill="background1"/>
            <w:vAlign w:val="center"/>
          </w:tcPr>
          <w:p w14:paraId="7DD6F0CC">
            <w:pPr>
              <w:adjustRightInd w:val="0"/>
              <w:snapToGrid w:val="0"/>
              <w:spacing w:line="360" w:lineRule="auto"/>
              <w:jc w:val="center"/>
              <w:rPr>
                <w:rFonts w:ascii="仿宋" w:hAnsi="仿宋" w:eastAsia="仿宋" w:cs="仿宋"/>
                <w:bCs/>
                <w:sz w:val="24"/>
                <w:szCs w:val="24"/>
              </w:rPr>
            </w:pPr>
          </w:p>
        </w:tc>
        <w:tc>
          <w:tcPr>
            <w:tcW w:w="1024" w:type="dxa"/>
            <w:vMerge w:val="continue"/>
            <w:tcBorders>
              <w:tl2br w:val="nil"/>
              <w:tr2bl w:val="nil"/>
            </w:tcBorders>
            <w:shd w:val="clear" w:color="auto" w:fill="FFFFFF" w:themeFill="background1"/>
            <w:vAlign w:val="center"/>
          </w:tcPr>
          <w:p w14:paraId="405C3B76">
            <w:pPr>
              <w:adjustRightInd w:val="0"/>
              <w:snapToGrid w:val="0"/>
              <w:spacing w:line="360" w:lineRule="auto"/>
              <w:jc w:val="center"/>
              <w:rPr>
                <w:rFonts w:ascii="仿宋" w:hAnsi="仿宋" w:eastAsia="仿宋" w:cs="仿宋"/>
                <w:bCs/>
                <w:sz w:val="24"/>
                <w:szCs w:val="24"/>
              </w:rPr>
            </w:pPr>
          </w:p>
        </w:tc>
      </w:tr>
      <w:tr w14:paraId="6CEA79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3" w:hRule="atLeast"/>
          <w:jc w:val="center"/>
        </w:trPr>
        <w:tc>
          <w:tcPr>
            <w:tcW w:w="2630" w:type="dxa"/>
            <w:tcBorders>
              <w:tl2br w:val="nil"/>
              <w:tr2bl w:val="nil"/>
            </w:tcBorders>
            <w:shd w:val="clear" w:color="auto" w:fill="FFFFFF" w:themeFill="background1"/>
            <w:vAlign w:val="center"/>
          </w:tcPr>
          <w:p w14:paraId="1495438B">
            <w:pPr>
              <w:widowControl/>
              <w:jc w:val="center"/>
              <w:textAlignment w:val="center"/>
              <w:rPr>
                <w:rFonts w:ascii="仿宋" w:hAnsi="仿宋" w:eastAsia="仿宋" w:cs="仿宋"/>
                <w:bCs/>
                <w:sz w:val="24"/>
                <w:szCs w:val="24"/>
              </w:rPr>
            </w:pPr>
            <w:r>
              <w:rPr>
                <w:rFonts w:hint="eastAsia" w:ascii="仿宋" w:hAnsi="仿宋" w:eastAsia="仿宋" w:cs="仿宋"/>
                <w:b/>
                <w:bCs/>
                <w:color w:val="000000"/>
                <w:kern w:val="0"/>
                <w:sz w:val="24"/>
                <w:szCs w:val="24"/>
                <w:lang w:bidi="ar"/>
              </w:rPr>
              <w:t>羽绒服（长款）</w:t>
            </w:r>
          </w:p>
        </w:tc>
        <w:tc>
          <w:tcPr>
            <w:tcW w:w="677" w:type="dxa"/>
            <w:tcBorders>
              <w:tl2br w:val="nil"/>
              <w:tr2bl w:val="nil"/>
            </w:tcBorders>
            <w:shd w:val="clear" w:color="auto" w:fill="FFFFFF" w:themeFill="background1"/>
            <w:vAlign w:val="center"/>
          </w:tcPr>
          <w:p w14:paraId="5FC88D85">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件</w:t>
            </w:r>
          </w:p>
        </w:tc>
        <w:tc>
          <w:tcPr>
            <w:tcW w:w="1721" w:type="dxa"/>
            <w:tcBorders>
              <w:tl2br w:val="nil"/>
              <w:tr2bl w:val="nil"/>
            </w:tcBorders>
            <w:shd w:val="clear" w:color="auto" w:fill="FFFFFF" w:themeFill="background1"/>
            <w:vAlign w:val="center"/>
          </w:tcPr>
          <w:p w14:paraId="070FE7D6">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￥67.5</w:t>
            </w:r>
          </w:p>
        </w:tc>
        <w:tc>
          <w:tcPr>
            <w:tcW w:w="1693" w:type="dxa"/>
            <w:vMerge w:val="continue"/>
            <w:tcBorders>
              <w:tl2br w:val="nil"/>
              <w:tr2bl w:val="nil"/>
            </w:tcBorders>
            <w:shd w:val="clear" w:color="auto" w:fill="FFFFFF" w:themeFill="background1"/>
            <w:vAlign w:val="center"/>
          </w:tcPr>
          <w:p w14:paraId="3A5E3812">
            <w:pPr>
              <w:adjustRightInd w:val="0"/>
              <w:snapToGrid w:val="0"/>
              <w:spacing w:line="360" w:lineRule="auto"/>
              <w:jc w:val="center"/>
              <w:rPr>
                <w:rFonts w:ascii="仿宋" w:hAnsi="仿宋" w:eastAsia="仿宋" w:cs="仿宋"/>
                <w:bCs/>
                <w:sz w:val="24"/>
                <w:szCs w:val="24"/>
              </w:rPr>
            </w:pPr>
          </w:p>
        </w:tc>
        <w:tc>
          <w:tcPr>
            <w:tcW w:w="1305" w:type="dxa"/>
            <w:vMerge w:val="continue"/>
            <w:tcBorders>
              <w:tl2br w:val="nil"/>
              <w:tr2bl w:val="nil"/>
            </w:tcBorders>
            <w:shd w:val="clear" w:color="auto" w:fill="FFFFFF" w:themeFill="background1"/>
            <w:vAlign w:val="center"/>
          </w:tcPr>
          <w:p w14:paraId="32EFDE2C">
            <w:pPr>
              <w:adjustRightInd w:val="0"/>
              <w:snapToGrid w:val="0"/>
              <w:spacing w:line="360" w:lineRule="auto"/>
              <w:jc w:val="center"/>
              <w:rPr>
                <w:rFonts w:ascii="仿宋" w:hAnsi="仿宋" w:eastAsia="仿宋" w:cs="仿宋"/>
                <w:bCs/>
                <w:sz w:val="24"/>
                <w:szCs w:val="24"/>
              </w:rPr>
            </w:pPr>
          </w:p>
        </w:tc>
        <w:tc>
          <w:tcPr>
            <w:tcW w:w="1024" w:type="dxa"/>
            <w:vMerge w:val="continue"/>
            <w:tcBorders>
              <w:tl2br w:val="nil"/>
              <w:tr2bl w:val="nil"/>
            </w:tcBorders>
            <w:shd w:val="clear" w:color="auto" w:fill="FFFFFF" w:themeFill="background1"/>
            <w:vAlign w:val="center"/>
          </w:tcPr>
          <w:p w14:paraId="3DD986C3">
            <w:pPr>
              <w:adjustRightInd w:val="0"/>
              <w:snapToGrid w:val="0"/>
              <w:spacing w:line="360" w:lineRule="auto"/>
              <w:jc w:val="center"/>
              <w:rPr>
                <w:rFonts w:ascii="仿宋" w:hAnsi="仿宋" w:eastAsia="仿宋" w:cs="仿宋"/>
                <w:bCs/>
                <w:sz w:val="24"/>
                <w:szCs w:val="24"/>
              </w:rPr>
            </w:pPr>
          </w:p>
        </w:tc>
      </w:tr>
      <w:tr w14:paraId="7E9CDE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3" w:hRule="atLeast"/>
          <w:jc w:val="center"/>
        </w:trPr>
        <w:tc>
          <w:tcPr>
            <w:tcW w:w="2630" w:type="dxa"/>
            <w:tcBorders>
              <w:tl2br w:val="nil"/>
              <w:tr2bl w:val="nil"/>
            </w:tcBorders>
            <w:shd w:val="clear" w:color="auto" w:fill="FFFFFF" w:themeFill="background1"/>
            <w:vAlign w:val="center"/>
          </w:tcPr>
          <w:p w14:paraId="26DD5DD0">
            <w:pPr>
              <w:widowControl/>
              <w:jc w:val="center"/>
              <w:textAlignment w:val="center"/>
              <w:rPr>
                <w:rFonts w:ascii="仿宋" w:hAnsi="仿宋" w:eastAsia="仿宋" w:cs="仿宋"/>
                <w:bCs/>
                <w:sz w:val="24"/>
                <w:szCs w:val="24"/>
              </w:rPr>
            </w:pPr>
            <w:r>
              <w:rPr>
                <w:rFonts w:hint="eastAsia" w:ascii="仿宋" w:hAnsi="仿宋" w:eastAsia="仿宋" w:cs="仿宋"/>
                <w:b/>
                <w:bCs/>
                <w:color w:val="000000"/>
                <w:kern w:val="0"/>
                <w:sz w:val="24"/>
                <w:szCs w:val="24"/>
                <w:lang w:bidi="ar"/>
              </w:rPr>
              <w:t>连衣裙</w:t>
            </w:r>
          </w:p>
        </w:tc>
        <w:tc>
          <w:tcPr>
            <w:tcW w:w="677" w:type="dxa"/>
            <w:tcBorders>
              <w:tl2br w:val="nil"/>
              <w:tr2bl w:val="nil"/>
            </w:tcBorders>
            <w:shd w:val="clear" w:color="auto" w:fill="FFFFFF" w:themeFill="background1"/>
            <w:vAlign w:val="center"/>
          </w:tcPr>
          <w:p w14:paraId="4B308BBA">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条</w:t>
            </w:r>
          </w:p>
        </w:tc>
        <w:tc>
          <w:tcPr>
            <w:tcW w:w="1721" w:type="dxa"/>
            <w:tcBorders>
              <w:tl2br w:val="nil"/>
              <w:tr2bl w:val="nil"/>
            </w:tcBorders>
            <w:shd w:val="clear" w:color="auto" w:fill="FFFFFF" w:themeFill="background1"/>
            <w:vAlign w:val="center"/>
          </w:tcPr>
          <w:p w14:paraId="6D802898">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 xml:space="preserve">￥33.0 </w:t>
            </w:r>
          </w:p>
        </w:tc>
        <w:tc>
          <w:tcPr>
            <w:tcW w:w="1693" w:type="dxa"/>
            <w:vMerge w:val="continue"/>
            <w:tcBorders>
              <w:tl2br w:val="nil"/>
              <w:tr2bl w:val="nil"/>
            </w:tcBorders>
            <w:shd w:val="clear" w:color="auto" w:fill="FFFFFF" w:themeFill="background1"/>
            <w:vAlign w:val="center"/>
          </w:tcPr>
          <w:p w14:paraId="2FFD8B62">
            <w:pPr>
              <w:adjustRightInd w:val="0"/>
              <w:snapToGrid w:val="0"/>
              <w:spacing w:line="360" w:lineRule="auto"/>
              <w:jc w:val="center"/>
              <w:rPr>
                <w:rFonts w:ascii="仿宋" w:hAnsi="仿宋" w:eastAsia="仿宋" w:cs="仿宋"/>
                <w:bCs/>
                <w:sz w:val="24"/>
                <w:szCs w:val="24"/>
              </w:rPr>
            </w:pPr>
          </w:p>
        </w:tc>
        <w:tc>
          <w:tcPr>
            <w:tcW w:w="1305" w:type="dxa"/>
            <w:vMerge w:val="continue"/>
            <w:tcBorders>
              <w:tl2br w:val="nil"/>
              <w:tr2bl w:val="nil"/>
            </w:tcBorders>
            <w:shd w:val="clear" w:color="auto" w:fill="FFFFFF" w:themeFill="background1"/>
            <w:vAlign w:val="center"/>
          </w:tcPr>
          <w:p w14:paraId="45DC24C2">
            <w:pPr>
              <w:adjustRightInd w:val="0"/>
              <w:snapToGrid w:val="0"/>
              <w:spacing w:line="360" w:lineRule="auto"/>
              <w:jc w:val="center"/>
              <w:rPr>
                <w:rFonts w:ascii="仿宋" w:hAnsi="仿宋" w:eastAsia="仿宋" w:cs="仿宋"/>
                <w:bCs/>
                <w:sz w:val="24"/>
                <w:szCs w:val="24"/>
              </w:rPr>
            </w:pPr>
          </w:p>
        </w:tc>
        <w:tc>
          <w:tcPr>
            <w:tcW w:w="1024" w:type="dxa"/>
            <w:vMerge w:val="continue"/>
            <w:tcBorders>
              <w:tl2br w:val="nil"/>
              <w:tr2bl w:val="nil"/>
            </w:tcBorders>
            <w:shd w:val="clear" w:color="auto" w:fill="FFFFFF" w:themeFill="background1"/>
            <w:vAlign w:val="center"/>
          </w:tcPr>
          <w:p w14:paraId="6FAF4CA4">
            <w:pPr>
              <w:adjustRightInd w:val="0"/>
              <w:snapToGrid w:val="0"/>
              <w:spacing w:line="360" w:lineRule="auto"/>
              <w:jc w:val="center"/>
              <w:rPr>
                <w:rFonts w:ascii="仿宋" w:hAnsi="仿宋" w:eastAsia="仿宋" w:cs="仿宋"/>
                <w:bCs/>
                <w:sz w:val="24"/>
                <w:szCs w:val="24"/>
              </w:rPr>
            </w:pPr>
          </w:p>
        </w:tc>
      </w:tr>
      <w:tr w14:paraId="5E702B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3" w:hRule="atLeast"/>
          <w:jc w:val="center"/>
        </w:trPr>
        <w:tc>
          <w:tcPr>
            <w:tcW w:w="2630" w:type="dxa"/>
            <w:tcBorders>
              <w:tl2br w:val="nil"/>
              <w:tr2bl w:val="nil"/>
            </w:tcBorders>
            <w:shd w:val="clear" w:color="auto" w:fill="FFFFFF" w:themeFill="background1"/>
            <w:vAlign w:val="center"/>
          </w:tcPr>
          <w:p w14:paraId="62E1F159">
            <w:pPr>
              <w:widowControl/>
              <w:jc w:val="center"/>
              <w:textAlignment w:val="center"/>
              <w:rPr>
                <w:rFonts w:ascii="仿宋" w:hAnsi="仿宋" w:eastAsia="仿宋" w:cs="仿宋"/>
                <w:bCs/>
                <w:sz w:val="24"/>
                <w:szCs w:val="24"/>
              </w:rPr>
            </w:pPr>
            <w:r>
              <w:rPr>
                <w:rFonts w:hint="eastAsia" w:ascii="仿宋" w:hAnsi="仿宋" w:eastAsia="仿宋" w:cs="仿宋"/>
                <w:b/>
                <w:bCs/>
                <w:color w:val="000000"/>
                <w:kern w:val="0"/>
                <w:sz w:val="24"/>
                <w:szCs w:val="24"/>
                <w:lang w:bidi="ar"/>
              </w:rPr>
              <w:t>羊毛背心</w:t>
            </w:r>
          </w:p>
        </w:tc>
        <w:tc>
          <w:tcPr>
            <w:tcW w:w="677" w:type="dxa"/>
            <w:tcBorders>
              <w:tl2br w:val="nil"/>
              <w:tr2bl w:val="nil"/>
            </w:tcBorders>
            <w:shd w:val="clear" w:color="auto" w:fill="FFFFFF" w:themeFill="background1"/>
            <w:vAlign w:val="center"/>
          </w:tcPr>
          <w:p w14:paraId="577B8920">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条</w:t>
            </w:r>
          </w:p>
        </w:tc>
        <w:tc>
          <w:tcPr>
            <w:tcW w:w="1721" w:type="dxa"/>
            <w:tcBorders>
              <w:tl2br w:val="nil"/>
              <w:tr2bl w:val="nil"/>
            </w:tcBorders>
            <w:shd w:val="clear" w:color="auto" w:fill="FFFFFF" w:themeFill="background1"/>
            <w:vAlign w:val="center"/>
          </w:tcPr>
          <w:p w14:paraId="0880B096">
            <w:pPr>
              <w:widowControl/>
              <w:jc w:val="center"/>
              <w:textAlignment w:val="center"/>
              <w:rPr>
                <w:rFonts w:ascii="仿宋" w:hAnsi="仿宋" w:eastAsia="仿宋" w:cs="仿宋"/>
                <w:b/>
                <w:bCs/>
                <w:sz w:val="24"/>
                <w:szCs w:val="24"/>
              </w:rPr>
            </w:pPr>
            <w:r>
              <w:rPr>
                <w:rFonts w:hint="eastAsia" w:ascii="仿宋" w:hAnsi="仿宋" w:eastAsia="仿宋" w:cs="仿宋"/>
                <w:b/>
                <w:bCs/>
                <w:color w:val="000000"/>
                <w:kern w:val="0"/>
                <w:sz w:val="24"/>
                <w:szCs w:val="24"/>
                <w:lang w:bidi="ar"/>
              </w:rPr>
              <w:t xml:space="preserve">￥25.0 </w:t>
            </w:r>
          </w:p>
        </w:tc>
        <w:tc>
          <w:tcPr>
            <w:tcW w:w="1693" w:type="dxa"/>
            <w:vMerge w:val="continue"/>
            <w:tcBorders>
              <w:tl2br w:val="nil"/>
              <w:tr2bl w:val="nil"/>
            </w:tcBorders>
            <w:shd w:val="clear" w:color="auto" w:fill="FFFFFF" w:themeFill="background1"/>
            <w:vAlign w:val="center"/>
          </w:tcPr>
          <w:p w14:paraId="597DA4A7">
            <w:pPr>
              <w:adjustRightInd w:val="0"/>
              <w:snapToGrid w:val="0"/>
              <w:spacing w:line="360" w:lineRule="auto"/>
              <w:jc w:val="center"/>
              <w:rPr>
                <w:rFonts w:ascii="仿宋" w:hAnsi="仿宋" w:eastAsia="仿宋" w:cs="仿宋"/>
                <w:bCs/>
                <w:sz w:val="24"/>
                <w:szCs w:val="24"/>
              </w:rPr>
            </w:pPr>
          </w:p>
        </w:tc>
        <w:tc>
          <w:tcPr>
            <w:tcW w:w="1305" w:type="dxa"/>
            <w:vMerge w:val="continue"/>
            <w:tcBorders>
              <w:tl2br w:val="nil"/>
              <w:tr2bl w:val="nil"/>
            </w:tcBorders>
            <w:shd w:val="clear" w:color="auto" w:fill="FFFFFF" w:themeFill="background1"/>
            <w:vAlign w:val="center"/>
          </w:tcPr>
          <w:p w14:paraId="0C7642DD">
            <w:pPr>
              <w:adjustRightInd w:val="0"/>
              <w:snapToGrid w:val="0"/>
              <w:spacing w:line="360" w:lineRule="auto"/>
              <w:jc w:val="center"/>
              <w:rPr>
                <w:rFonts w:ascii="仿宋" w:hAnsi="仿宋" w:eastAsia="仿宋" w:cs="仿宋"/>
                <w:bCs/>
                <w:sz w:val="24"/>
                <w:szCs w:val="24"/>
              </w:rPr>
            </w:pPr>
          </w:p>
        </w:tc>
        <w:tc>
          <w:tcPr>
            <w:tcW w:w="1024" w:type="dxa"/>
            <w:vMerge w:val="continue"/>
            <w:tcBorders>
              <w:tl2br w:val="nil"/>
              <w:tr2bl w:val="nil"/>
            </w:tcBorders>
            <w:shd w:val="clear" w:color="auto" w:fill="FFFFFF" w:themeFill="background1"/>
            <w:vAlign w:val="center"/>
          </w:tcPr>
          <w:p w14:paraId="4E9242DC">
            <w:pPr>
              <w:adjustRightInd w:val="0"/>
              <w:snapToGrid w:val="0"/>
              <w:spacing w:line="360" w:lineRule="auto"/>
              <w:jc w:val="center"/>
              <w:rPr>
                <w:rFonts w:ascii="仿宋" w:hAnsi="仿宋" w:eastAsia="仿宋" w:cs="仿宋"/>
                <w:bCs/>
                <w:sz w:val="24"/>
                <w:szCs w:val="24"/>
              </w:rPr>
            </w:pPr>
          </w:p>
        </w:tc>
      </w:tr>
      <w:tr w14:paraId="4373AE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3" w:hRule="atLeast"/>
          <w:jc w:val="center"/>
        </w:trPr>
        <w:tc>
          <w:tcPr>
            <w:tcW w:w="2630" w:type="dxa"/>
            <w:tcBorders>
              <w:tl2br w:val="nil"/>
              <w:tr2bl w:val="nil"/>
            </w:tcBorders>
            <w:shd w:val="clear" w:color="auto" w:fill="FFFFFF" w:themeFill="background1"/>
            <w:vAlign w:val="center"/>
          </w:tcPr>
          <w:p w14:paraId="67186E38">
            <w:pPr>
              <w:widowControl/>
              <w:jc w:val="center"/>
              <w:textAlignment w:val="center"/>
              <w:rPr>
                <w:rFonts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非常规类</w:t>
            </w:r>
          </w:p>
        </w:tc>
        <w:tc>
          <w:tcPr>
            <w:tcW w:w="677" w:type="dxa"/>
            <w:tcBorders>
              <w:tl2br w:val="nil"/>
              <w:tr2bl w:val="nil"/>
            </w:tcBorders>
            <w:shd w:val="clear" w:color="auto" w:fill="FFFFFF" w:themeFill="background1"/>
            <w:vAlign w:val="center"/>
          </w:tcPr>
          <w:p w14:paraId="5C61C8DE">
            <w:pPr>
              <w:widowControl/>
              <w:jc w:val="center"/>
              <w:textAlignment w:val="center"/>
              <w:rPr>
                <w:rFonts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w:t>
            </w:r>
          </w:p>
        </w:tc>
        <w:tc>
          <w:tcPr>
            <w:tcW w:w="1721" w:type="dxa"/>
            <w:tcBorders>
              <w:tl2br w:val="nil"/>
              <w:tr2bl w:val="nil"/>
            </w:tcBorders>
            <w:shd w:val="clear" w:color="auto" w:fill="FFFFFF" w:themeFill="background1"/>
            <w:vAlign w:val="center"/>
          </w:tcPr>
          <w:p w14:paraId="0048808D">
            <w:pPr>
              <w:adjustRightInd w:val="0"/>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按照投标人对外公示价格</w:t>
            </w:r>
          </w:p>
        </w:tc>
        <w:tc>
          <w:tcPr>
            <w:tcW w:w="1693" w:type="dxa"/>
            <w:vMerge w:val="continue"/>
            <w:tcBorders>
              <w:tl2br w:val="nil"/>
              <w:tr2bl w:val="nil"/>
            </w:tcBorders>
            <w:shd w:val="clear" w:color="auto" w:fill="FFFFFF" w:themeFill="background1"/>
            <w:vAlign w:val="center"/>
          </w:tcPr>
          <w:p w14:paraId="2092BC46">
            <w:pPr>
              <w:adjustRightInd w:val="0"/>
              <w:snapToGrid w:val="0"/>
              <w:spacing w:line="360" w:lineRule="auto"/>
              <w:jc w:val="center"/>
              <w:rPr>
                <w:rFonts w:ascii="仿宋" w:hAnsi="仿宋" w:eastAsia="仿宋" w:cs="仿宋"/>
                <w:bCs/>
                <w:sz w:val="24"/>
                <w:szCs w:val="24"/>
              </w:rPr>
            </w:pPr>
          </w:p>
        </w:tc>
        <w:tc>
          <w:tcPr>
            <w:tcW w:w="1305" w:type="dxa"/>
            <w:vMerge w:val="continue"/>
            <w:tcBorders>
              <w:tl2br w:val="nil"/>
              <w:tr2bl w:val="nil"/>
            </w:tcBorders>
            <w:shd w:val="clear" w:color="auto" w:fill="FFFFFF" w:themeFill="background1"/>
            <w:vAlign w:val="center"/>
          </w:tcPr>
          <w:p w14:paraId="5CBA56DC">
            <w:pPr>
              <w:adjustRightInd w:val="0"/>
              <w:snapToGrid w:val="0"/>
              <w:spacing w:line="360" w:lineRule="auto"/>
              <w:jc w:val="center"/>
              <w:rPr>
                <w:rFonts w:ascii="仿宋" w:hAnsi="仿宋" w:eastAsia="仿宋" w:cs="仿宋"/>
                <w:bCs/>
                <w:sz w:val="24"/>
                <w:szCs w:val="24"/>
              </w:rPr>
            </w:pPr>
          </w:p>
        </w:tc>
        <w:tc>
          <w:tcPr>
            <w:tcW w:w="1024" w:type="dxa"/>
            <w:vMerge w:val="continue"/>
            <w:tcBorders>
              <w:tl2br w:val="nil"/>
              <w:tr2bl w:val="nil"/>
            </w:tcBorders>
            <w:shd w:val="clear" w:color="auto" w:fill="FFFFFF" w:themeFill="background1"/>
            <w:vAlign w:val="center"/>
          </w:tcPr>
          <w:p w14:paraId="71416E73">
            <w:pPr>
              <w:adjustRightInd w:val="0"/>
              <w:snapToGrid w:val="0"/>
              <w:spacing w:line="360" w:lineRule="auto"/>
              <w:jc w:val="center"/>
              <w:rPr>
                <w:rFonts w:ascii="仿宋" w:hAnsi="仿宋" w:eastAsia="仿宋" w:cs="仿宋"/>
                <w:bCs/>
                <w:sz w:val="24"/>
                <w:szCs w:val="24"/>
              </w:rPr>
            </w:pPr>
          </w:p>
        </w:tc>
      </w:tr>
    </w:tbl>
    <w:p w14:paraId="7995C335">
      <w:pPr>
        <w:snapToGrid w:val="0"/>
        <w:spacing w:line="360" w:lineRule="auto"/>
        <w:jc w:val="left"/>
        <w:rPr>
          <w:rFonts w:ascii="仿宋" w:hAnsi="仿宋" w:eastAsia="仿宋" w:cs="仿宋"/>
          <w:b/>
          <w:sz w:val="24"/>
          <w:szCs w:val="24"/>
        </w:rPr>
      </w:pPr>
      <w:r>
        <w:rPr>
          <w:rFonts w:hint="eastAsia" w:ascii="仿宋" w:hAnsi="仿宋" w:eastAsia="仿宋" w:cs="仿宋"/>
          <w:b/>
          <w:sz w:val="24"/>
          <w:szCs w:val="24"/>
        </w:rPr>
        <w:t>备注：</w:t>
      </w:r>
    </w:p>
    <w:p w14:paraId="34DC01D6">
      <w:pPr>
        <w:pStyle w:val="91"/>
        <w:numPr>
          <w:ilvl w:val="0"/>
          <w:numId w:val="7"/>
        </w:numPr>
        <w:snapToGrid w:val="0"/>
        <w:spacing w:line="360" w:lineRule="auto"/>
        <w:ind w:firstLine="0" w:firstLineChars="0"/>
        <w:jc w:val="left"/>
        <w:rPr>
          <w:rFonts w:ascii="仿宋" w:hAnsi="仿宋" w:eastAsia="仿宋" w:cs="仿宋"/>
          <w:b/>
          <w:sz w:val="24"/>
        </w:rPr>
      </w:pPr>
      <w:r>
        <w:rPr>
          <w:rFonts w:hint="eastAsia" w:ascii="仿宋" w:hAnsi="仿宋" w:eastAsia="仿宋" w:cs="仿宋"/>
          <w:b/>
          <w:sz w:val="24"/>
        </w:rPr>
        <w:t>本次报价精确到小数点后一位（四舍五入），投标报价不能超过最高限价。</w:t>
      </w:r>
    </w:p>
    <w:p w14:paraId="4E7D6CA4">
      <w:pPr>
        <w:pStyle w:val="91"/>
        <w:numPr>
          <w:ilvl w:val="0"/>
          <w:numId w:val="7"/>
        </w:numPr>
        <w:snapToGrid w:val="0"/>
        <w:spacing w:line="360" w:lineRule="auto"/>
        <w:ind w:firstLine="0" w:firstLineChars="0"/>
        <w:jc w:val="left"/>
        <w:rPr>
          <w:rFonts w:ascii="仿宋" w:hAnsi="仿宋" w:eastAsia="仿宋" w:cs="仿宋"/>
          <w:b/>
          <w:sz w:val="24"/>
        </w:rPr>
      </w:pPr>
      <w:r>
        <w:rPr>
          <w:rFonts w:hint="eastAsia" w:ascii="仿宋" w:hAnsi="仿宋" w:eastAsia="仿宋" w:cs="仿宋"/>
          <w:b/>
          <w:bCs/>
          <w:kern w:val="0"/>
          <w:sz w:val="24"/>
          <w:lang w:bidi="ar"/>
        </w:rPr>
        <w:t>衣物类别（常规品类）和</w:t>
      </w:r>
      <w:r>
        <w:rPr>
          <w:rFonts w:hint="eastAsia" w:ascii="仿宋" w:hAnsi="仿宋" w:eastAsia="仿宋" w:cs="仿宋"/>
          <w:b/>
          <w:sz w:val="24"/>
        </w:rPr>
        <w:t>其他品类（非常规类）均按照统一折扣率打折。其他品类（非常规类）指投标人在门店公示的价格的基础上打折，如“单肩包”属于“其他品类”，投标人在门店公示的价格为100元，投标报价折扣率为“40.0%”，则结算价格为100元*40.0%=40元。</w:t>
      </w:r>
    </w:p>
    <w:p w14:paraId="7226BC6A">
      <w:pPr>
        <w:pStyle w:val="91"/>
        <w:numPr>
          <w:ilvl w:val="0"/>
          <w:numId w:val="7"/>
        </w:numPr>
        <w:snapToGrid w:val="0"/>
        <w:spacing w:line="360" w:lineRule="auto"/>
        <w:ind w:firstLine="0" w:firstLineChars="0"/>
        <w:jc w:val="left"/>
        <w:rPr>
          <w:rFonts w:ascii="仿宋" w:hAnsi="仿宋" w:eastAsia="仿宋" w:cs="仿宋"/>
          <w:sz w:val="24"/>
        </w:rPr>
      </w:pPr>
      <w:r>
        <w:rPr>
          <w:rFonts w:hint="eastAsia" w:ascii="仿宋" w:hAnsi="仿宋" w:eastAsia="仿宋" w:cs="仿宋"/>
          <w:b/>
          <w:sz w:val="24"/>
        </w:rPr>
        <w:t>含税价=不含税价*（1+税率），若报价与此公式不符，增值税普通发票以含税价进行修正。后续如因国家税率调整，普票以含税价不变进行调整。</w:t>
      </w:r>
    </w:p>
    <w:p w14:paraId="4C531F2B">
      <w:pPr>
        <w:pStyle w:val="10"/>
        <w:spacing w:line="360" w:lineRule="auto"/>
        <w:rPr>
          <w:rFonts w:ascii="仿宋" w:hAnsi="仿宋" w:eastAsia="仿宋" w:cs="仿宋"/>
          <w:sz w:val="24"/>
          <w:szCs w:val="24"/>
        </w:rPr>
      </w:pPr>
    </w:p>
    <w:p w14:paraId="6E14D224">
      <w:pPr>
        <w:numPr>
          <w:ilvl w:val="0"/>
          <w:numId w:val="8"/>
        </w:numPr>
        <w:spacing w:line="360" w:lineRule="auto"/>
        <w:jc w:val="right"/>
        <w:rPr>
          <w:rFonts w:ascii="仿宋" w:hAnsi="仿宋" w:eastAsia="仿宋" w:cs="仿宋"/>
          <w:sz w:val="24"/>
          <w:szCs w:val="24"/>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5A1DDBC9">
      <w:pPr>
        <w:numPr>
          <w:ilvl w:val="0"/>
          <w:numId w:val="8"/>
        </w:numPr>
        <w:spacing w:line="360" w:lineRule="auto"/>
        <w:jc w:val="right"/>
        <w:rPr>
          <w:rFonts w:ascii="仿宋" w:hAnsi="仿宋" w:eastAsia="仿宋" w:cs="仿宋"/>
          <w:sz w:val="24"/>
          <w:szCs w:val="24"/>
        </w:rPr>
      </w:pPr>
      <w:r>
        <w:rPr>
          <w:rFonts w:hint="eastAsia" w:ascii="仿宋" w:hAnsi="仿宋" w:eastAsia="仿宋" w:cs="仿宋"/>
          <w:sz w:val="24"/>
          <w:szCs w:val="24"/>
        </w:rPr>
        <w:t>法定代表人或其授权代理人：</w:t>
      </w:r>
      <w:r>
        <w:rPr>
          <w:rFonts w:hint="eastAsia" w:ascii="仿宋" w:hAnsi="仿宋" w:eastAsia="仿宋" w:cs="仿宋"/>
          <w:sz w:val="24"/>
          <w:szCs w:val="24"/>
          <w:u w:val="single"/>
        </w:rPr>
        <w:t xml:space="preserve">             </w:t>
      </w:r>
      <w:r>
        <w:rPr>
          <w:rFonts w:hint="eastAsia" w:ascii="仿宋" w:hAnsi="仿宋" w:eastAsia="仿宋" w:cs="仿宋"/>
          <w:sz w:val="24"/>
          <w:szCs w:val="24"/>
        </w:rPr>
        <w:t>（签字）</w:t>
      </w:r>
    </w:p>
    <w:p w14:paraId="544103D6">
      <w:pPr>
        <w:numPr>
          <w:ilvl w:val="0"/>
          <w:numId w:val="8"/>
        </w:numPr>
        <w:spacing w:line="360" w:lineRule="auto"/>
        <w:jc w:val="right"/>
        <w:rPr>
          <w:rFonts w:ascii="仿宋" w:hAnsi="仿宋" w:eastAsia="仿宋" w:cs="仿宋"/>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0765DB00">
      <w:pPr>
        <w:spacing w:line="360" w:lineRule="auto"/>
        <w:ind w:firstLine="480" w:firstLineChars="200"/>
        <w:jc w:val="right"/>
        <w:textAlignment w:val="baseline"/>
        <w:rPr>
          <w:rFonts w:ascii="仿宋" w:hAnsi="仿宋" w:eastAsia="仿宋" w:cs="仿宋"/>
          <w:sz w:val="24"/>
          <w:szCs w:val="24"/>
        </w:rPr>
        <w:sectPr>
          <w:pgSz w:w="11906" w:h="16838"/>
          <w:pgMar w:top="1417" w:right="1134" w:bottom="1134" w:left="1134" w:header="851" w:footer="992" w:gutter="0"/>
          <w:cols w:space="720" w:num="1"/>
          <w:titlePg/>
          <w:docGrid w:type="lines" w:linePitch="312" w:charSpace="0"/>
        </w:sectPr>
      </w:pPr>
    </w:p>
    <w:p w14:paraId="0CFF3B0A">
      <w:pPr>
        <w:spacing w:line="360" w:lineRule="auto"/>
        <w:rPr>
          <w:rFonts w:ascii="仿宋" w:hAnsi="仿宋" w:eastAsia="仿宋" w:cs="仿宋"/>
          <w:szCs w:val="24"/>
        </w:rPr>
      </w:pPr>
      <w:bookmarkStart w:id="1065" w:name="_Toc109124334"/>
      <w:bookmarkStart w:id="1066" w:name="_Toc65683019"/>
      <w:bookmarkStart w:id="1067" w:name="_Toc11074"/>
      <w:r>
        <w:rPr>
          <w:rFonts w:hint="eastAsia" w:ascii="仿宋" w:hAnsi="仿宋" w:eastAsia="仿宋" w:cs="仿宋"/>
          <w:sz w:val="24"/>
          <w:szCs w:val="24"/>
        </w:rPr>
        <w:br w:type="page"/>
      </w:r>
    </w:p>
    <w:bookmarkEnd w:id="1065"/>
    <w:bookmarkEnd w:id="1066"/>
    <w:bookmarkEnd w:id="1067"/>
    <w:p w14:paraId="44A4C0A0">
      <w:pPr>
        <w:pStyle w:val="5"/>
        <w:spacing w:line="360" w:lineRule="auto"/>
        <w:jc w:val="both"/>
        <w:rPr>
          <w:rFonts w:hint="default" w:ascii="仿宋" w:hAnsi="仿宋" w:cs="仿宋"/>
          <w:szCs w:val="24"/>
        </w:rPr>
      </w:pPr>
      <w:bookmarkStart w:id="1068" w:name="_Toc1867"/>
      <w:bookmarkStart w:id="1069" w:name="_Toc12369"/>
      <w:bookmarkStart w:id="1070" w:name="_Toc19888"/>
      <w:bookmarkStart w:id="1071" w:name="_Toc4253"/>
      <w:bookmarkStart w:id="1072" w:name="_Toc13560"/>
      <w:r>
        <w:rPr>
          <w:rFonts w:ascii="仿宋" w:hAnsi="仿宋" w:cs="仿宋"/>
          <w:szCs w:val="24"/>
        </w:rPr>
        <w:t>（二）投标保证金汇款凭证</w:t>
      </w:r>
      <w:bookmarkEnd w:id="1068"/>
      <w:bookmarkEnd w:id="1069"/>
      <w:bookmarkEnd w:id="1070"/>
      <w:bookmarkEnd w:id="1071"/>
      <w:bookmarkEnd w:id="1072"/>
    </w:p>
    <w:p w14:paraId="1ECEA613">
      <w:pPr>
        <w:pStyle w:val="10"/>
        <w:spacing w:line="360" w:lineRule="auto"/>
        <w:ind w:firstLine="0"/>
        <w:jc w:val="center"/>
        <w:rPr>
          <w:rFonts w:ascii="仿宋" w:hAnsi="仿宋" w:eastAsia="仿宋" w:cs="仿宋"/>
          <w:sz w:val="24"/>
          <w:szCs w:val="24"/>
        </w:rPr>
      </w:pPr>
      <w:r>
        <w:rPr>
          <w:rFonts w:hint="eastAsia" w:ascii="仿宋" w:hAnsi="仿宋" w:eastAsia="仿宋" w:cs="仿宋"/>
          <w:b/>
          <w:sz w:val="24"/>
          <w:szCs w:val="24"/>
        </w:rPr>
        <w:t>投标保证金汇款凭证</w:t>
      </w:r>
    </w:p>
    <w:p w14:paraId="334259CD">
      <w:pPr>
        <w:pStyle w:val="10"/>
        <w:spacing w:line="360" w:lineRule="auto"/>
        <w:ind w:firstLine="0"/>
        <w:rPr>
          <w:rFonts w:ascii="仿宋" w:hAnsi="仿宋" w:eastAsia="仿宋" w:cs="仿宋"/>
          <w:b/>
          <w:bCs/>
          <w:sz w:val="24"/>
          <w:szCs w:val="24"/>
        </w:rPr>
      </w:pPr>
    </w:p>
    <w:p w14:paraId="715A0103">
      <w:pPr>
        <w:pStyle w:val="10"/>
        <w:spacing w:line="360" w:lineRule="auto"/>
        <w:ind w:firstLine="0"/>
        <w:rPr>
          <w:rFonts w:ascii="仿宋" w:hAnsi="仿宋" w:eastAsia="仿宋" w:cs="仿宋"/>
          <w:b/>
          <w:bCs/>
          <w:sz w:val="24"/>
          <w:szCs w:val="24"/>
        </w:rPr>
      </w:pPr>
      <w:r>
        <w:rPr>
          <w:rFonts w:hint="eastAsia" w:ascii="仿宋" w:hAnsi="仿宋" w:eastAsia="仿宋" w:cs="仿宋"/>
          <w:b/>
          <w:bCs/>
          <w:sz w:val="24"/>
          <w:szCs w:val="24"/>
        </w:rPr>
        <w:t>致：中国人民财产保险股份有限公司广州市分公司</w:t>
      </w:r>
    </w:p>
    <w:p w14:paraId="2F2A03CD">
      <w:pPr>
        <w:pStyle w:val="1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本单位已按</w:t>
      </w:r>
      <w:r>
        <w:rPr>
          <w:rFonts w:hint="eastAsia" w:ascii="仿宋" w:hAnsi="仿宋" w:eastAsia="仿宋" w:cs="仿宋"/>
          <w:sz w:val="24"/>
          <w:szCs w:val="24"/>
          <w:u w:val="single"/>
        </w:rPr>
        <w:t xml:space="preserve">   （项目名称）   （招标代理编号：ZJZB-2025-14642）</w:t>
      </w:r>
      <w:r>
        <w:rPr>
          <w:rFonts w:hint="eastAsia" w:ascii="仿宋" w:hAnsi="仿宋" w:eastAsia="仿宋" w:cs="仿宋"/>
          <w:sz w:val="24"/>
          <w:szCs w:val="24"/>
        </w:rPr>
        <w:t>的招标文件要求，于投标文件递交截止之日前汇入指定账户，汇款凭证如下：</w:t>
      </w:r>
    </w:p>
    <w:p w14:paraId="11B9F941">
      <w:pPr>
        <w:pStyle w:val="10"/>
        <w:spacing w:line="360" w:lineRule="auto"/>
        <w:rPr>
          <w:rFonts w:ascii="仿宋" w:hAnsi="仿宋" w:eastAsia="仿宋" w:cs="仿宋"/>
          <w:sz w:val="24"/>
          <w:szCs w:val="24"/>
        </w:rPr>
      </w:pPr>
    </w:p>
    <w:p w14:paraId="1A7C09EE">
      <w:pPr>
        <w:pStyle w:val="10"/>
        <w:spacing w:line="360" w:lineRule="auto"/>
        <w:ind w:firstLine="0"/>
        <w:jc w:val="center"/>
        <w:rPr>
          <w:rFonts w:ascii="仿宋" w:hAnsi="仿宋" w:eastAsia="仿宋" w:cs="仿宋"/>
          <w:b/>
          <w:bCs/>
          <w:sz w:val="24"/>
          <w:szCs w:val="24"/>
        </w:rPr>
      </w:pPr>
      <w:r>
        <w:rPr>
          <w:rFonts w:hint="eastAsia" w:ascii="仿宋" w:hAnsi="仿宋" w:eastAsia="仿宋" w:cs="仿宋"/>
          <w:b/>
          <w:bCs/>
          <w:sz w:val="24"/>
          <w:szCs w:val="24"/>
        </w:rPr>
        <w:t>（粘贴投标保证金汇款凭证）</w:t>
      </w:r>
    </w:p>
    <w:p w14:paraId="2B15268C">
      <w:pPr>
        <w:spacing w:line="360" w:lineRule="auto"/>
        <w:rPr>
          <w:rFonts w:ascii="仿宋" w:hAnsi="仿宋" w:eastAsia="仿宋" w:cs="仿宋"/>
          <w:sz w:val="24"/>
          <w:szCs w:val="24"/>
        </w:rPr>
      </w:pPr>
      <w:r>
        <w:rPr>
          <w:rFonts w:hint="eastAsia" w:ascii="仿宋" w:hAnsi="仿宋" w:eastAsia="仿宋" w:cs="仿宋"/>
          <w:sz w:val="24"/>
          <w:szCs w:val="24"/>
        </w:rPr>
        <w:br w:type="page"/>
      </w:r>
    </w:p>
    <w:p w14:paraId="584F83EB">
      <w:pPr>
        <w:pStyle w:val="5"/>
        <w:spacing w:line="360" w:lineRule="auto"/>
        <w:jc w:val="both"/>
        <w:rPr>
          <w:rFonts w:hint="default" w:ascii="仿宋" w:hAnsi="仿宋" w:cs="仿宋"/>
          <w:szCs w:val="24"/>
        </w:rPr>
      </w:pPr>
      <w:bookmarkStart w:id="1073" w:name="_Toc16829"/>
      <w:bookmarkStart w:id="1074" w:name="_Toc30738"/>
      <w:bookmarkStart w:id="1075" w:name="_Toc25550"/>
      <w:bookmarkStart w:id="1076" w:name="_Toc29996"/>
      <w:bookmarkStart w:id="1077" w:name="_Toc14894"/>
      <w:r>
        <w:rPr>
          <w:rFonts w:ascii="仿宋" w:hAnsi="仿宋" w:cs="仿宋"/>
          <w:szCs w:val="24"/>
        </w:rPr>
        <w:t>（三）招标代理服务费确认函</w:t>
      </w:r>
      <w:bookmarkEnd w:id="1073"/>
      <w:bookmarkEnd w:id="1074"/>
      <w:bookmarkEnd w:id="1075"/>
      <w:bookmarkEnd w:id="1076"/>
      <w:bookmarkEnd w:id="1077"/>
    </w:p>
    <w:p w14:paraId="0C7297EF">
      <w:pPr>
        <w:pStyle w:val="10"/>
        <w:spacing w:line="360" w:lineRule="auto"/>
        <w:ind w:firstLine="0"/>
        <w:jc w:val="center"/>
        <w:rPr>
          <w:rFonts w:ascii="仿宋" w:hAnsi="仿宋" w:eastAsia="仿宋" w:cs="仿宋"/>
          <w:b/>
          <w:sz w:val="24"/>
          <w:szCs w:val="24"/>
        </w:rPr>
      </w:pPr>
      <w:r>
        <w:rPr>
          <w:rFonts w:hint="eastAsia" w:ascii="仿宋" w:hAnsi="仿宋" w:eastAsia="仿宋" w:cs="仿宋"/>
          <w:b/>
          <w:sz w:val="24"/>
          <w:szCs w:val="24"/>
        </w:rPr>
        <w:t>招标代理服务费确认函</w:t>
      </w:r>
    </w:p>
    <w:p w14:paraId="4D93AA5F">
      <w:pPr>
        <w:adjustRightInd w:val="0"/>
        <w:snapToGrid w:val="0"/>
        <w:spacing w:line="360" w:lineRule="auto"/>
        <w:ind w:left="2"/>
        <w:jc w:val="left"/>
        <w:rPr>
          <w:rFonts w:ascii="仿宋" w:hAnsi="仿宋" w:eastAsia="仿宋" w:cs="仿宋"/>
          <w:b/>
          <w:bCs/>
          <w:sz w:val="24"/>
          <w:szCs w:val="24"/>
        </w:rPr>
      </w:pPr>
    </w:p>
    <w:p w14:paraId="1273F030">
      <w:pPr>
        <w:adjustRightInd w:val="0"/>
        <w:snapToGrid w:val="0"/>
        <w:spacing w:line="360" w:lineRule="auto"/>
        <w:ind w:left="2"/>
        <w:jc w:val="left"/>
        <w:rPr>
          <w:rFonts w:ascii="仿宋" w:hAnsi="仿宋" w:eastAsia="仿宋" w:cs="仿宋"/>
          <w:b/>
          <w:bCs/>
          <w:sz w:val="24"/>
          <w:szCs w:val="24"/>
        </w:rPr>
      </w:pPr>
      <w:r>
        <w:rPr>
          <w:rFonts w:hint="eastAsia" w:ascii="仿宋" w:hAnsi="仿宋" w:eastAsia="仿宋" w:cs="仿宋"/>
          <w:b/>
          <w:bCs/>
          <w:sz w:val="24"/>
          <w:szCs w:val="24"/>
        </w:rPr>
        <w:t>致：中捷通信有限公司</w:t>
      </w:r>
    </w:p>
    <w:p w14:paraId="0EBE1BC0">
      <w:pPr>
        <w:snapToGrid w:val="0"/>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我公司同意招标方不向贵公司支付任何费用，而由中标人向贵公司支付代理服务费。我公司承诺如下：</w:t>
      </w:r>
    </w:p>
    <w:p w14:paraId="4BF57427">
      <w:pPr>
        <w:snapToGrid w:val="0"/>
        <w:spacing w:line="360" w:lineRule="auto"/>
        <w:ind w:firstLine="600"/>
        <w:jc w:val="left"/>
        <w:rPr>
          <w:rFonts w:ascii="仿宋" w:hAnsi="仿宋" w:eastAsia="仿宋" w:cs="仿宋"/>
          <w:sz w:val="24"/>
          <w:szCs w:val="24"/>
        </w:rPr>
      </w:pPr>
      <w:r>
        <w:rPr>
          <w:rFonts w:hint="eastAsia" w:ascii="仿宋" w:hAnsi="仿宋" w:eastAsia="仿宋" w:cs="仿宋"/>
          <w:sz w:val="24"/>
          <w:szCs w:val="24"/>
        </w:rPr>
        <w:t>如若我公司在贵公司组织的“</w:t>
      </w:r>
      <w:r>
        <w:rPr>
          <w:rFonts w:hint="eastAsia" w:ascii="仿宋" w:hAnsi="仿宋" w:eastAsia="仿宋" w:cs="仿宋"/>
          <w:b/>
          <w:sz w:val="24"/>
          <w:szCs w:val="24"/>
          <w:u w:val="single"/>
        </w:rPr>
        <w:t xml:space="preserve">  （项目名称）   （招标代理编号：ZJZB-2025-14642）</w:t>
      </w:r>
      <w:r>
        <w:rPr>
          <w:rFonts w:hint="eastAsia" w:ascii="仿宋" w:hAnsi="仿宋" w:eastAsia="仿宋" w:cs="仿宋"/>
          <w:sz w:val="24"/>
          <w:szCs w:val="24"/>
        </w:rPr>
        <w:t>”中标。我公司保证按照招标文件第二章投标人须知前附表的要求，在贵公司发出中标通知书后10日内向贵公司缴交代理服务费。</w:t>
      </w:r>
    </w:p>
    <w:p w14:paraId="631474A9">
      <w:pPr>
        <w:snapToGrid w:val="0"/>
        <w:spacing w:line="360" w:lineRule="auto"/>
        <w:ind w:firstLine="600"/>
        <w:jc w:val="left"/>
        <w:rPr>
          <w:rFonts w:ascii="仿宋" w:hAnsi="仿宋" w:eastAsia="仿宋" w:cs="仿宋"/>
          <w:b/>
          <w:sz w:val="24"/>
          <w:szCs w:val="24"/>
        </w:rPr>
      </w:pPr>
      <w:r>
        <w:rPr>
          <w:rFonts w:hint="eastAsia" w:ascii="仿宋" w:hAnsi="仿宋" w:eastAsia="仿宋" w:cs="仿宋"/>
          <w:sz w:val="24"/>
          <w:szCs w:val="24"/>
        </w:rPr>
        <w:t>若我公司后续未能与招标人续签中标合同，经招标人确认，可以退回对应年度的招标代理服务费（如有）。</w:t>
      </w:r>
    </w:p>
    <w:p w14:paraId="47673A06">
      <w:pPr>
        <w:spacing w:line="360" w:lineRule="auto"/>
        <w:ind w:right="105" w:firstLine="2835" w:firstLineChars="1350"/>
        <w:jc w:val="left"/>
        <w:rPr>
          <w:rFonts w:ascii="仿宋" w:hAnsi="仿宋" w:eastAsia="仿宋" w:cs="仿宋"/>
          <w:szCs w:val="21"/>
          <w:u w:val="single"/>
        </w:rPr>
      </w:pPr>
    </w:p>
    <w:p w14:paraId="580CE6DD">
      <w:pPr>
        <w:numPr>
          <w:ilvl w:val="0"/>
          <w:numId w:val="8"/>
        </w:numPr>
        <w:spacing w:line="360" w:lineRule="auto"/>
        <w:jc w:val="right"/>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（盖章）</w:t>
      </w:r>
    </w:p>
    <w:p w14:paraId="39ACD253">
      <w:pPr>
        <w:numPr>
          <w:ilvl w:val="0"/>
          <w:numId w:val="8"/>
        </w:numPr>
        <w:spacing w:line="360" w:lineRule="auto"/>
        <w:jc w:val="right"/>
        <w:rPr>
          <w:rFonts w:ascii="仿宋" w:hAnsi="仿宋" w:eastAsia="仿宋" w:cs="仿宋"/>
          <w:sz w:val="24"/>
        </w:rPr>
      </w:pPr>
      <w:r>
        <w:rPr>
          <w:rFonts w:hint="eastAsia" w:ascii="仿宋" w:hAnsi="仿宋" w:eastAsia="仿宋" w:cs="仿宋"/>
          <w:sz w:val="24"/>
        </w:rPr>
        <w:t>法定代表人或其授权代理人：</w:t>
      </w:r>
      <w:r>
        <w:rPr>
          <w:rFonts w:hint="eastAsia" w:ascii="仿宋" w:hAnsi="仿宋" w:eastAsia="仿宋" w:cs="仿宋"/>
          <w:sz w:val="24"/>
          <w:u w:val="single"/>
        </w:rPr>
        <w:t xml:space="preserve">             </w:t>
      </w:r>
      <w:r>
        <w:rPr>
          <w:rFonts w:hint="eastAsia" w:ascii="仿宋" w:hAnsi="仿宋" w:eastAsia="仿宋" w:cs="仿宋"/>
          <w:sz w:val="24"/>
        </w:rPr>
        <w:t>（签字）</w:t>
      </w:r>
    </w:p>
    <w:p w14:paraId="713B3075">
      <w:pPr>
        <w:numPr>
          <w:ilvl w:val="0"/>
          <w:numId w:val="8"/>
        </w:numPr>
        <w:spacing w:line="360" w:lineRule="auto"/>
        <w:jc w:val="right"/>
        <w:rPr>
          <w:rFonts w:ascii="仿宋" w:hAnsi="仿宋" w:eastAsia="仿宋" w:cs="仿宋"/>
          <w:sz w:val="24"/>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BA62517">
      <w:pPr>
        <w:spacing w:line="360" w:lineRule="auto"/>
        <w:rPr>
          <w:rFonts w:ascii="仿宋" w:hAnsi="仿宋" w:eastAsia="仿宋" w:cs="仿宋"/>
          <w:sz w:val="24"/>
        </w:rPr>
      </w:pPr>
      <w:r>
        <w:rPr>
          <w:rFonts w:hint="eastAsia" w:ascii="仿宋" w:hAnsi="仿宋" w:eastAsia="仿宋" w:cs="仿宋"/>
          <w:sz w:val="24"/>
        </w:rPr>
        <w:br w:type="page"/>
      </w:r>
    </w:p>
    <w:p w14:paraId="7157795A">
      <w:pPr>
        <w:pStyle w:val="3"/>
        <w:spacing w:after="0" w:line="360" w:lineRule="auto"/>
        <w:rPr>
          <w:rFonts w:ascii="仿宋" w:hAnsi="仿宋" w:cs="仿宋"/>
          <w:szCs w:val="21"/>
        </w:rPr>
      </w:pPr>
      <w:bookmarkStart w:id="1078" w:name="_Toc31198"/>
      <w:bookmarkStart w:id="1079" w:name="_Toc23896"/>
      <w:r>
        <w:rPr>
          <w:rFonts w:hint="eastAsia" w:ascii="仿宋" w:hAnsi="仿宋" w:cs="仿宋"/>
          <w:szCs w:val="21"/>
        </w:rPr>
        <w:t xml:space="preserve">第七章 </w:t>
      </w:r>
      <w:bookmarkEnd w:id="1078"/>
      <w:r>
        <w:rPr>
          <w:rFonts w:hint="eastAsia" w:ascii="仿宋" w:hAnsi="仿宋" w:cs="仿宋"/>
          <w:szCs w:val="21"/>
        </w:rPr>
        <w:t>供应商黑名单</w:t>
      </w:r>
      <w:bookmarkEnd w:id="1079"/>
    </w:p>
    <w:tbl>
      <w:tblPr>
        <w:tblStyle w:val="33"/>
        <w:tblW w:w="0" w:type="auto"/>
        <w:jc w:val="center"/>
        <w:tblLayout w:type="autofit"/>
        <w:tblCellMar>
          <w:top w:w="0" w:type="dxa"/>
          <w:left w:w="108" w:type="dxa"/>
          <w:bottom w:w="0" w:type="dxa"/>
          <w:right w:w="108" w:type="dxa"/>
        </w:tblCellMar>
      </w:tblPr>
      <w:tblGrid>
        <w:gridCol w:w="638"/>
        <w:gridCol w:w="3156"/>
        <w:gridCol w:w="2106"/>
        <w:gridCol w:w="1949"/>
        <w:gridCol w:w="1060"/>
      </w:tblGrid>
      <w:tr w14:paraId="53DB71C1">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4E8AFF0A">
            <w:pPr>
              <w:widowControl/>
              <w:spacing w:line="360" w:lineRule="auto"/>
              <w:jc w:val="center"/>
              <w:textAlignment w:val="bottom"/>
              <w:rPr>
                <w:rFonts w:ascii="仿宋" w:hAnsi="仿宋" w:eastAsia="仿宋" w:cs="仿宋"/>
                <w:b/>
                <w:bCs/>
                <w:kern w:val="0"/>
                <w:szCs w:val="21"/>
                <w:lang w:bidi="ar"/>
              </w:rPr>
            </w:pPr>
            <w:r>
              <w:rPr>
                <w:rFonts w:hint="eastAsia" w:ascii="仿宋" w:hAnsi="仿宋" w:eastAsia="仿宋" w:cs="仿宋"/>
                <w:b/>
                <w:bCs/>
                <w:kern w:val="0"/>
                <w:szCs w:val="21"/>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2210FF42">
            <w:pPr>
              <w:widowControl/>
              <w:spacing w:line="360" w:lineRule="auto"/>
              <w:jc w:val="center"/>
              <w:textAlignment w:val="bottom"/>
              <w:rPr>
                <w:rFonts w:ascii="仿宋" w:hAnsi="仿宋" w:eastAsia="仿宋" w:cs="仿宋"/>
                <w:b/>
                <w:bCs/>
                <w:szCs w:val="21"/>
              </w:rPr>
            </w:pPr>
            <w:r>
              <w:rPr>
                <w:rFonts w:hint="eastAsia" w:ascii="仿宋" w:hAnsi="仿宋" w:eastAsia="仿宋" w:cs="仿宋"/>
                <w:b/>
                <w:bCs/>
                <w:kern w:val="0"/>
                <w:szCs w:val="21"/>
                <w:lang w:bidi="ar"/>
              </w:rPr>
              <w:t>供应商名称</w:t>
            </w:r>
          </w:p>
        </w:tc>
        <w:tc>
          <w:tcPr>
            <w:tcW w:w="0" w:type="auto"/>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7A65CE24">
            <w:pPr>
              <w:widowControl/>
              <w:spacing w:line="360" w:lineRule="auto"/>
              <w:jc w:val="center"/>
              <w:textAlignment w:val="bottom"/>
              <w:rPr>
                <w:rFonts w:ascii="仿宋" w:hAnsi="仿宋" w:eastAsia="仿宋" w:cs="仿宋"/>
                <w:b/>
                <w:bCs/>
                <w:szCs w:val="21"/>
              </w:rPr>
            </w:pPr>
            <w:r>
              <w:rPr>
                <w:rFonts w:hint="eastAsia" w:ascii="仿宋" w:hAnsi="仿宋" w:eastAsia="仿宋" w:cs="仿宋"/>
                <w:b/>
                <w:bCs/>
                <w:kern w:val="0"/>
                <w:szCs w:val="21"/>
                <w:lang w:bidi="ar"/>
              </w:rPr>
              <w:t>统一社会信用代码</w:t>
            </w:r>
          </w:p>
        </w:tc>
        <w:tc>
          <w:tcPr>
            <w:tcW w:w="0" w:type="auto"/>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3AD6A006">
            <w:pPr>
              <w:widowControl/>
              <w:spacing w:line="360" w:lineRule="auto"/>
              <w:jc w:val="center"/>
              <w:textAlignment w:val="bottom"/>
              <w:rPr>
                <w:rFonts w:ascii="仿宋" w:hAnsi="仿宋" w:eastAsia="仿宋" w:cs="仿宋"/>
                <w:b/>
                <w:bCs/>
                <w:szCs w:val="21"/>
              </w:rPr>
            </w:pPr>
            <w:r>
              <w:rPr>
                <w:rFonts w:hint="eastAsia" w:ascii="仿宋" w:hAnsi="仿宋" w:eastAsia="仿宋" w:cs="仿宋"/>
                <w:b/>
                <w:bCs/>
                <w:kern w:val="0"/>
                <w:szCs w:val="21"/>
                <w:lang w:bidi="ar"/>
              </w:rPr>
              <w:t>通报时间</w:t>
            </w:r>
          </w:p>
        </w:tc>
        <w:tc>
          <w:tcPr>
            <w:tcW w:w="0" w:type="auto"/>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14:paraId="13B44F2D">
            <w:pPr>
              <w:widowControl/>
              <w:spacing w:line="360" w:lineRule="auto"/>
              <w:jc w:val="center"/>
              <w:textAlignment w:val="bottom"/>
              <w:rPr>
                <w:rFonts w:ascii="仿宋" w:hAnsi="仿宋" w:eastAsia="仿宋" w:cs="仿宋"/>
                <w:b/>
                <w:bCs/>
                <w:szCs w:val="21"/>
              </w:rPr>
            </w:pPr>
            <w:r>
              <w:rPr>
                <w:rFonts w:hint="eastAsia" w:ascii="仿宋" w:hAnsi="仿宋" w:eastAsia="仿宋" w:cs="仿宋"/>
                <w:b/>
                <w:bCs/>
                <w:kern w:val="0"/>
                <w:szCs w:val="21"/>
                <w:lang w:bidi="ar"/>
              </w:rPr>
              <w:t>处罚期限</w:t>
            </w:r>
          </w:p>
        </w:tc>
      </w:tr>
      <w:tr w14:paraId="3EC6E53A">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D060B">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F92E1">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远盟康健科技有限公司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DD1F">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911101056717031290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553B7">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2022年6月17日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90479">
            <w:pPr>
              <w:spacing w:line="360" w:lineRule="auto"/>
              <w:jc w:val="center"/>
              <w:rPr>
                <w:rFonts w:ascii="仿宋" w:hAnsi="仿宋" w:eastAsia="仿宋" w:cs="仿宋"/>
                <w:szCs w:val="21"/>
              </w:rPr>
            </w:pPr>
            <w:r>
              <w:rPr>
                <w:rFonts w:hint="eastAsia" w:ascii="仿宋" w:hAnsi="仿宋" w:eastAsia="仿宋" w:cs="仿宋"/>
                <w:szCs w:val="21"/>
              </w:rPr>
              <w:t>长期</w:t>
            </w:r>
          </w:p>
        </w:tc>
      </w:tr>
      <w:tr w14:paraId="402C7F54">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898AE">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DFB7B">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沣保健康科技（上海）有限公司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D098">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91310116MA1JEH8BXQ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67048">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2023年4月23日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95E5">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2年</w:t>
            </w:r>
          </w:p>
        </w:tc>
      </w:tr>
      <w:tr w14:paraId="4F28A89B">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5E712">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74CF">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河北路阳汽车服务有限公司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2450">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91130101MA07XBBL52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95BB">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2023年6月25日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F6FC">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5年</w:t>
            </w:r>
          </w:p>
        </w:tc>
      </w:tr>
      <w:tr w14:paraId="225D2687">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866A">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B72E">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成都天问互联科技有限公司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1B10A">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915101003506576433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B2A1A">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2023年6月25日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F015B">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5年</w:t>
            </w:r>
          </w:p>
        </w:tc>
      </w:tr>
      <w:tr w14:paraId="75CB7024">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454A7">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3D81">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彩讯科技股份有限公司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DA2B9">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914403007576325798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26DD">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2023年8月16日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13A96">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2年</w:t>
            </w:r>
          </w:p>
        </w:tc>
      </w:tr>
      <w:tr w14:paraId="62E795DF">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CBB3B">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24168">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北京腾信软创科技股份有限公司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EFD0B">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91110108666949407G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9388">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2023年8月16日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B276">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2年</w:t>
            </w:r>
          </w:p>
        </w:tc>
      </w:tr>
      <w:tr w14:paraId="63BA0D03">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85F29">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D2C22">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北京东方鲲鹏科技有限公司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EA5D2">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91110116352960857G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DD81C">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2023年8月16日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BD499">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2年</w:t>
            </w:r>
          </w:p>
        </w:tc>
      </w:tr>
      <w:tr w14:paraId="4C1EB6EF">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4AAF">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9020">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北京耀然互动科技有限公司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7078">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91110108MA01GHM28M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50C0B">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2023年9月14日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EAD2">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5年</w:t>
            </w:r>
          </w:p>
        </w:tc>
      </w:tr>
      <w:tr w14:paraId="29175C0C">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9EBD">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6EC3">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北京神州绿盟科技有限公司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A8CB1">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911101087501347453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3797">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2024年4月7日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E2BDE">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2年</w:t>
            </w:r>
          </w:p>
        </w:tc>
      </w:tr>
      <w:tr w14:paraId="7BAD58D8">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10B44">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E1EA6">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四川天玑劳务服务有限公司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EC94B">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91510104MA61T9YU3W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AC0E1">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2024年4月7日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374C3">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2年</w:t>
            </w:r>
          </w:p>
        </w:tc>
      </w:tr>
      <w:tr w14:paraId="55B08FAC">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B5F8">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1B788">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创瑞技术有限公司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74B4">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9134010057706595XL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767A0">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2024年12月18日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EB62E">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2年</w:t>
            </w:r>
          </w:p>
        </w:tc>
      </w:tr>
      <w:tr w14:paraId="706B3E91">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F39BA">
            <w:pPr>
              <w:widowControl/>
              <w:spacing w:line="360" w:lineRule="auto"/>
              <w:jc w:val="center"/>
              <w:textAlignment w:val="bottom"/>
              <w:rPr>
                <w:rFonts w:ascii="仿宋" w:hAnsi="仿宋" w:eastAsia="仿宋" w:cs="仿宋"/>
                <w:kern w:val="0"/>
                <w:szCs w:val="21"/>
                <w:lang w:bidi="ar"/>
              </w:rPr>
            </w:pPr>
            <w:r>
              <w:rPr>
                <w:rFonts w:hint="eastAsia" w:ascii="仿宋" w:hAnsi="仿宋" w:eastAsia="仿宋" w:cs="仿宋"/>
                <w:kern w:val="0"/>
                <w:szCs w:val="21"/>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C43B7">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安徽熠启科技有限公司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56329">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91340104MA2RU9YH91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4D74">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2024年12月18日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C8E46">
            <w:pPr>
              <w:widowControl/>
              <w:spacing w:line="360" w:lineRule="auto"/>
              <w:jc w:val="center"/>
              <w:textAlignment w:val="bottom"/>
              <w:rPr>
                <w:rFonts w:ascii="仿宋" w:hAnsi="仿宋" w:eastAsia="仿宋" w:cs="仿宋"/>
                <w:szCs w:val="21"/>
              </w:rPr>
            </w:pPr>
            <w:r>
              <w:rPr>
                <w:rFonts w:hint="eastAsia" w:ascii="仿宋" w:hAnsi="仿宋" w:eastAsia="仿宋" w:cs="仿宋"/>
                <w:kern w:val="0"/>
                <w:szCs w:val="21"/>
                <w:lang w:bidi="ar"/>
              </w:rPr>
              <w:t>2年</w:t>
            </w:r>
          </w:p>
        </w:tc>
      </w:tr>
    </w:tbl>
    <w:p w14:paraId="2BB719B0">
      <w:pPr>
        <w:spacing w:line="360" w:lineRule="auto"/>
        <w:rPr>
          <w:rFonts w:ascii="仿宋" w:hAnsi="仿宋" w:eastAsia="仿宋" w:cs="仿宋"/>
          <w:b/>
          <w:bCs/>
        </w:rPr>
      </w:pPr>
      <w:r>
        <w:rPr>
          <w:rFonts w:hint="eastAsia" w:ascii="仿宋" w:hAnsi="仿宋" w:eastAsia="仿宋" w:cs="仿宋"/>
          <w:b/>
          <w:bCs/>
        </w:rPr>
        <w:t>注：供应商黑名单以投标文件递交截止当天，招标人的通知为准。</w:t>
      </w:r>
    </w:p>
    <w:p w14:paraId="1EFC2619">
      <w:pPr>
        <w:numPr>
          <w:ilvl w:val="0"/>
          <w:numId w:val="8"/>
        </w:numPr>
        <w:spacing w:line="360" w:lineRule="auto"/>
        <w:jc w:val="right"/>
        <w:rPr>
          <w:rFonts w:ascii="仿宋" w:hAnsi="仿宋" w:eastAsia="仿宋" w:cs="仿宋"/>
          <w:sz w:val="24"/>
        </w:rPr>
      </w:pPr>
    </w:p>
    <w:p w14:paraId="6BEE7CAA">
      <w:pPr>
        <w:numPr>
          <w:ilvl w:val="0"/>
          <w:numId w:val="8"/>
        </w:numPr>
        <w:spacing w:line="360" w:lineRule="auto"/>
        <w:jc w:val="right"/>
        <w:rPr>
          <w:rFonts w:ascii="仿宋" w:hAnsi="仿宋" w:eastAsia="仿宋" w:cs="仿宋"/>
          <w:sz w:val="24"/>
        </w:rPr>
      </w:pPr>
    </w:p>
    <w:sectPr>
      <w:headerReference r:id="rId13" w:type="first"/>
      <w:headerReference r:id="rId12" w:type="default"/>
      <w:type w:val="continuous"/>
      <w:pgSz w:w="11906" w:h="16838"/>
      <w:pgMar w:top="1417" w:right="1417" w:bottom="1417" w:left="1417" w:header="851" w:footer="992" w:gutter="0"/>
      <w:cols w:space="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onaco">
    <w:altName w:val="Courier New"/>
    <w:panose1 w:val="00000000000000000000"/>
    <w:charset w:val="00"/>
    <w:family w:val="modern"/>
    <w:pitch w:val="default"/>
    <w:sig w:usb0="00000000" w:usb1="00000000" w:usb2="00000000" w:usb3="00000000" w:csb0="00040001"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97E4C">
    <w:pPr>
      <w:pStyle w:val="2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946BA">
    <w:pPr>
      <w:pStyle w:val="22"/>
      <w:jc w:val="center"/>
      <w:rPr>
        <w:rFonts w:ascii="黑体" w:hAnsi="黑体" w:eastAsia="黑体"/>
        <w:szCs w:val="18"/>
      </w:rPr>
    </w:pPr>
  </w:p>
  <w:p w14:paraId="7DD0B733">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76963">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38100</wp:posOffset>
              </wp:positionV>
              <wp:extent cx="210185" cy="132715"/>
              <wp:effectExtent l="0" t="0" r="0" b="0"/>
              <wp:wrapNone/>
              <wp:docPr id="5" name="文本框 5"/>
              <wp:cNvGraphicFramePr/>
              <a:graphic xmlns:a="http://schemas.openxmlformats.org/drawingml/2006/main">
                <a:graphicData uri="http://schemas.microsoft.com/office/word/2010/wordprocessingShape">
                  <wps:wsp>
                    <wps:cNvSpPr txBox="1"/>
                    <wps:spPr>
                      <a:xfrm>
                        <a:off x="0" y="0"/>
                        <a:ext cx="210185" cy="132715"/>
                      </a:xfrm>
                      <a:prstGeom prst="rect">
                        <a:avLst/>
                      </a:prstGeom>
                      <a:noFill/>
                      <a:ln>
                        <a:noFill/>
                      </a:ln>
                    </wps:spPr>
                    <wps:txbx>
                      <w:txbxContent>
                        <w:p w14:paraId="576F8966">
                          <w:pPr>
                            <w:pStyle w:val="22"/>
                          </w:pPr>
                          <w:r>
                            <w:rPr>
                              <w:rFonts w:hint="eastAsia"/>
                            </w:rPr>
                            <w:fldChar w:fldCharType="begin"/>
                          </w:r>
                          <w:r>
                            <w:rPr>
                              <w:rFonts w:hint="eastAsia"/>
                            </w:rPr>
                            <w:instrText xml:space="preserve"> PAGE  \* MERGEFORMAT </w:instrText>
                          </w:r>
                          <w:r>
                            <w:rPr>
                              <w:rFonts w:hint="eastAsia"/>
                            </w:rPr>
                            <w:fldChar w:fldCharType="separate"/>
                          </w:r>
                          <w:r>
                            <w:t>36</w:t>
                          </w:r>
                          <w:r>
                            <w:rPr>
                              <w:rFonts w:hint="eastAsia"/>
                            </w:rPr>
                            <w:fldChar w:fldCharType="end"/>
                          </w:r>
                        </w:p>
                      </w:txbxContent>
                    </wps:txbx>
                    <wps:bodyPr wrap="square" lIns="0" tIns="0" rIns="0" bIns="0"/>
                  </wps:wsp>
                </a:graphicData>
              </a:graphic>
            </wp:anchor>
          </w:drawing>
        </mc:Choice>
        <mc:Fallback>
          <w:pict>
            <v:shape id="_x0000_s1026" o:spid="_x0000_s1026" o:spt="202" type="#_x0000_t202" style="position:absolute;left:0pt;margin-top:3pt;height:10.45pt;width:16.55pt;mso-position-horizontal:center;mso-position-horizontal-relative:margin;z-index:251660288;mso-width-relative:page;mso-height-relative:page;" filled="f" stroked="f" coordsize="21600,21600" o:gfxdata="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rNEZNQAAAAEAQAADwAAAAAAAAABACAAAAAiAAAAZHJzL2Rvd25yZXYueG1sUEsBAhQA&#10;FAAAAAgAh07iQJV31XO9AQAAcwMAAA4AAAAAAAAAAQAgAAAAIwEAAGRycy9lMm9Eb2MueG1sUEsF&#10;BgAAAAAGAAYAWQEAAFIFAAAAAA==&#10;">
              <v:fill on="f" focussize="0,0"/>
              <v:stroke on="f"/>
              <v:imagedata o:title=""/>
              <o:lock v:ext="edit" aspectratio="f"/>
              <v:textbox inset="0mm,0mm,0mm,0mm">
                <w:txbxContent>
                  <w:p w14:paraId="576F8966">
                    <w:pPr>
                      <w:pStyle w:val="22"/>
                    </w:pPr>
                    <w:r>
                      <w:rPr>
                        <w:rFonts w:hint="eastAsia"/>
                      </w:rPr>
                      <w:fldChar w:fldCharType="begin"/>
                    </w:r>
                    <w:r>
                      <w:rPr>
                        <w:rFonts w:hint="eastAsia"/>
                      </w:rPr>
                      <w:instrText xml:space="preserve"> PAGE  \* MERGEFORMAT </w:instrText>
                    </w:r>
                    <w:r>
                      <w:rPr>
                        <w:rFonts w:hint="eastAsia"/>
                      </w:rPr>
                      <w:fldChar w:fldCharType="separate"/>
                    </w:r>
                    <w:r>
                      <w:t>36</w:t>
                    </w:r>
                    <w:r>
                      <w:rPr>
                        <w:rFonts w:hint="eastAsia"/>
                      </w:rPr>
                      <w:fldChar w:fldCharType="end"/>
                    </w:r>
                  </w:p>
                </w:txbxContent>
              </v:textbox>
            </v:shape>
          </w:pict>
        </mc:Fallback>
      </mc:AlternateContent>
    </w:r>
  </w:p>
  <w:p w14:paraId="0797630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160C1">
    <w:pPr>
      <w:pStyle w:val="22"/>
      <w:jc w:val="center"/>
      <w:rPr>
        <w:rFonts w:ascii="黑体" w:hAnsi="黑体" w:eastAsia="黑体"/>
        <w:szCs w:val="18"/>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94310" cy="15938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94310" cy="159385"/>
                      </a:xfrm>
                      <a:prstGeom prst="rect">
                        <a:avLst/>
                      </a:prstGeom>
                      <a:noFill/>
                      <a:ln>
                        <a:noFill/>
                      </a:ln>
                    </wps:spPr>
                    <wps:txbx>
                      <w:txbxContent>
                        <w:p w14:paraId="20143470">
                          <w:pPr>
                            <w:pStyle w:val="22"/>
                            <w:rPr>
                              <w:rFonts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33</w:t>
                          </w:r>
                          <w:r>
                            <w:rPr>
                              <w:rFonts w:hint="eastAsia" w:ascii="仿宋" w:hAnsi="仿宋" w:eastAsia="仿宋" w:cs="仿宋"/>
                            </w:rPr>
                            <w:fldChar w:fldCharType="end"/>
                          </w:r>
                        </w:p>
                      </w:txbxContent>
                    </wps:txbx>
                    <wps:bodyPr wrap="square" lIns="0" tIns="0" rIns="0" bIns="0"/>
                  </wps:wsp>
                </a:graphicData>
              </a:graphic>
            </wp:anchor>
          </w:drawing>
        </mc:Choice>
        <mc:Fallback>
          <w:pict>
            <v:shape id="_x0000_s1026" o:spid="_x0000_s1026" o:spt="202" type="#_x0000_t202" style="position:absolute;left:0pt;margin-top:0pt;height:12.55pt;width:15.3pt;mso-position-horizontal:center;mso-position-horizontal-relative:margin;z-index:251661312;mso-width-relative:page;mso-height-relative:page;" filled="f" stroked="f" coordsize="21600,21600" o:gfxdata="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SO830wAAAAMBAAAPAAAAAAAAAAEAIAAAACIAAABkcnMvZG93bnJldi54bWxQSwECFAAU&#10;AAAACACHTuJAw7QRQb0BAABzAwAADgAAAAAAAAABACAAAAAiAQAAZHJzL2Uyb0RvYy54bWxQSwUG&#10;AAAAAAYABgBZAQAAUQUAAAAA&#10;">
              <v:fill on="f" focussize="0,0"/>
              <v:stroke on="f"/>
              <v:imagedata o:title=""/>
              <o:lock v:ext="edit" aspectratio="f"/>
              <v:textbox inset="0mm,0mm,0mm,0mm">
                <w:txbxContent>
                  <w:p w14:paraId="20143470">
                    <w:pPr>
                      <w:pStyle w:val="22"/>
                      <w:rPr>
                        <w:rFonts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33</w:t>
                    </w:r>
                    <w:r>
                      <w:rPr>
                        <w:rFonts w:hint="eastAsia" w:ascii="仿宋" w:hAnsi="仿宋" w:eastAsia="仿宋" w:cs="仿宋"/>
                      </w:rPr>
                      <w:fldChar w:fldCharType="end"/>
                    </w:r>
                  </w:p>
                </w:txbxContent>
              </v:textbox>
            </v:shape>
          </w:pict>
        </mc:Fallback>
      </mc:AlternateContent>
    </w:r>
  </w:p>
  <w:p w14:paraId="4DAAB344">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pPr>
      <w:r>
        <w:separator/>
      </w:r>
    </w:p>
  </w:footnote>
  <w:footnote w:type="continuationSeparator" w:id="1">
    <w:p>
      <w:pPr>
        <w:spacing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D4567">
    <w:pPr>
      <w:pStyle w:val="23"/>
      <w:pBdr>
        <w:top w:val="none" w:color="auto" w:sz="0" w:space="0"/>
        <w:left w:val="none" w:color="auto" w:sz="0" w:space="0"/>
        <w:bottom w:val="single" w:color="auto" w:sz="4" w:space="1"/>
        <w:right w:val="none" w:color="auto" w:sz="0" w:space="0"/>
      </w:pBdr>
      <w:jc w:val="right"/>
      <w:rPr>
        <w:rFonts w:ascii="仿宋" w:hAnsi="仿宋" w:eastAsia="仿宋" w:cs="仿宋"/>
      </w:rPr>
    </w:pPr>
    <w:r>
      <w:rPr>
        <w:rFonts w:hint="eastAsia" w:ascii="仿宋" w:hAnsi="仿宋" w:eastAsia="仿宋" w:cs="仿宋"/>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9B7EA">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AF423">
    <w:pPr>
      <w:pStyle w:val="23"/>
      <w:pBdr>
        <w:top w:val="none" w:color="auto" w:sz="0" w:space="0"/>
        <w:left w:val="none" w:color="auto" w:sz="0" w:space="0"/>
        <w:bottom w:val="single" w:color="auto" w:sz="4" w:space="1"/>
        <w:right w:val="none" w:color="auto" w:sz="0" w:space="0"/>
      </w:pBdr>
      <w:jc w:val="right"/>
      <w:rPr>
        <w:rFonts w:ascii="仿宋" w:hAnsi="仿宋" w:eastAsia="仿宋" w:cs="仿宋"/>
      </w:rPr>
    </w:pPr>
    <w:r>
      <w:rPr>
        <w:rFonts w:hint="eastAsia" w:ascii="仿宋" w:hAnsi="仿宋" w:eastAsia="仿宋" w:cs="仿宋"/>
      </w:rPr>
      <w:t>招标文件</w:t>
    </w:r>
  </w:p>
  <w:p w14:paraId="7A76A89D">
    <w:pPr>
      <w:pStyle w:val="23"/>
      <w:rPr>
        <w:rFonts w:ascii="仿宋" w:hAnsi="仿宋" w:eastAsia="仿宋" w:cs="仿宋"/>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188D1">
    <w:pPr>
      <w:pStyle w:val="23"/>
      <w:pBdr>
        <w:top w:val="none" w:color="auto" w:sz="0" w:space="0"/>
        <w:left w:val="none" w:color="auto" w:sz="0" w:space="0"/>
        <w:bottom w:val="single" w:color="auto" w:sz="4" w:space="1"/>
        <w:right w:val="none" w:color="auto" w:sz="0" w:space="0"/>
      </w:pBdr>
      <w:jc w:val="right"/>
      <w:rPr>
        <w:rFonts w:ascii="仿宋" w:hAnsi="仿宋" w:eastAsia="仿宋" w:cs="仿宋"/>
      </w:rPr>
    </w:pPr>
    <w:r>
      <w:rPr>
        <w:rFonts w:hint="eastAsia" w:ascii="仿宋" w:hAnsi="仿宋" w:eastAsia="仿宋" w:cs="仿宋"/>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62388">
    <w:pPr>
      <w:pStyle w:val="23"/>
      <w:pBdr>
        <w:top w:val="none" w:color="auto" w:sz="0" w:space="0"/>
        <w:left w:val="none" w:color="auto" w:sz="0" w:space="0"/>
        <w:bottom w:val="single" w:color="auto" w:sz="4" w:space="1"/>
        <w:right w:val="none" w:color="auto" w:sz="0" w:space="0"/>
      </w:pBdr>
      <w:jc w:val="center"/>
      <w:rPr>
        <w:rFonts w:ascii="仿宋" w:hAnsi="仿宋" w:eastAsia="仿宋" w:cs="仿宋"/>
      </w:rPr>
    </w:pPr>
    <w:r>
      <w:rPr>
        <w:rFonts w:hint="eastAsia" w:ascii="仿宋" w:hAnsi="仿宋" w:eastAsia="仿宋" w:cs="仿宋"/>
      </w:rPr>
      <w:t>招标文件</w:t>
    </w:r>
  </w:p>
  <w:p w14:paraId="149D99C9">
    <w:pPr>
      <w:pStyle w:val="23"/>
      <w:rPr>
        <w:rFonts w:ascii="仿宋" w:hAnsi="仿宋" w:eastAsia="仿宋" w:cs="仿宋"/>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1C3CB0"/>
    <w:multiLevelType w:val="singleLevel"/>
    <w:tmpl w:val="A81C3CB0"/>
    <w:lvl w:ilvl="0" w:tentative="0">
      <w:start w:val="11"/>
      <w:numFmt w:val="decimal"/>
      <w:suff w:val="space"/>
      <w:lvlText w:val="%1."/>
      <w:lvlJc w:val="left"/>
    </w:lvl>
  </w:abstractNum>
  <w:abstractNum w:abstractNumId="1">
    <w:nsid w:val="B3AEE94B"/>
    <w:multiLevelType w:val="singleLevel"/>
    <w:tmpl w:val="B3AEE94B"/>
    <w:lvl w:ilvl="0" w:tentative="0">
      <w:start w:val="1"/>
      <w:numFmt w:val="decimal"/>
      <w:suff w:val="nothing"/>
      <w:lvlText w:val="%1、"/>
      <w:lvlJc w:val="left"/>
    </w:lvl>
  </w:abstractNum>
  <w:abstractNum w:abstractNumId="2">
    <w:nsid w:val="ED21813F"/>
    <w:multiLevelType w:val="singleLevel"/>
    <w:tmpl w:val="ED21813F"/>
    <w:lvl w:ilvl="0" w:tentative="0">
      <w:start w:val="1"/>
      <w:numFmt w:val="decimal"/>
      <w:suff w:val="nothing"/>
      <w:lvlText w:val="%1、"/>
      <w:lvlJc w:val="left"/>
    </w:lvl>
  </w:abstractNum>
  <w:abstractNum w:abstractNumId="3">
    <w:nsid w:val="00000016"/>
    <w:multiLevelType w:val="multilevel"/>
    <w:tmpl w:val="00000016"/>
    <w:lvl w:ilvl="0" w:tentative="0">
      <w:start w:val="1"/>
      <w:numFmt w:val="none"/>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100994CE"/>
    <w:multiLevelType w:val="singleLevel"/>
    <w:tmpl w:val="100994CE"/>
    <w:lvl w:ilvl="0" w:tentative="0">
      <w:start w:val="3"/>
      <w:numFmt w:val="decimal"/>
      <w:suff w:val="nothing"/>
      <w:lvlText w:val="%1、"/>
      <w:lvlJc w:val="left"/>
    </w:lvl>
  </w:abstractNum>
  <w:abstractNum w:abstractNumId="5">
    <w:nsid w:val="3D1764AE"/>
    <w:multiLevelType w:val="singleLevel"/>
    <w:tmpl w:val="3D1764AE"/>
    <w:lvl w:ilvl="0" w:tentative="0">
      <w:start w:val="4"/>
      <w:numFmt w:val="chineseCounting"/>
      <w:suff w:val="space"/>
      <w:lvlText w:val="第%1章"/>
      <w:lvlJc w:val="left"/>
      <w:rPr>
        <w:rFonts w:hint="eastAsia"/>
      </w:rPr>
    </w:lvl>
  </w:abstractNum>
  <w:abstractNum w:abstractNumId="6">
    <w:nsid w:val="557C2AF5"/>
    <w:multiLevelType w:val="multilevel"/>
    <w:tmpl w:val="557C2AF5"/>
    <w:lvl w:ilvl="0" w:tentative="0">
      <w:start w:val="1"/>
      <w:numFmt w:val="decimal"/>
      <w:pStyle w:val="46"/>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6E6F60E5"/>
    <w:multiLevelType w:val="multilevel"/>
    <w:tmpl w:val="6E6F60E5"/>
    <w:lvl w:ilvl="0" w:tentative="0">
      <w:start w:val="2"/>
      <w:numFmt w:val="chineseCountingThousand"/>
      <w:suff w:val="space"/>
      <w:lvlText w:val="第%1章"/>
      <w:lvlJc w:val="left"/>
      <w:pPr>
        <w:ind w:left="0" w:firstLine="0"/>
      </w:pPr>
      <w:rPr>
        <w:rFonts w:hint="eastAsia"/>
      </w:rPr>
    </w:lvl>
    <w:lvl w:ilvl="1" w:tentative="0">
      <w:start w:val="1"/>
      <w:numFmt w:val="chineseCountingThousand"/>
      <w:suff w:val="space"/>
      <w:lvlText w:val="%2、"/>
      <w:lvlJc w:val="left"/>
      <w:pPr>
        <w:ind w:left="0" w:firstLine="0"/>
      </w:pPr>
      <w:rPr>
        <w:rFonts w:hint="eastAsia"/>
      </w:rPr>
    </w:lvl>
    <w:lvl w:ilvl="2" w:tentative="0">
      <w:start w:val="1"/>
      <w:numFmt w:val="chineseCountingThousand"/>
      <w:pStyle w:val="151"/>
      <w:suff w:val="space"/>
      <w:lvlText w:val="（%3）"/>
      <w:lvlJc w:val="left"/>
      <w:pPr>
        <w:ind w:left="0" w:firstLine="0"/>
      </w:pPr>
      <w:rPr>
        <w:rFonts w:hint="eastAsia"/>
      </w:rPr>
    </w:lvl>
    <w:lvl w:ilvl="3" w:tentative="0">
      <w:start w:val="1"/>
      <w:numFmt w:val="decimal"/>
      <w:suff w:val="space"/>
      <w:lvlText w:val="%4."/>
      <w:lvlJc w:val="left"/>
      <w:pPr>
        <w:ind w:left="0" w:firstLine="0"/>
      </w:pPr>
      <w:rPr>
        <w:rFonts w:hint="eastAsia"/>
      </w:rPr>
    </w:lvl>
    <w:lvl w:ilvl="4" w:tentative="0">
      <w:start w:val="1"/>
      <w:numFmt w:val="decimal"/>
      <w:suff w:val="space"/>
      <w:lvlText w:val="（%5）"/>
      <w:lvlJc w:val="left"/>
      <w:pPr>
        <w:ind w:left="0" w:firstLine="0"/>
      </w:pPr>
      <w:rPr>
        <w:rFonts w:hint="eastAsia"/>
      </w:rPr>
    </w:lvl>
    <w:lvl w:ilvl="5" w:tentative="0">
      <w:start w:val="1"/>
      <w:numFmt w:val="decimal"/>
      <w:suff w:val="space"/>
      <w:lvlText w:val="%6）"/>
      <w:lvlJc w:val="left"/>
      <w:pPr>
        <w:ind w:left="0"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6"/>
  </w:num>
  <w:num w:numId="2">
    <w:abstractNumId w:val="7"/>
  </w:num>
  <w:num w:numId="3">
    <w:abstractNumId w:val="0"/>
  </w:num>
  <w:num w:numId="4">
    <w:abstractNumId w:val="1"/>
  </w:num>
  <w:num w:numId="5">
    <w:abstractNumId w:val="4"/>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M5NDRkMzU0YTAyMTI1YmZjMzNjODJkNGQ2NzI0ODQifQ=="/>
  </w:docVars>
  <w:rsids>
    <w:rsidRoot w:val="005F55AF"/>
    <w:rsid w:val="000001C4"/>
    <w:rsid w:val="00000C81"/>
    <w:rsid w:val="00000EAA"/>
    <w:rsid w:val="0000139C"/>
    <w:rsid w:val="000016E8"/>
    <w:rsid w:val="00003FC1"/>
    <w:rsid w:val="00004A95"/>
    <w:rsid w:val="00004F37"/>
    <w:rsid w:val="000050AE"/>
    <w:rsid w:val="00006707"/>
    <w:rsid w:val="000068F2"/>
    <w:rsid w:val="0000699B"/>
    <w:rsid w:val="00006B2B"/>
    <w:rsid w:val="00006F75"/>
    <w:rsid w:val="00010234"/>
    <w:rsid w:val="00011607"/>
    <w:rsid w:val="00012105"/>
    <w:rsid w:val="00013761"/>
    <w:rsid w:val="000151FB"/>
    <w:rsid w:val="0001709E"/>
    <w:rsid w:val="00021824"/>
    <w:rsid w:val="00022109"/>
    <w:rsid w:val="00024256"/>
    <w:rsid w:val="00024350"/>
    <w:rsid w:val="000243B2"/>
    <w:rsid w:val="000252D2"/>
    <w:rsid w:val="0002645E"/>
    <w:rsid w:val="00026C1C"/>
    <w:rsid w:val="00026C66"/>
    <w:rsid w:val="00027DA6"/>
    <w:rsid w:val="000312AD"/>
    <w:rsid w:val="00032A4D"/>
    <w:rsid w:val="000335FC"/>
    <w:rsid w:val="00033C35"/>
    <w:rsid w:val="00034D22"/>
    <w:rsid w:val="000352ED"/>
    <w:rsid w:val="00035B05"/>
    <w:rsid w:val="00037ECD"/>
    <w:rsid w:val="0004355F"/>
    <w:rsid w:val="00044E20"/>
    <w:rsid w:val="00044F68"/>
    <w:rsid w:val="00045339"/>
    <w:rsid w:val="00045927"/>
    <w:rsid w:val="00045B07"/>
    <w:rsid w:val="000479A4"/>
    <w:rsid w:val="00047FE6"/>
    <w:rsid w:val="000515DB"/>
    <w:rsid w:val="00051BFE"/>
    <w:rsid w:val="000523F6"/>
    <w:rsid w:val="00052EBC"/>
    <w:rsid w:val="0005366F"/>
    <w:rsid w:val="00054842"/>
    <w:rsid w:val="00054BC2"/>
    <w:rsid w:val="00055A7F"/>
    <w:rsid w:val="0005610E"/>
    <w:rsid w:val="00060DE9"/>
    <w:rsid w:val="00061265"/>
    <w:rsid w:val="0006160A"/>
    <w:rsid w:val="00062034"/>
    <w:rsid w:val="000629FD"/>
    <w:rsid w:val="00063375"/>
    <w:rsid w:val="0006458B"/>
    <w:rsid w:val="0006524F"/>
    <w:rsid w:val="0006708E"/>
    <w:rsid w:val="000676F4"/>
    <w:rsid w:val="00067701"/>
    <w:rsid w:val="00067C40"/>
    <w:rsid w:val="000739F8"/>
    <w:rsid w:val="0007443C"/>
    <w:rsid w:val="00074AB1"/>
    <w:rsid w:val="00074F22"/>
    <w:rsid w:val="00075103"/>
    <w:rsid w:val="000767AC"/>
    <w:rsid w:val="000767DF"/>
    <w:rsid w:val="00077111"/>
    <w:rsid w:val="00081825"/>
    <w:rsid w:val="00082F19"/>
    <w:rsid w:val="00084FF4"/>
    <w:rsid w:val="00086193"/>
    <w:rsid w:val="00087142"/>
    <w:rsid w:val="00087E33"/>
    <w:rsid w:val="000903F5"/>
    <w:rsid w:val="00090AE3"/>
    <w:rsid w:val="00090D3B"/>
    <w:rsid w:val="00091DCE"/>
    <w:rsid w:val="000925AF"/>
    <w:rsid w:val="0009613B"/>
    <w:rsid w:val="000963DE"/>
    <w:rsid w:val="00097B9F"/>
    <w:rsid w:val="000A073A"/>
    <w:rsid w:val="000A3063"/>
    <w:rsid w:val="000A38E9"/>
    <w:rsid w:val="000A499E"/>
    <w:rsid w:val="000A4ADD"/>
    <w:rsid w:val="000A616D"/>
    <w:rsid w:val="000A6A7C"/>
    <w:rsid w:val="000A73A9"/>
    <w:rsid w:val="000A7841"/>
    <w:rsid w:val="000A7896"/>
    <w:rsid w:val="000B36D6"/>
    <w:rsid w:val="000B5486"/>
    <w:rsid w:val="000B700F"/>
    <w:rsid w:val="000C0CFB"/>
    <w:rsid w:val="000C0FC6"/>
    <w:rsid w:val="000C2AD8"/>
    <w:rsid w:val="000C3CC6"/>
    <w:rsid w:val="000C4137"/>
    <w:rsid w:val="000C75E9"/>
    <w:rsid w:val="000C7872"/>
    <w:rsid w:val="000D079E"/>
    <w:rsid w:val="000D2C19"/>
    <w:rsid w:val="000D3528"/>
    <w:rsid w:val="000D3953"/>
    <w:rsid w:val="000D4B03"/>
    <w:rsid w:val="000D4D9F"/>
    <w:rsid w:val="000D5661"/>
    <w:rsid w:val="000D628B"/>
    <w:rsid w:val="000D644C"/>
    <w:rsid w:val="000D7E11"/>
    <w:rsid w:val="000E0407"/>
    <w:rsid w:val="000E18A1"/>
    <w:rsid w:val="000E259E"/>
    <w:rsid w:val="000E369E"/>
    <w:rsid w:val="000E3CF6"/>
    <w:rsid w:val="000E5233"/>
    <w:rsid w:val="000E586E"/>
    <w:rsid w:val="000E61DA"/>
    <w:rsid w:val="000F3605"/>
    <w:rsid w:val="000F3B51"/>
    <w:rsid w:val="000F3BBD"/>
    <w:rsid w:val="000F3C06"/>
    <w:rsid w:val="000F3F3E"/>
    <w:rsid w:val="000F45C4"/>
    <w:rsid w:val="000F46D5"/>
    <w:rsid w:val="000F61EE"/>
    <w:rsid w:val="000F7110"/>
    <w:rsid w:val="000F790F"/>
    <w:rsid w:val="000F7E6D"/>
    <w:rsid w:val="0010147B"/>
    <w:rsid w:val="001015DB"/>
    <w:rsid w:val="001026CD"/>
    <w:rsid w:val="001049FD"/>
    <w:rsid w:val="001061DB"/>
    <w:rsid w:val="00110277"/>
    <w:rsid w:val="00110EDE"/>
    <w:rsid w:val="00111D8D"/>
    <w:rsid w:val="00112169"/>
    <w:rsid w:val="001125F7"/>
    <w:rsid w:val="00113131"/>
    <w:rsid w:val="00114EC3"/>
    <w:rsid w:val="00116821"/>
    <w:rsid w:val="00116E5C"/>
    <w:rsid w:val="0011762E"/>
    <w:rsid w:val="0011797C"/>
    <w:rsid w:val="00117B54"/>
    <w:rsid w:val="00120076"/>
    <w:rsid w:val="00120253"/>
    <w:rsid w:val="00121851"/>
    <w:rsid w:val="00122A54"/>
    <w:rsid w:val="00124F11"/>
    <w:rsid w:val="00125019"/>
    <w:rsid w:val="00126C7E"/>
    <w:rsid w:val="00126CE7"/>
    <w:rsid w:val="00130D12"/>
    <w:rsid w:val="001310E5"/>
    <w:rsid w:val="00131208"/>
    <w:rsid w:val="001315B3"/>
    <w:rsid w:val="001315FE"/>
    <w:rsid w:val="00131681"/>
    <w:rsid w:val="001335CE"/>
    <w:rsid w:val="00134630"/>
    <w:rsid w:val="00135174"/>
    <w:rsid w:val="00135531"/>
    <w:rsid w:val="0014075B"/>
    <w:rsid w:val="00142288"/>
    <w:rsid w:val="001425CB"/>
    <w:rsid w:val="0014286F"/>
    <w:rsid w:val="001442A6"/>
    <w:rsid w:val="00146BDC"/>
    <w:rsid w:val="001471AD"/>
    <w:rsid w:val="001512A0"/>
    <w:rsid w:val="0015276A"/>
    <w:rsid w:val="001541A3"/>
    <w:rsid w:val="001574F6"/>
    <w:rsid w:val="00164FA4"/>
    <w:rsid w:val="00165099"/>
    <w:rsid w:val="0016661C"/>
    <w:rsid w:val="00167F84"/>
    <w:rsid w:val="00177E38"/>
    <w:rsid w:val="00181527"/>
    <w:rsid w:val="00181732"/>
    <w:rsid w:val="00184CCD"/>
    <w:rsid w:val="00185C2F"/>
    <w:rsid w:val="00187293"/>
    <w:rsid w:val="001877DD"/>
    <w:rsid w:val="00190A02"/>
    <w:rsid w:val="00190C5A"/>
    <w:rsid w:val="0019442B"/>
    <w:rsid w:val="001A0890"/>
    <w:rsid w:val="001A19D2"/>
    <w:rsid w:val="001A1C87"/>
    <w:rsid w:val="001A1F38"/>
    <w:rsid w:val="001A3857"/>
    <w:rsid w:val="001A4F0D"/>
    <w:rsid w:val="001A5E58"/>
    <w:rsid w:val="001A6377"/>
    <w:rsid w:val="001A6A87"/>
    <w:rsid w:val="001A7699"/>
    <w:rsid w:val="001A77C6"/>
    <w:rsid w:val="001B29DD"/>
    <w:rsid w:val="001B32F5"/>
    <w:rsid w:val="001B4523"/>
    <w:rsid w:val="001B5337"/>
    <w:rsid w:val="001C0D18"/>
    <w:rsid w:val="001C28D2"/>
    <w:rsid w:val="001C4F00"/>
    <w:rsid w:val="001C543F"/>
    <w:rsid w:val="001C569A"/>
    <w:rsid w:val="001C65C1"/>
    <w:rsid w:val="001C6D9E"/>
    <w:rsid w:val="001C7899"/>
    <w:rsid w:val="001D076F"/>
    <w:rsid w:val="001D23AF"/>
    <w:rsid w:val="001D23B6"/>
    <w:rsid w:val="001D3757"/>
    <w:rsid w:val="001D3A3C"/>
    <w:rsid w:val="001D5E2F"/>
    <w:rsid w:val="001D6FE1"/>
    <w:rsid w:val="001D7261"/>
    <w:rsid w:val="001D7701"/>
    <w:rsid w:val="001D7AA1"/>
    <w:rsid w:val="001E2456"/>
    <w:rsid w:val="001E3189"/>
    <w:rsid w:val="001E3D4C"/>
    <w:rsid w:val="001E3E86"/>
    <w:rsid w:val="001F2953"/>
    <w:rsid w:val="001F3F80"/>
    <w:rsid w:val="001F4609"/>
    <w:rsid w:val="001F7B1B"/>
    <w:rsid w:val="0020115E"/>
    <w:rsid w:val="00201575"/>
    <w:rsid w:val="00203CDC"/>
    <w:rsid w:val="00203FC1"/>
    <w:rsid w:val="00204A32"/>
    <w:rsid w:val="00206322"/>
    <w:rsid w:val="0020688B"/>
    <w:rsid w:val="00206ACA"/>
    <w:rsid w:val="00207D3B"/>
    <w:rsid w:val="002124EF"/>
    <w:rsid w:val="00212967"/>
    <w:rsid w:val="00212A52"/>
    <w:rsid w:val="00212AEE"/>
    <w:rsid w:val="00213736"/>
    <w:rsid w:val="0021403B"/>
    <w:rsid w:val="00214FDB"/>
    <w:rsid w:val="00215FF1"/>
    <w:rsid w:val="00216402"/>
    <w:rsid w:val="00217033"/>
    <w:rsid w:val="0021729F"/>
    <w:rsid w:val="00217F9A"/>
    <w:rsid w:val="002207FA"/>
    <w:rsid w:val="00221931"/>
    <w:rsid w:val="0022202B"/>
    <w:rsid w:val="00222CCB"/>
    <w:rsid w:val="00225E48"/>
    <w:rsid w:val="00226E29"/>
    <w:rsid w:val="0022792D"/>
    <w:rsid w:val="00230C7F"/>
    <w:rsid w:val="00231390"/>
    <w:rsid w:val="00232123"/>
    <w:rsid w:val="002329BA"/>
    <w:rsid w:val="00232AA2"/>
    <w:rsid w:val="00232AAB"/>
    <w:rsid w:val="002346E9"/>
    <w:rsid w:val="00236429"/>
    <w:rsid w:val="00236DA6"/>
    <w:rsid w:val="00237699"/>
    <w:rsid w:val="00237869"/>
    <w:rsid w:val="00237EED"/>
    <w:rsid w:val="002406AC"/>
    <w:rsid w:val="00242173"/>
    <w:rsid w:val="002439E8"/>
    <w:rsid w:val="00243A60"/>
    <w:rsid w:val="00245799"/>
    <w:rsid w:val="00250A52"/>
    <w:rsid w:val="00250DB4"/>
    <w:rsid w:val="002512C9"/>
    <w:rsid w:val="00251EF0"/>
    <w:rsid w:val="00252704"/>
    <w:rsid w:val="00252B10"/>
    <w:rsid w:val="00253CB6"/>
    <w:rsid w:val="00254037"/>
    <w:rsid w:val="00254EA1"/>
    <w:rsid w:val="00255444"/>
    <w:rsid w:val="002575A1"/>
    <w:rsid w:val="00257B18"/>
    <w:rsid w:val="0026035F"/>
    <w:rsid w:val="00261D4D"/>
    <w:rsid w:val="00262C07"/>
    <w:rsid w:val="00262D23"/>
    <w:rsid w:val="0026340E"/>
    <w:rsid w:val="00264B7B"/>
    <w:rsid w:val="002675F1"/>
    <w:rsid w:val="00270522"/>
    <w:rsid w:val="00273999"/>
    <w:rsid w:val="002753BD"/>
    <w:rsid w:val="00277663"/>
    <w:rsid w:val="0028413A"/>
    <w:rsid w:val="00284617"/>
    <w:rsid w:val="00286A3E"/>
    <w:rsid w:val="00287A9F"/>
    <w:rsid w:val="002900A1"/>
    <w:rsid w:val="00291F2A"/>
    <w:rsid w:val="00293253"/>
    <w:rsid w:val="00293FFB"/>
    <w:rsid w:val="00296B57"/>
    <w:rsid w:val="00297182"/>
    <w:rsid w:val="0029781A"/>
    <w:rsid w:val="00297FA6"/>
    <w:rsid w:val="002A0528"/>
    <w:rsid w:val="002A0871"/>
    <w:rsid w:val="002A08A9"/>
    <w:rsid w:val="002A29D5"/>
    <w:rsid w:val="002A3645"/>
    <w:rsid w:val="002A5816"/>
    <w:rsid w:val="002A59D8"/>
    <w:rsid w:val="002A6404"/>
    <w:rsid w:val="002A6CA1"/>
    <w:rsid w:val="002A6F20"/>
    <w:rsid w:val="002A6F8B"/>
    <w:rsid w:val="002A7397"/>
    <w:rsid w:val="002A74AC"/>
    <w:rsid w:val="002B284D"/>
    <w:rsid w:val="002B2F7A"/>
    <w:rsid w:val="002B3116"/>
    <w:rsid w:val="002B3356"/>
    <w:rsid w:val="002B3722"/>
    <w:rsid w:val="002B4923"/>
    <w:rsid w:val="002B604E"/>
    <w:rsid w:val="002B7C9A"/>
    <w:rsid w:val="002C0D19"/>
    <w:rsid w:val="002C15D2"/>
    <w:rsid w:val="002C243E"/>
    <w:rsid w:val="002C2771"/>
    <w:rsid w:val="002C2E36"/>
    <w:rsid w:val="002C3120"/>
    <w:rsid w:val="002C3D1E"/>
    <w:rsid w:val="002C4B6A"/>
    <w:rsid w:val="002C4DC4"/>
    <w:rsid w:val="002C6826"/>
    <w:rsid w:val="002D00D8"/>
    <w:rsid w:val="002D17D7"/>
    <w:rsid w:val="002D672A"/>
    <w:rsid w:val="002D6B06"/>
    <w:rsid w:val="002D764A"/>
    <w:rsid w:val="002D76A9"/>
    <w:rsid w:val="002E07B7"/>
    <w:rsid w:val="002E1286"/>
    <w:rsid w:val="002E153E"/>
    <w:rsid w:val="002E1C7B"/>
    <w:rsid w:val="002E2D72"/>
    <w:rsid w:val="002E4C41"/>
    <w:rsid w:val="002E56F8"/>
    <w:rsid w:val="002E5D16"/>
    <w:rsid w:val="002F0299"/>
    <w:rsid w:val="002F29C3"/>
    <w:rsid w:val="002F3452"/>
    <w:rsid w:val="002F6CC1"/>
    <w:rsid w:val="003008A4"/>
    <w:rsid w:val="00301A76"/>
    <w:rsid w:val="00304544"/>
    <w:rsid w:val="00306024"/>
    <w:rsid w:val="00306366"/>
    <w:rsid w:val="003074D7"/>
    <w:rsid w:val="0030768D"/>
    <w:rsid w:val="0031082E"/>
    <w:rsid w:val="003110A2"/>
    <w:rsid w:val="003129B0"/>
    <w:rsid w:val="00312A4D"/>
    <w:rsid w:val="00313685"/>
    <w:rsid w:val="00313E5A"/>
    <w:rsid w:val="00313F53"/>
    <w:rsid w:val="00314FEF"/>
    <w:rsid w:val="00315070"/>
    <w:rsid w:val="003154D6"/>
    <w:rsid w:val="00320097"/>
    <w:rsid w:val="00320423"/>
    <w:rsid w:val="0032047C"/>
    <w:rsid w:val="0032264D"/>
    <w:rsid w:val="00323E67"/>
    <w:rsid w:val="003254D7"/>
    <w:rsid w:val="003264ED"/>
    <w:rsid w:val="003270C6"/>
    <w:rsid w:val="00327AB4"/>
    <w:rsid w:val="00332AEA"/>
    <w:rsid w:val="00332E12"/>
    <w:rsid w:val="00333B4D"/>
    <w:rsid w:val="00333C26"/>
    <w:rsid w:val="00335187"/>
    <w:rsid w:val="00340A6B"/>
    <w:rsid w:val="00341088"/>
    <w:rsid w:val="0034186F"/>
    <w:rsid w:val="00341D12"/>
    <w:rsid w:val="00341E25"/>
    <w:rsid w:val="00342CD4"/>
    <w:rsid w:val="00343528"/>
    <w:rsid w:val="0034554B"/>
    <w:rsid w:val="00346017"/>
    <w:rsid w:val="00347120"/>
    <w:rsid w:val="00350901"/>
    <w:rsid w:val="0035152A"/>
    <w:rsid w:val="00351579"/>
    <w:rsid w:val="003610E4"/>
    <w:rsid w:val="003618A1"/>
    <w:rsid w:val="00362263"/>
    <w:rsid w:val="00362507"/>
    <w:rsid w:val="00363A11"/>
    <w:rsid w:val="00363E37"/>
    <w:rsid w:val="00365FB4"/>
    <w:rsid w:val="00366DED"/>
    <w:rsid w:val="00367063"/>
    <w:rsid w:val="003676AE"/>
    <w:rsid w:val="003721DF"/>
    <w:rsid w:val="0037437C"/>
    <w:rsid w:val="003743C4"/>
    <w:rsid w:val="00375F12"/>
    <w:rsid w:val="003767A0"/>
    <w:rsid w:val="00377423"/>
    <w:rsid w:val="00377636"/>
    <w:rsid w:val="00377970"/>
    <w:rsid w:val="00380A93"/>
    <w:rsid w:val="00381978"/>
    <w:rsid w:val="003822CD"/>
    <w:rsid w:val="00383C4B"/>
    <w:rsid w:val="003854B0"/>
    <w:rsid w:val="003859FD"/>
    <w:rsid w:val="00386D20"/>
    <w:rsid w:val="00387A30"/>
    <w:rsid w:val="00391172"/>
    <w:rsid w:val="00392E3A"/>
    <w:rsid w:val="00393F5A"/>
    <w:rsid w:val="003944F6"/>
    <w:rsid w:val="00396011"/>
    <w:rsid w:val="003973C4"/>
    <w:rsid w:val="00397EC0"/>
    <w:rsid w:val="003A078F"/>
    <w:rsid w:val="003A1256"/>
    <w:rsid w:val="003A2726"/>
    <w:rsid w:val="003A3056"/>
    <w:rsid w:val="003A353C"/>
    <w:rsid w:val="003A35AE"/>
    <w:rsid w:val="003A3AD6"/>
    <w:rsid w:val="003A7214"/>
    <w:rsid w:val="003A7C2B"/>
    <w:rsid w:val="003B09D9"/>
    <w:rsid w:val="003B244B"/>
    <w:rsid w:val="003B3BB4"/>
    <w:rsid w:val="003B406D"/>
    <w:rsid w:val="003B4CB2"/>
    <w:rsid w:val="003B5B88"/>
    <w:rsid w:val="003B5C8D"/>
    <w:rsid w:val="003B7BF1"/>
    <w:rsid w:val="003C0809"/>
    <w:rsid w:val="003C1A69"/>
    <w:rsid w:val="003C1EED"/>
    <w:rsid w:val="003C24F3"/>
    <w:rsid w:val="003C2CC6"/>
    <w:rsid w:val="003C3683"/>
    <w:rsid w:val="003C3F26"/>
    <w:rsid w:val="003C486E"/>
    <w:rsid w:val="003C4B52"/>
    <w:rsid w:val="003C4F36"/>
    <w:rsid w:val="003C6380"/>
    <w:rsid w:val="003C7512"/>
    <w:rsid w:val="003C7A1C"/>
    <w:rsid w:val="003D0AC8"/>
    <w:rsid w:val="003D24C5"/>
    <w:rsid w:val="003D30DD"/>
    <w:rsid w:val="003D3CC3"/>
    <w:rsid w:val="003D41FB"/>
    <w:rsid w:val="003D59DD"/>
    <w:rsid w:val="003D5CA2"/>
    <w:rsid w:val="003D6103"/>
    <w:rsid w:val="003E1E87"/>
    <w:rsid w:val="003E31A1"/>
    <w:rsid w:val="003E332E"/>
    <w:rsid w:val="003E3691"/>
    <w:rsid w:val="003E520B"/>
    <w:rsid w:val="003E52BB"/>
    <w:rsid w:val="003F0758"/>
    <w:rsid w:val="003F07D0"/>
    <w:rsid w:val="003F108A"/>
    <w:rsid w:val="003F2A3D"/>
    <w:rsid w:val="003F2F9E"/>
    <w:rsid w:val="003F38AD"/>
    <w:rsid w:val="003F3CB4"/>
    <w:rsid w:val="003F41E1"/>
    <w:rsid w:val="003F4C05"/>
    <w:rsid w:val="003F4DBE"/>
    <w:rsid w:val="00400EA9"/>
    <w:rsid w:val="0040189E"/>
    <w:rsid w:val="00401BE0"/>
    <w:rsid w:val="00401EFD"/>
    <w:rsid w:val="00402334"/>
    <w:rsid w:val="00402F29"/>
    <w:rsid w:val="00403FC1"/>
    <w:rsid w:val="004043FD"/>
    <w:rsid w:val="0040553E"/>
    <w:rsid w:val="004057DD"/>
    <w:rsid w:val="00405CD6"/>
    <w:rsid w:val="00410763"/>
    <w:rsid w:val="00411048"/>
    <w:rsid w:val="00412281"/>
    <w:rsid w:val="00412DBA"/>
    <w:rsid w:val="0041352C"/>
    <w:rsid w:val="004137E6"/>
    <w:rsid w:val="004141BE"/>
    <w:rsid w:val="00415995"/>
    <w:rsid w:val="00421CE4"/>
    <w:rsid w:val="00422CF1"/>
    <w:rsid w:val="00424391"/>
    <w:rsid w:val="004246AA"/>
    <w:rsid w:val="00425AC4"/>
    <w:rsid w:val="00426E30"/>
    <w:rsid w:val="004275DC"/>
    <w:rsid w:val="00427660"/>
    <w:rsid w:val="00430CD5"/>
    <w:rsid w:val="00430E84"/>
    <w:rsid w:val="00431F4B"/>
    <w:rsid w:val="004347E5"/>
    <w:rsid w:val="00435287"/>
    <w:rsid w:val="00440AC7"/>
    <w:rsid w:val="00440F2E"/>
    <w:rsid w:val="00441326"/>
    <w:rsid w:val="004416AA"/>
    <w:rsid w:val="004416D2"/>
    <w:rsid w:val="00442DB7"/>
    <w:rsid w:val="00443CDC"/>
    <w:rsid w:val="004442DD"/>
    <w:rsid w:val="00445F86"/>
    <w:rsid w:val="004460F1"/>
    <w:rsid w:val="004469DB"/>
    <w:rsid w:val="00446C8E"/>
    <w:rsid w:val="00450005"/>
    <w:rsid w:val="004501FD"/>
    <w:rsid w:val="004515B3"/>
    <w:rsid w:val="004537B2"/>
    <w:rsid w:val="00453BE3"/>
    <w:rsid w:val="00454FF0"/>
    <w:rsid w:val="0046260D"/>
    <w:rsid w:val="00462CE5"/>
    <w:rsid w:val="0046466C"/>
    <w:rsid w:val="00465093"/>
    <w:rsid w:val="0046549F"/>
    <w:rsid w:val="00467E6C"/>
    <w:rsid w:val="004707EC"/>
    <w:rsid w:val="00470D2E"/>
    <w:rsid w:val="00471C9E"/>
    <w:rsid w:val="00471E49"/>
    <w:rsid w:val="00472DA4"/>
    <w:rsid w:val="00473191"/>
    <w:rsid w:val="0047331B"/>
    <w:rsid w:val="00473B30"/>
    <w:rsid w:val="004742AE"/>
    <w:rsid w:val="0047460A"/>
    <w:rsid w:val="004753B4"/>
    <w:rsid w:val="00477783"/>
    <w:rsid w:val="00477AB0"/>
    <w:rsid w:val="004812DE"/>
    <w:rsid w:val="00481624"/>
    <w:rsid w:val="00484786"/>
    <w:rsid w:val="00485755"/>
    <w:rsid w:val="00485FF4"/>
    <w:rsid w:val="0048796B"/>
    <w:rsid w:val="00487C7A"/>
    <w:rsid w:val="0049302E"/>
    <w:rsid w:val="004944F7"/>
    <w:rsid w:val="00494679"/>
    <w:rsid w:val="004947F1"/>
    <w:rsid w:val="0049487A"/>
    <w:rsid w:val="00495419"/>
    <w:rsid w:val="004960AA"/>
    <w:rsid w:val="004960EA"/>
    <w:rsid w:val="0049628A"/>
    <w:rsid w:val="004976AB"/>
    <w:rsid w:val="00497E7C"/>
    <w:rsid w:val="004A5C7D"/>
    <w:rsid w:val="004A7F15"/>
    <w:rsid w:val="004B00D9"/>
    <w:rsid w:val="004B1287"/>
    <w:rsid w:val="004B1357"/>
    <w:rsid w:val="004B162F"/>
    <w:rsid w:val="004B186D"/>
    <w:rsid w:val="004B7CEF"/>
    <w:rsid w:val="004C1099"/>
    <w:rsid w:val="004C2A70"/>
    <w:rsid w:val="004C2DDC"/>
    <w:rsid w:val="004C356A"/>
    <w:rsid w:val="004C4046"/>
    <w:rsid w:val="004C42E3"/>
    <w:rsid w:val="004C676F"/>
    <w:rsid w:val="004C7026"/>
    <w:rsid w:val="004D0721"/>
    <w:rsid w:val="004D0F69"/>
    <w:rsid w:val="004D1AFE"/>
    <w:rsid w:val="004D1BA7"/>
    <w:rsid w:val="004D2FB7"/>
    <w:rsid w:val="004D35F3"/>
    <w:rsid w:val="004D3D72"/>
    <w:rsid w:val="004D3F41"/>
    <w:rsid w:val="004D5703"/>
    <w:rsid w:val="004E0470"/>
    <w:rsid w:val="004E2C4F"/>
    <w:rsid w:val="004E3876"/>
    <w:rsid w:val="004E3BBF"/>
    <w:rsid w:val="004E585E"/>
    <w:rsid w:val="004E646C"/>
    <w:rsid w:val="004E64DE"/>
    <w:rsid w:val="004F0580"/>
    <w:rsid w:val="004F1032"/>
    <w:rsid w:val="004F18DA"/>
    <w:rsid w:val="004F1E5E"/>
    <w:rsid w:val="004F3A50"/>
    <w:rsid w:val="004F4BE6"/>
    <w:rsid w:val="004F5E89"/>
    <w:rsid w:val="004F60C5"/>
    <w:rsid w:val="004F6784"/>
    <w:rsid w:val="005014A6"/>
    <w:rsid w:val="00501AF0"/>
    <w:rsid w:val="005036C3"/>
    <w:rsid w:val="00503AE7"/>
    <w:rsid w:val="00503B5E"/>
    <w:rsid w:val="00505E27"/>
    <w:rsid w:val="0050690F"/>
    <w:rsid w:val="0051272C"/>
    <w:rsid w:val="00514D95"/>
    <w:rsid w:val="005156F6"/>
    <w:rsid w:val="00516180"/>
    <w:rsid w:val="0051663E"/>
    <w:rsid w:val="0051716D"/>
    <w:rsid w:val="00517241"/>
    <w:rsid w:val="00517E5C"/>
    <w:rsid w:val="00520135"/>
    <w:rsid w:val="005204D0"/>
    <w:rsid w:val="005207A5"/>
    <w:rsid w:val="00520D65"/>
    <w:rsid w:val="00521412"/>
    <w:rsid w:val="0052195D"/>
    <w:rsid w:val="00522848"/>
    <w:rsid w:val="005260F6"/>
    <w:rsid w:val="005267F9"/>
    <w:rsid w:val="00526F10"/>
    <w:rsid w:val="005273CD"/>
    <w:rsid w:val="005312CC"/>
    <w:rsid w:val="00531809"/>
    <w:rsid w:val="00533DEF"/>
    <w:rsid w:val="00534BE8"/>
    <w:rsid w:val="005355AA"/>
    <w:rsid w:val="00535A6B"/>
    <w:rsid w:val="00536E63"/>
    <w:rsid w:val="0053757F"/>
    <w:rsid w:val="005375FD"/>
    <w:rsid w:val="0054076C"/>
    <w:rsid w:val="005411A1"/>
    <w:rsid w:val="005426FD"/>
    <w:rsid w:val="00543768"/>
    <w:rsid w:val="005444F6"/>
    <w:rsid w:val="00544D80"/>
    <w:rsid w:val="00546B54"/>
    <w:rsid w:val="00550BB6"/>
    <w:rsid w:val="0055160B"/>
    <w:rsid w:val="005525B7"/>
    <w:rsid w:val="005577F4"/>
    <w:rsid w:val="00557AAB"/>
    <w:rsid w:val="00562694"/>
    <w:rsid w:val="00563850"/>
    <w:rsid w:val="00565FE7"/>
    <w:rsid w:val="005709A2"/>
    <w:rsid w:val="00570AC5"/>
    <w:rsid w:val="00573B57"/>
    <w:rsid w:val="00574F13"/>
    <w:rsid w:val="005811DF"/>
    <w:rsid w:val="00581787"/>
    <w:rsid w:val="00581A29"/>
    <w:rsid w:val="00581BFB"/>
    <w:rsid w:val="00581EB8"/>
    <w:rsid w:val="00583D61"/>
    <w:rsid w:val="00583D82"/>
    <w:rsid w:val="00584436"/>
    <w:rsid w:val="0058482D"/>
    <w:rsid w:val="00584A9B"/>
    <w:rsid w:val="00585881"/>
    <w:rsid w:val="00585C2E"/>
    <w:rsid w:val="00586650"/>
    <w:rsid w:val="00586F6A"/>
    <w:rsid w:val="00590674"/>
    <w:rsid w:val="00590D38"/>
    <w:rsid w:val="00591D0B"/>
    <w:rsid w:val="0059358C"/>
    <w:rsid w:val="00593C7A"/>
    <w:rsid w:val="00593D0E"/>
    <w:rsid w:val="00594695"/>
    <w:rsid w:val="00594E24"/>
    <w:rsid w:val="00595A0A"/>
    <w:rsid w:val="005967D1"/>
    <w:rsid w:val="00596AA4"/>
    <w:rsid w:val="00596E1D"/>
    <w:rsid w:val="005972B1"/>
    <w:rsid w:val="005A3129"/>
    <w:rsid w:val="005A579D"/>
    <w:rsid w:val="005A62FB"/>
    <w:rsid w:val="005A6510"/>
    <w:rsid w:val="005A6AE3"/>
    <w:rsid w:val="005A7121"/>
    <w:rsid w:val="005B0E95"/>
    <w:rsid w:val="005B1608"/>
    <w:rsid w:val="005B175D"/>
    <w:rsid w:val="005B2C65"/>
    <w:rsid w:val="005B3FBF"/>
    <w:rsid w:val="005B405D"/>
    <w:rsid w:val="005B447B"/>
    <w:rsid w:val="005B5599"/>
    <w:rsid w:val="005B796E"/>
    <w:rsid w:val="005B7FF6"/>
    <w:rsid w:val="005C0E17"/>
    <w:rsid w:val="005C1784"/>
    <w:rsid w:val="005C2492"/>
    <w:rsid w:val="005C2791"/>
    <w:rsid w:val="005C340A"/>
    <w:rsid w:val="005C3F2E"/>
    <w:rsid w:val="005C6082"/>
    <w:rsid w:val="005C7BEF"/>
    <w:rsid w:val="005D11E5"/>
    <w:rsid w:val="005D4977"/>
    <w:rsid w:val="005D5C1C"/>
    <w:rsid w:val="005D6144"/>
    <w:rsid w:val="005D753A"/>
    <w:rsid w:val="005D7D43"/>
    <w:rsid w:val="005D7E4E"/>
    <w:rsid w:val="005E0A0F"/>
    <w:rsid w:val="005E113E"/>
    <w:rsid w:val="005E1E83"/>
    <w:rsid w:val="005E2F78"/>
    <w:rsid w:val="005E3B9B"/>
    <w:rsid w:val="005E4B3D"/>
    <w:rsid w:val="005E4E01"/>
    <w:rsid w:val="005E58AB"/>
    <w:rsid w:val="005E7467"/>
    <w:rsid w:val="005F0532"/>
    <w:rsid w:val="005F06A9"/>
    <w:rsid w:val="005F23CA"/>
    <w:rsid w:val="005F28B5"/>
    <w:rsid w:val="005F4867"/>
    <w:rsid w:val="005F55AF"/>
    <w:rsid w:val="005F5A8C"/>
    <w:rsid w:val="005F5F5A"/>
    <w:rsid w:val="005F6D8A"/>
    <w:rsid w:val="005F7031"/>
    <w:rsid w:val="005F7451"/>
    <w:rsid w:val="00602570"/>
    <w:rsid w:val="006041D9"/>
    <w:rsid w:val="00604516"/>
    <w:rsid w:val="00604A91"/>
    <w:rsid w:val="0060688E"/>
    <w:rsid w:val="00607974"/>
    <w:rsid w:val="00611618"/>
    <w:rsid w:val="006133CE"/>
    <w:rsid w:val="006141BE"/>
    <w:rsid w:val="0061641E"/>
    <w:rsid w:val="00617819"/>
    <w:rsid w:val="006238B9"/>
    <w:rsid w:val="00623924"/>
    <w:rsid w:val="00623944"/>
    <w:rsid w:val="00623D88"/>
    <w:rsid w:val="00624A69"/>
    <w:rsid w:val="00624FFC"/>
    <w:rsid w:val="0062553A"/>
    <w:rsid w:val="00626B07"/>
    <w:rsid w:val="00627546"/>
    <w:rsid w:val="00630F55"/>
    <w:rsid w:val="00634610"/>
    <w:rsid w:val="00634AE6"/>
    <w:rsid w:val="00635383"/>
    <w:rsid w:val="00635D44"/>
    <w:rsid w:val="00637EA6"/>
    <w:rsid w:val="006404AB"/>
    <w:rsid w:val="00641500"/>
    <w:rsid w:val="00642E68"/>
    <w:rsid w:val="00643DE7"/>
    <w:rsid w:val="006459A9"/>
    <w:rsid w:val="00647497"/>
    <w:rsid w:val="00647AF8"/>
    <w:rsid w:val="0065029B"/>
    <w:rsid w:val="0065052C"/>
    <w:rsid w:val="00651949"/>
    <w:rsid w:val="006529FC"/>
    <w:rsid w:val="00653FB4"/>
    <w:rsid w:val="00654DA8"/>
    <w:rsid w:val="006557E7"/>
    <w:rsid w:val="00657CE4"/>
    <w:rsid w:val="00660FDD"/>
    <w:rsid w:val="00662B03"/>
    <w:rsid w:val="006642D5"/>
    <w:rsid w:val="00667144"/>
    <w:rsid w:val="006679AB"/>
    <w:rsid w:val="00670912"/>
    <w:rsid w:val="00671842"/>
    <w:rsid w:val="006718A7"/>
    <w:rsid w:val="00674CC4"/>
    <w:rsid w:val="00677615"/>
    <w:rsid w:val="00677B3E"/>
    <w:rsid w:val="0068003B"/>
    <w:rsid w:val="00680896"/>
    <w:rsid w:val="00683BFF"/>
    <w:rsid w:val="0068542A"/>
    <w:rsid w:val="00685671"/>
    <w:rsid w:val="00685906"/>
    <w:rsid w:val="00686A31"/>
    <w:rsid w:val="00686D0D"/>
    <w:rsid w:val="006902F4"/>
    <w:rsid w:val="00690ED3"/>
    <w:rsid w:val="00692025"/>
    <w:rsid w:val="00694021"/>
    <w:rsid w:val="00694F47"/>
    <w:rsid w:val="006950E9"/>
    <w:rsid w:val="00696F3E"/>
    <w:rsid w:val="00696FEC"/>
    <w:rsid w:val="006A01DF"/>
    <w:rsid w:val="006A0453"/>
    <w:rsid w:val="006A2362"/>
    <w:rsid w:val="006A2E13"/>
    <w:rsid w:val="006A314A"/>
    <w:rsid w:val="006A3A09"/>
    <w:rsid w:val="006A3B0B"/>
    <w:rsid w:val="006A7573"/>
    <w:rsid w:val="006A7E7A"/>
    <w:rsid w:val="006B036F"/>
    <w:rsid w:val="006B1D23"/>
    <w:rsid w:val="006B2994"/>
    <w:rsid w:val="006B2DFA"/>
    <w:rsid w:val="006B4BCF"/>
    <w:rsid w:val="006B5AD9"/>
    <w:rsid w:val="006B6460"/>
    <w:rsid w:val="006B6CA7"/>
    <w:rsid w:val="006B6D6B"/>
    <w:rsid w:val="006B7ADD"/>
    <w:rsid w:val="006C0167"/>
    <w:rsid w:val="006C02AB"/>
    <w:rsid w:val="006C0981"/>
    <w:rsid w:val="006C1F0B"/>
    <w:rsid w:val="006C27BA"/>
    <w:rsid w:val="006C311C"/>
    <w:rsid w:val="006C3FCD"/>
    <w:rsid w:val="006C5AA2"/>
    <w:rsid w:val="006C5CA0"/>
    <w:rsid w:val="006C5DBC"/>
    <w:rsid w:val="006C6688"/>
    <w:rsid w:val="006D0CD0"/>
    <w:rsid w:val="006D115D"/>
    <w:rsid w:val="006D1303"/>
    <w:rsid w:val="006D472C"/>
    <w:rsid w:val="006D7121"/>
    <w:rsid w:val="006E28DC"/>
    <w:rsid w:val="006E54C5"/>
    <w:rsid w:val="006E6833"/>
    <w:rsid w:val="006E6BFE"/>
    <w:rsid w:val="006F091D"/>
    <w:rsid w:val="006F1572"/>
    <w:rsid w:val="006F1809"/>
    <w:rsid w:val="006F1930"/>
    <w:rsid w:val="006F1FF1"/>
    <w:rsid w:val="006F32BA"/>
    <w:rsid w:val="006F6C4A"/>
    <w:rsid w:val="006F7EC3"/>
    <w:rsid w:val="00700795"/>
    <w:rsid w:val="007007DA"/>
    <w:rsid w:val="00700C05"/>
    <w:rsid w:val="00700F7E"/>
    <w:rsid w:val="00701A53"/>
    <w:rsid w:val="00703422"/>
    <w:rsid w:val="00704521"/>
    <w:rsid w:val="007062DA"/>
    <w:rsid w:val="00706DFA"/>
    <w:rsid w:val="00707C84"/>
    <w:rsid w:val="00707E8B"/>
    <w:rsid w:val="00710017"/>
    <w:rsid w:val="00712D3B"/>
    <w:rsid w:val="00713718"/>
    <w:rsid w:val="00714FFB"/>
    <w:rsid w:val="0071631D"/>
    <w:rsid w:val="0071647F"/>
    <w:rsid w:val="007164C8"/>
    <w:rsid w:val="00716C41"/>
    <w:rsid w:val="00716DB7"/>
    <w:rsid w:val="007205DE"/>
    <w:rsid w:val="00720ACC"/>
    <w:rsid w:val="00721480"/>
    <w:rsid w:val="00721776"/>
    <w:rsid w:val="00721C70"/>
    <w:rsid w:val="0072257C"/>
    <w:rsid w:val="00723EB5"/>
    <w:rsid w:val="00731FC7"/>
    <w:rsid w:val="00732320"/>
    <w:rsid w:val="00734005"/>
    <w:rsid w:val="00736553"/>
    <w:rsid w:val="0073670E"/>
    <w:rsid w:val="00737E72"/>
    <w:rsid w:val="00740B4C"/>
    <w:rsid w:val="00740D20"/>
    <w:rsid w:val="00740E0A"/>
    <w:rsid w:val="0074113C"/>
    <w:rsid w:val="00741D7B"/>
    <w:rsid w:val="007421F5"/>
    <w:rsid w:val="00744791"/>
    <w:rsid w:val="00745331"/>
    <w:rsid w:val="007454FD"/>
    <w:rsid w:val="00746A54"/>
    <w:rsid w:val="00746B09"/>
    <w:rsid w:val="007478DE"/>
    <w:rsid w:val="00747A63"/>
    <w:rsid w:val="00750055"/>
    <w:rsid w:val="007517A0"/>
    <w:rsid w:val="00751AD1"/>
    <w:rsid w:val="00751B1D"/>
    <w:rsid w:val="00752B3A"/>
    <w:rsid w:val="00752E78"/>
    <w:rsid w:val="007540A5"/>
    <w:rsid w:val="00755CC2"/>
    <w:rsid w:val="007566E4"/>
    <w:rsid w:val="007578FD"/>
    <w:rsid w:val="00760F13"/>
    <w:rsid w:val="00761FDE"/>
    <w:rsid w:val="00762ECA"/>
    <w:rsid w:val="007649BB"/>
    <w:rsid w:val="00766415"/>
    <w:rsid w:val="0077091D"/>
    <w:rsid w:val="0077145C"/>
    <w:rsid w:val="00771541"/>
    <w:rsid w:val="007720C9"/>
    <w:rsid w:val="00774CF8"/>
    <w:rsid w:val="00775211"/>
    <w:rsid w:val="007758AE"/>
    <w:rsid w:val="007758D7"/>
    <w:rsid w:val="00776AD9"/>
    <w:rsid w:val="0077718D"/>
    <w:rsid w:val="00777CC8"/>
    <w:rsid w:val="00781C5D"/>
    <w:rsid w:val="00782236"/>
    <w:rsid w:val="00783D45"/>
    <w:rsid w:val="00787801"/>
    <w:rsid w:val="00790013"/>
    <w:rsid w:val="00791FF6"/>
    <w:rsid w:val="007927D5"/>
    <w:rsid w:val="00792D30"/>
    <w:rsid w:val="00793AC2"/>
    <w:rsid w:val="00793D6E"/>
    <w:rsid w:val="00794BEB"/>
    <w:rsid w:val="007950B2"/>
    <w:rsid w:val="007975D4"/>
    <w:rsid w:val="00797882"/>
    <w:rsid w:val="007A384D"/>
    <w:rsid w:val="007A3BCC"/>
    <w:rsid w:val="007B00A6"/>
    <w:rsid w:val="007B67C9"/>
    <w:rsid w:val="007C0533"/>
    <w:rsid w:val="007C0A64"/>
    <w:rsid w:val="007C1725"/>
    <w:rsid w:val="007C4CB6"/>
    <w:rsid w:val="007C76F8"/>
    <w:rsid w:val="007D001C"/>
    <w:rsid w:val="007D14C2"/>
    <w:rsid w:val="007D19AC"/>
    <w:rsid w:val="007D1A06"/>
    <w:rsid w:val="007D2112"/>
    <w:rsid w:val="007D266B"/>
    <w:rsid w:val="007D316E"/>
    <w:rsid w:val="007D375E"/>
    <w:rsid w:val="007D3ADC"/>
    <w:rsid w:val="007D3C92"/>
    <w:rsid w:val="007D44B9"/>
    <w:rsid w:val="007D5338"/>
    <w:rsid w:val="007D5875"/>
    <w:rsid w:val="007D58B1"/>
    <w:rsid w:val="007D71D9"/>
    <w:rsid w:val="007E0C2D"/>
    <w:rsid w:val="007E1714"/>
    <w:rsid w:val="007E2B90"/>
    <w:rsid w:val="007E34F9"/>
    <w:rsid w:val="007E4EFD"/>
    <w:rsid w:val="007E56D9"/>
    <w:rsid w:val="007E7D1C"/>
    <w:rsid w:val="007F3263"/>
    <w:rsid w:val="007F35DB"/>
    <w:rsid w:val="007F48EB"/>
    <w:rsid w:val="007F4F3A"/>
    <w:rsid w:val="007F5A25"/>
    <w:rsid w:val="007F6174"/>
    <w:rsid w:val="007F6C60"/>
    <w:rsid w:val="007F76F9"/>
    <w:rsid w:val="007F7B86"/>
    <w:rsid w:val="008016BE"/>
    <w:rsid w:val="00802869"/>
    <w:rsid w:val="008031B2"/>
    <w:rsid w:val="008037A3"/>
    <w:rsid w:val="00804676"/>
    <w:rsid w:val="0080579D"/>
    <w:rsid w:val="00806631"/>
    <w:rsid w:val="00807824"/>
    <w:rsid w:val="00811FC5"/>
    <w:rsid w:val="0081309B"/>
    <w:rsid w:val="00813511"/>
    <w:rsid w:val="00813C46"/>
    <w:rsid w:val="008175A2"/>
    <w:rsid w:val="008176A7"/>
    <w:rsid w:val="00821978"/>
    <w:rsid w:val="0082538C"/>
    <w:rsid w:val="00825958"/>
    <w:rsid w:val="00830843"/>
    <w:rsid w:val="00831A1D"/>
    <w:rsid w:val="008326F0"/>
    <w:rsid w:val="00833647"/>
    <w:rsid w:val="00834BE0"/>
    <w:rsid w:val="00834C8A"/>
    <w:rsid w:val="00835BB8"/>
    <w:rsid w:val="008362BF"/>
    <w:rsid w:val="008363C1"/>
    <w:rsid w:val="00836C5A"/>
    <w:rsid w:val="008402B9"/>
    <w:rsid w:val="00841E24"/>
    <w:rsid w:val="00843EE5"/>
    <w:rsid w:val="008446C2"/>
    <w:rsid w:val="008449ED"/>
    <w:rsid w:val="00844C19"/>
    <w:rsid w:val="00845173"/>
    <w:rsid w:val="00845ABD"/>
    <w:rsid w:val="00845E60"/>
    <w:rsid w:val="008472E2"/>
    <w:rsid w:val="0085067C"/>
    <w:rsid w:val="00850E25"/>
    <w:rsid w:val="00851458"/>
    <w:rsid w:val="00852D75"/>
    <w:rsid w:val="00854D8F"/>
    <w:rsid w:val="008557FE"/>
    <w:rsid w:val="008559BB"/>
    <w:rsid w:val="00855ECD"/>
    <w:rsid w:val="00855F5A"/>
    <w:rsid w:val="00856330"/>
    <w:rsid w:val="00860909"/>
    <w:rsid w:val="008618C2"/>
    <w:rsid w:val="00861E7C"/>
    <w:rsid w:val="00865373"/>
    <w:rsid w:val="00866A08"/>
    <w:rsid w:val="00867360"/>
    <w:rsid w:val="00870052"/>
    <w:rsid w:val="0087079D"/>
    <w:rsid w:val="00871086"/>
    <w:rsid w:val="00871AC9"/>
    <w:rsid w:val="00872D0B"/>
    <w:rsid w:val="00874568"/>
    <w:rsid w:val="00874A14"/>
    <w:rsid w:val="008754C4"/>
    <w:rsid w:val="00877905"/>
    <w:rsid w:val="00880029"/>
    <w:rsid w:val="00880752"/>
    <w:rsid w:val="008814F8"/>
    <w:rsid w:val="008816DB"/>
    <w:rsid w:val="008821ED"/>
    <w:rsid w:val="00883698"/>
    <w:rsid w:val="008838C4"/>
    <w:rsid w:val="00883F6C"/>
    <w:rsid w:val="00884273"/>
    <w:rsid w:val="008844A3"/>
    <w:rsid w:val="00884957"/>
    <w:rsid w:val="00884A85"/>
    <w:rsid w:val="008851D9"/>
    <w:rsid w:val="0088613B"/>
    <w:rsid w:val="00887515"/>
    <w:rsid w:val="0089000B"/>
    <w:rsid w:val="008913EE"/>
    <w:rsid w:val="0089161B"/>
    <w:rsid w:val="008931CE"/>
    <w:rsid w:val="008941AF"/>
    <w:rsid w:val="00894E74"/>
    <w:rsid w:val="00895333"/>
    <w:rsid w:val="008959DF"/>
    <w:rsid w:val="00895C76"/>
    <w:rsid w:val="00895E49"/>
    <w:rsid w:val="008A097C"/>
    <w:rsid w:val="008A3CE7"/>
    <w:rsid w:val="008A569B"/>
    <w:rsid w:val="008A5818"/>
    <w:rsid w:val="008A68F6"/>
    <w:rsid w:val="008A70C0"/>
    <w:rsid w:val="008A7D63"/>
    <w:rsid w:val="008A7DF3"/>
    <w:rsid w:val="008B041C"/>
    <w:rsid w:val="008B13F5"/>
    <w:rsid w:val="008B1E9A"/>
    <w:rsid w:val="008B28F9"/>
    <w:rsid w:val="008B33F1"/>
    <w:rsid w:val="008B43F9"/>
    <w:rsid w:val="008B5AE1"/>
    <w:rsid w:val="008B5C25"/>
    <w:rsid w:val="008B72D7"/>
    <w:rsid w:val="008C169B"/>
    <w:rsid w:val="008C41AA"/>
    <w:rsid w:val="008C4EA0"/>
    <w:rsid w:val="008C509F"/>
    <w:rsid w:val="008C5C32"/>
    <w:rsid w:val="008C6AF0"/>
    <w:rsid w:val="008D10A7"/>
    <w:rsid w:val="008D3A0F"/>
    <w:rsid w:val="008D3AEF"/>
    <w:rsid w:val="008D5DD7"/>
    <w:rsid w:val="008D77C0"/>
    <w:rsid w:val="008D7927"/>
    <w:rsid w:val="008D7B7E"/>
    <w:rsid w:val="008E1FE4"/>
    <w:rsid w:val="008E231B"/>
    <w:rsid w:val="008E36E7"/>
    <w:rsid w:val="008E468A"/>
    <w:rsid w:val="008F0032"/>
    <w:rsid w:val="008F0265"/>
    <w:rsid w:val="008F1850"/>
    <w:rsid w:val="008F2FDA"/>
    <w:rsid w:val="008F3B0E"/>
    <w:rsid w:val="008F5577"/>
    <w:rsid w:val="008F5B71"/>
    <w:rsid w:val="008F5FA0"/>
    <w:rsid w:val="008F6F94"/>
    <w:rsid w:val="008F6F98"/>
    <w:rsid w:val="008F768C"/>
    <w:rsid w:val="008F7693"/>
    <w:rsid w:val="0090379D"/>
    <w:rsid w:val="00903890"/>
    <w:rsid w:val="00904F94"/>
    <w:rsid w:val="009068A6"/>
    <w:rsid w:val="00907173"/>
    <w:rsid w:val="009149C5"/>
    <w:rsid w:val="009154DF"/>
    <w:rsid w:val="00920DC3"/>
    <w:rsid w:val="00922185"/>
    <w:rsid w:val="009238F8"/>
    <w:rsid w:val="009260EB"/>
    <w:rsid w:val="00930CD4"/>
    <w:rsid w:val="00931E72"/>
    <w:rsid w:val="00932427"/>
    <w:rsid w:val="0093296D"/>
    <w:rsid w:val="00933CC4"/>
    <w:rsid w:val="00933F31"/>
    <w:rsid w:val="00934057"/>
    <w:rsid w:val="0093468B"/>
    <w:rsid w:val="009354BD"/>
    <w:rsid w:val="009355A0"/>
    <w:rsid w:val="009362F8"/>
    <w:rsid w:val="009405DE"/>
    <w:rsid w:val="009416BC"/>
    <w:rsid w:val="00942279"/>
    <w:rsid w:val="0094256D"/>
    <w:rsid w:val="009425A5"/>
    <w:rsid w:val="00942F7F"/>
    <w:rsid w:val="009431D4"/>
    <w:rsid w:val="009434A2"/>
    <w:rsid w:val="009463CF"/>
    <w:rsid w:val="009464BA"/>
    <w:rsid w:val="00950822"/>
    <w:rsid w:val="00951262"/>
    <w:rsid w:val="00951D54"/>
    <w:rsid w:val="00956488"/>
    <w:rsid w:val="00956E20"/>
    <w:rsid w:val="0096137B"/>
    <w:rsid w:val="0096311B"/>
    <w:rsid w:val="00964B7F"/>
    <w:rsid w:val="0096504B"/>
    <w:rsid w:val="00965078"/>
    <w:rsid w:val="009667C7"/>
    <w:rsid w:val="0096692C"/>
    <w:rsid w:val="00973D31"/>
    <w:rsid w:val="00974E3B"/>
    <w:rsid w:val="00977C3E"/>
    <w:rsid w:val="00977E7D"/>
    <w:rsid w:val="00980FC3"/>
    <w:rsid w:val="0098158A"/>
    <w:rsid w:val="0098353C"/>
    <w:rsid w:val="00983FE2"/>
    <w:rsid w:val="0098473C"/>
    <w:rsid w:val="0098708E"/>
    <w:rsid w:val="00987374"/>
    <w:rsid w:val="00992312"/>
    <w:rsid w:val="00992F9B"/>
    <w:rsid w:val="00993264"/>
    <w:rsid w:val="00993BDA"/>
    <w:rsid w:val="00993DEA"/>
    <w:rsid w:val="00994B3F"/>
    <w:rsid w:val="00994C1A"/>
    <w:rsid w:val="00996467"/>
    <w:rsid w:val="00997859"/>
    <w:rsid w:val="009A0D30"/>
    <w:rsid w:val="009A3DB5"/>
    <w:rsid w:val="009A4809"/>
    <w:rsid w:val="009A7AEF"/>
    <w:rsid w:val="009B06F5"/>
    <w:rsid w:val="009B1061"/>
    <w:rsid w:val="009B2DA2"/>
    <w:rsid w:val="009B2E51"/>
    <w:rsid w:val="009B2F5F"/>
    <w:rsid w:val="009B4AB0"/>
    <w:rsid w:val="009B6753"/>
    <w:rsid w:val="009C0C90"/>
    <w:rsid w:val="009C16A8"/>
    <w:rsid w:val="009C1F2E"/>
    <w:rsid w:val="009C4317"/>
    <w:rsid w:val="009C5169"/>
    <w:rsid w:val="009C553B"/>
    <w:rsid w:val="009C5E99"/>
    <w:rsid w:val="009C5F27"/>
    <w:rsid w:val="009C636F"/>
    <w:rsid w:val="009C7A62"/>
    <w:rsid w:val="009C7BBD"/>
    <w:rsid w:val="009D0196"/>
    <w:rsid w:val="009D0557"/>
    <w:rsid w:val="009D0A1B"/>
    <w:rsid w:val="009D255A"/>
    <w:rsid w:val="009D3FF6"/>
    <w:rsid w:val="009D45AF"/>
    <w:rsid w:val="009D6B14"/>
    <w:rsid w:val="009D7C04"/>
    <w:rsid w:val="009E0597"/>
    <w:rsid w:val="009E0D55"/>
    <w:rsid w:val="009E20FD"/>
    <w:rsid w:val="009E286C"/>
    <w:rsid w:val="009E31AD"/>
    <w:rsid w:val="009E4C27"/>
    <w:rsid w:val="009E4D29"/>
    <w:rsid w:val="009E5519"/>
    <w:rsid w:val="009E5EBF"/>
    <w:rsid w:val="009E61FE"/>
    <w:rsid w:val="009E75D8"/>
    <w:rsid w:val="009F0833"/>
    <w:rsid w:val="009F14E9"/>
    <w:rsid w:val="009F17EE"/>
    <w:rsid w:val="009F28DC"/>
    <w:rsid w:val="009F300D"/>
    <w:rsid w:val="009F3026"/>
    <w:rsid w:val="009F3EE5"/>
    <w:rsid w:val="009F41E2"/>
    <w:rsid w:val="009F4537"/>
    <w:rsid w:val="009F6429"/>
    <w:rsid w:val="009F69C9"/>
    <w:rsid w:val="009F751C"/>
    <w:rsid w:val="00A02CA1"/>
    <w:rsid w:val="00A04538"/>
    <w:rsid w:val="00A0573A"/>
    <w:rsid w:val="00A05AA4"/>
    <w:rsid w:val="00A12B2E"/>
    <w:rsid w:val="00A13CD1"/>
    <w:rsid w:val="00A1427A"/>
    <w:rsid w:val="00A14889"/>
    <w:rsid w:val="00A15346"/>
    <w:rsid w:val="00A15BC7"/>
    <w:rsid w:val="00A179A5"/>
    <w:rsid w:val="00A17B51"/>
    <w:rsid w:val="00A201DD"/>
    <w:rsid w:val="00A21E8C"/>
    <w:rsid w:val="00A2287D"/>
    <w:rsid w:val="00A22FB1"/>
    <w:rsid w:val="00A23DD9"/>
    <w:rsid w:val="00A24E1D"/>
    <w:rsid w:val="00A25802"/>
    <w:rsid w:val="00A25947"/>
    <w:rsid w:val="00A260E7"/>
    <w:rsid w:val="00A26B08"/>
    <w:rsid w:val="00A273C8"/>
    <w:rsid w:val="00A27521"/>
    <w:rsid w:val="00A30619"/>
    <w:rsid w:val="00A31BCE"/>
    <w:rsid w:val="00A32849"/>
    <w:rsid w:val="00A33A4C"/>
    <w:rsid w:val="00A36137"/>
    <w:rsid w:val="00A36334"/>
    <w:rsid w:val="00A36664"/>
    <w:rsid w:val="00A36D93"/>
    <w:rsid w:val="00A37C1C"/>
    <w:rsid w:val="00A400F9"/>
    <w:rsid w:val="00A41C83"/>
    <w:rsid w:val="00A442BF"/>
    <w:rsid w:val="00A4634C"/>
    <w:rsid w:val="00A4642B"/>
    <w:rsid w:val="00A47681"/>
    <w:rsid w:val="00A47E10"/>
    <w:rsid w:val="00A50873"/>
    <w:rsid w:val="00A51ECD"/>
    <w:rsid w:val="00A53588"/>
    <w:rsid w:val="00A54391"/>
    <w:rsid w:val="00A574BB"/>
    <w:rsid w:val="00A57A4D"/>
    <w:rsid w:val="00A62FCD"/>
    <w:rsid w:val="00A631F1"/>
    <w:rsid w:val="00A636A2"/>
    <w:rsid w:val="00A6386E"/>
    <w:rsid w:val="00A64675"/>
    <w:rsid w:val="00A64745"/>
    <w:rsid w:val="00A64D41"/>
    <w:rsid w:val="00A64FC4"/>
    <w:rsid w:val="00A653FB"/>
    <w:rsid w:val="00A65DCE"/>
    <w:rsid w:val="00A66F8F"/>
    <w:rsid w:val="00A67B27"/>
    <w:rsid w:val="00A7011B"/>
    <w:rsid w:val="00A7029C"/>
    <w:rsid w:val="00A71337"/>
    <w:rsid w:val="00A71E0F"/>
    <w:rsid w:val="00A7332E"/>
    <w:rsid w:val="00A7560C"/>
    <w:rsid w:val="00A757BF"/>
    <w:rsid w:val="00A75E95"/>
    <w:rsid w:val="00A75F12"/>
    <w:rsid w:val="00A76F13"/>
    <w:rsid w:val="00A7790D"/>
    <w:rsid w:val="00A80C81"/>
    <w:rsid w:val="00A80E37"/>
    <w:rsid w:val="00A81A7A"/>
    <w:rsid w:val="00A81CFB"/>
    <w:rsid w:val="00A82965"/>
    <w:rsid w:val="00A849B4"/>
    <w:rsid w:val="00A85247"/>
    <w:rsid w:val="00A8529D"/>
    <w:rsid w:val="00A86D3C"/>
    <w:rsid w:val="00A9228A"/>
    <w:rsid w:val="00A9430F"/>
    <w:rsid w:val="00A95514"/>
    <w:rsid w:val="00A95711"/>
    <w:rsid w:val="00A97C78"/>
    <w:rsid w:val="00AA0C8A"/>
    <w:rsid w:val="00AA268C"/>
    <w:rsid w:val="00AA2D72"/>
    <w:rsid w:val="00AA2F8D"/>
    <w:rsid w:val="00AA500C"/>
    <w:rsid w:val="00AA59D0"/>
    <w:rsid w:val="00AA5E46"/>
    <w:rsid w:val="00AA6307"/>
    <w:rsid w:val="00AA6340"/>
    <w:rsid w:val="00AA7982"/>
    <w:rsid w:val="00AB4965"/>
    <w:rsid w:val="00AB4CB6"/>
    <w:rsid w:val="00AB5641"/>
    <w:rsid w:val="00AB69B1"/>
    <w:rsid w:val="00AC1940"/>
    <w:rsid w:val="00AC227F"/>
    <w:rsid w:val="00AD0193"/>
    <w:rsid w:val="00AD0288"/>
    <w:rsid w:val="00AD1653"/>
    <w:rsid w:val="00AD1693"/>
    <w:rsid w:val="00AD55D3"/>
    <w:rsid w:val="00AD5A3D"/>
    <w:rsid w:val="00AD7ED1"/>
    <w:rsid w:val="00AE3663"/>
    <w:rsid w:val="00AE392A"/>
    <w:rsid w:val="00AE4990"/>
    <w:rsid w:val="00AE5A06"/>
    <w:rsid w:val="00AE60C5"/>
    <w:rsid w:val="00AF0B49"/>
    <w:rsid w:val="00AF250B"/>
    <w:rsid w:val="00AF2B40"/>
    <w:rsid w:val="00AF3199"/>
    <w:rsid w:val="00AF5447"/>
    <w:rsid w:val="00AF55D6"/>
    <w:rsid w:val="00AF5AB9"/>
    <w:rsid w:val="00AF6991"/>
    <w:rsid w:val="00AF6A53"/>
    <w:rsid w:val="00B02B7E"/>
    <w:rsid w:val="00B02C7C"/>
    <w:rsid w:val="00B03EE6"/>
    <w:rsid w:val="00B04B08"/>
    <w:rsid w:val="00B06BC0"/>
    <w:rsid w:val="00B10AC0"/>
    <w:rsid w:val="00B113DB"/>
    <w:rsid w:val="00B12C76"/>
    <w:rsid w:val="00B131FC"/>
    <w:rsid w:val="00B15E4E"/>
    <w:rsid w:val="00B164C3"/>
    <w:rsid w:val="00B17B63"/>
    <w:rsid w:val="00B17ED5"/>
    <w:rsid w:val="00B20FDD"/>
    <w:rsid w:val="00B21881"/>
    <w:rsid w:val="00B21CDA"/>
    <w:rsid w:val="00B22AAF"/>
    <w:rsid w:val="00B24DF1"/>
    <w:rsid w:val="00B260EE"/>
    <w:rsid w:val="00B26DF9"/>
    <w:rsid w:val="00B2728F"/>
    <w:rsid w:val="00B32A19"/>
    <w:rsid w:val="00B32C77"/>
    <w:rsid w:val="00B3335C"/>
    <w:rsid w:val="00B33DBC"/>
    <w:rsid w:val="00B341A8"/>
    <w:rsid w:val="00B34C17"/>
    <w:rsid w:val="00B367D0"/>
    <w:rsid w:val="00B40827"/>
    <w:rsid w:val="00B414B7"/>
    <w:rsid w:val="00B41EB2"/>
    <w:rsid w:val="00B42995"/>
    <w:rsid w:val="00B42E7E"/>
    <w:rsid w:val="00B44136"/>
    <w:rsid w:val="00B46391"/>
    <w:rsid w:val="00B46737"/>
    <w:rsid w:val="00B47BC4"/>
    <w:rsid w:val="00B504DD"/>
    <w:rsid w:val="00B532F6"/>
    <w:rsid w:val="00B53F3C"/>
    <w:rsid w:val="00B54385"/>
    <w:rsid w:val="00B54AF2"/>
    <w:rsid w:val="00B568A7"/>
    <w:rsid w:val="00B57621"/>
    <w:rsid w:val="00B6063F"/>
    <w:rsid w:val="00B60934"/>
    <w:rsid w:val="00B61B81"/>
    <w:rsid w:val="00B646D6"/>
    <w:rsid w:val="00B64F95"/>
    <w:rsid w:val="00B65C02"/>
    <w:rsid w:val="00B65D3D"/>
    <w:rsid w:val="00B67216"/>
    <w:rsid w:val="00B67622"/>
    <w:rsid w:val="00B711AE"/>
    <w:rsid w:val="00B719BF"/>
    <w:rsid w:val="00B71BBD"/>
    <w:rsid w:val="00B735E1"/>
    <w:rsid w:val="00B73822"/>
    <w:rsid w:val="00B752F4"/>
    <w:rsid w:val="00B763E7"/>
    <w:rsid w:val="00B778A1"/>
    <w:rsid w:val="00B80715"/>
    <w:rsid w:val="00B81B39"/>
    <w:rsid w:val="00B81C0B"/>
    <w:rsid w:val="00B81CAB"/>
    <w:rsid w:val="00B82352"/>
    <w:rsid w:val="00B82E2A"/>
    <w:rsid w:val="00B860E2"/>
    <w:rsid w:val="00B8646E"/>
    <w:rsid w:val="00B866E0"/>
    <w:rsid w:val="00B87D06"/>
    <w:rsid w:val="00B92C0D"/>
    <w:rsid w:val="00B93598"/>
    <w:rsid w:val="00B94800"/>
    <w:rsid w:val="00B953C4"/>
    <w:rsid w:val="00B95793"/>
    <w:rsid w:val="00B96615"/>
    <w:rsid w:val="00B96E16"/>
    <w:rsid w:val="00B9777B"/>
    <w:rsid w:val="00BA098A"/>
    <w:rsid w:val="00BA4704"/>
    <w:rsid w:val="00BA4CD9"/>
    <w:rsid w:val="00BA5B09"/>
    <w:rsid w:val="00BA605C"/>
    <w:rsid w:val="00BA6E6D"/>
    <w:rsid w:val="00BA7F64"/>
    <w:rsid w:val="00BB04F2"/>
    <w:rsid w:val="00BB2D83"/>
    <w:rsid w:val="00BB462C"/>
    <w:rsid w:val="00BB4DBC"/>
    <w:rsid w:val="00BB5BBA"/>
    <w:rsid w:val="00BB5D2C"/>
    <w:rsid w:val="00BB6833"/>
    <w:rsid w:val="00BC074D"/>
    <w:rsid w:val="00BC14E8"/>
    <w:rsid w:val="00BC2CDA"/>
    <w:rsid w:val="00BC2E56"/>
    <w:rsid w:val="00BC3449"/>
    <w:rsid w:val="00BC4A81"/>
    <w:rsid w:val="00BC5ACE"/>
    <w:rsid w:val="00BC6024"/>
    <w:rsid w:val="00BC6B38"/>
    <w:rsid w:val="00BC7AC3"/>
    <w:rsid w:val="00BD1702"/>
    <w:rsid w:val="00BD18EA"/>
    <w:rsid w:val="00BD2932"/>
    <w:rsid w:val="00BD297C"/>
    <w:rsid w:val="00BD2A7B"/>
    <w:rsid w:val="00BD35F5"/>
    <w:rsid w:val="00BD38CF"/>
    <w:rsid w:val="00BD4D3F"/>
    <w:rsid w:val="00BD6CAE"/>
    <w:rsid w:val="00BE0695"/>
    <w:rsid w:val="00BE1E51"/>
    <w:rsid w:val="00BE4723"/>
    <w:rsid w:val="00BE4840"/>
    <w:rsid w:val="00BE5365"/>
    <w:rsid w:val="00BE62AD"/>
    <w:rsid w:val="00BE7E67"/>
    <w:rsid w:val="00BF24C7"/>
    <w:rsid w:val="00BF41D5"/>
    <w:rsid w:val="00BF42B8"/>
    <w:rsid w:val="00BF5706"/>
    <w:rsid w:val="00BF5F14"/>
    <w:rsid w:val="00BF641F"/>
    <w:rsid w:val="00BF762E"/>
    <w:rsid w:val="00BF78FD"/>
    <w:rsid w:val="00BF7CB5"/>
    <w:rsid w:val="00C01423"/>
    <w:rsid w:val="00C02205"/>
    <w:rsid w:val="00C0258F"/>
    <w:rsid w:val="00C02766"/>
    <w:rsid w:val="00C03DF7"/>
    <w:rsid w:val="00C06F17"/>
    <w:rsid w:val="00C07049"/>
    <w:rsid w:val="00C10189"/>
    <w:rsid w:val="00C106FF"/>
    <w:rsid w:val="00C1077A"/>
    <w:rsid w:val="00C122DF"/>
    <w:rsid w:val="00C12325"/>
    <w:rsid w:val="00C13607"/>
    <w:rsid w:val="00C137C4"/>
    <w:rsid w:val="00C13801"/>
    <w:rsid w:val="00C14BAC"/>
    <w:rsid w:val="00C14F25"/>
    <w:rsid w:val="00C153B3"/>
    <w:rsid w:val="00C15C7E"/>
    <w:rsid w:val="00C1621A"/>
    <w:rsid w:val="00C1739B"/>
    <w:rsid w:val="00C2280D"/>
    <w:rsid w:val="00C229B8"/>
    <w:rsid w:val="00C22BC4"/>
    <w:rsid w:val="00C23845"/>
    <w:rsid w:val="00C23BCD"/>
    <w:rsid w:val="00C2442B"/>
    <w:rsid w:val="00C25E26"/>
    <w:rsid w:val="00C26EC6"/>
    <w:rsid w:val="00C32ACF"/>
    <w:rsid w:val="00C33B3D"/>
    <w:rsid w:val="00C33B49"/>
    <w:rsid w:val="00C35136"/>
    <w:rsid w:val="00C3717A"/>
    <w:rsid w:val="00C37AD5"/>
    <w:rsid w:val="00C37F64"/>
    <w:rsid w:val="00C406E2"/>
    <w:rsid w:val="00C41193"/>
    <w:rsid w:val="00C44039"/>
    <w:rsid w:val="00C44417"/>
    <w:rsid w:val="00C45B6E"/>
    <w:rsid w:val="00C4732E"/>
    <w:rsid w:val="00C47743"/>
    <w:rsid w:val="00C50711"/>
    <w:rsid w:val="00C50D0C"/>
    <w:rsid w:val="00C51266"/>
    <w:rsid w:val="00C520B2"/>
    <w:rsid w:val="00C54A44"/>
    <w:rsid w:val="00C54C8E"/>
    <w:rsid w:val="00C54CB1"/>
    <w:rsid w:val="00C5546E"/>
    <w:rsid w:val="00C554DA"/>
    <w:rsid w:val="00C55CEA"/>
    <w:rsid w:val="00C56D4E"/>
    <w:rsid w:val="00C57E81"/>
    <w:rsid w:val="00C60C55"/>
    <w:rsid w:val="00C60E2D"/>
    <w:rsid w:val="00C61467"/>
    <w:rsid w:val="00C6158E"/>
    <w:rsid w:val="00C617B9"/>
    <w:rsid w:val="00C62651"/>
    <w:rsid w:val="00C6320E"/>
    <w:rsid w:val="00C70959"/>
    <w:rsid w:val="00C71A7D"/>
    <w:rsid w:val="00C7235A"/>
    <w:rsid w:val="00C723D8"/>
    <w:rsid w:val="00C728AF"/>
    <w:rsid w:val="00C72BBF"/>
    <w:rsid w:val="00C72FBE"/>
    <w:rsid w:val="00C738F8"/>
    <w:rsid w:val="00C745CE"/>
    <w:rsid w:val="00C746FA"/>
    <w:rsid w:val="00C762FD"/>
    <w:rsid w:val="00C770C9"/>
    <w:rsid w:val="00C81B54"/>
    <w:rsid w:val="00C83183"/>
    <w:rsid w:val="00C8399B"/>
    <w:rsid w:val="00C83B4B"/>
    <w:rsid w:val="00C83D1A"/>
    <w:rsid w:val="00C84D62"/>
    <w:rsid w:val="00C85BBD"/>
    <w:rsid w:val="00C85D68"/>
    <w:rsid w:val="00C864A2"/>
    <w:rsid w:val="00C86AA7"/>
    <w:rsid w:val="00C870F8"/>
    <w:rsid w:val="00C871C5"/>
    <w:rsid w:val="00C87B13"/>
    <w:rsid w:val="00C90630"/>
    <w:rsid w:val="00C90AD5"/>
    <w:rsid w:val="00C96667"/>
    <w:rsid w:val="00C973F2"/>
    <w:rsid w:val="00C975D9"/>
    <w:rsid w:val="00CA067D"/>
    <w:rsid w:val="00CA0845"/>
    <w:rsid w:val="00CA0A07"/>
    <w:rsid w:val="00CA1214"/>
    <w:rsid w:val="00CA13BE"/>
    <w:rsid w:val="00CA1CAF"/>
    <w:rsid w:val="00CA4238"/>
    <w:rsid w:val="00CA51A6"/>
    <w:rsid w:val="00CA596B"/>
    <w:rsid w:val="00CA5E22"/>
    <w:rsid w:val="00CA6B7F"/>
    <w:rsid w:val="00CA6BB6"/>
    <w:rsid w:val="00CA6E3D"/>
    <w:rsid w:val="00CA734D"/>
    <w:rsid w:val="00CA7B89"/>
    <w:rsid w:val="00CA7D59"/>
    <w:rsid w:val="00CB0897"/>
    <w:rsid w:val="00CB0E56"/>
    <w:rsid w:val="00CB109E"/>
    <w:rsid w:val="00CB299C"/>
    <w:rsid w:val="00CB3CC7"/>
    <w:rsid w:val="00CB4361"/>
    <w:rsid w:val="00CB4A74"/>
    <w:rsid w:val="00CB51C7"/>
    <w:rsid w:val="00CB5902"/>
    <w:rsid w:val="00CB636C"/>
    <w:rsid w:val="00CB6CDC"/>
    <w:rsid w:val="00CC157B"/>
    <w:rsid w:val="00CC232F"/>
    <w:rsid w:val="00CC2C85"/>
    <w:rsid w:val="00CC4203"/>
    <w:rsid w:val="00CC522E"/>
    <w:rsid w:val="00CC5687"/>
    <w:rsid w:val="00CC5A18"/>
    <w:rsid w:val="00CC6648"/>
    <w:rsid w:val="00CC67DC"/>
    <w:rsid w:val="00CD0F90"/>
    <w:rsid w:val="00CD142C"/>
    <w:rsid w:val="00CD1561"/>
    <w:rsid w:val="00CD233F"/>
    <w:rsid w:val="00CD3484"/>
    <w:rsid w:val="00CD4DBE"/>
    <w:rsid w:val="00CD4E76"/>
    <w:rsid w:val="00CD5A5F"/>
    <w:rsid w:val="00CD5ADB"/>
    <w:rsid w:val="00CD5E34"/>
    <w:rsid w:val="00CD6632"/>
    <w:rsid w:val="00CE17FC"/>
    <w:rsid w:val="00CE1809"/>
    <w:rsid w:val="00CE251B"/>
    <w:rsid w:val="00CE2BD4"/>
    <w:rsid w:val="00CE4A45"/>
    <w:rsid w:val="00CE5721"/>
    <w:rsid w:val="00CF243F"/>
    <w:rsid w:val="00CF3142"/>
    <w:rsid w:val="00CF341D"/>
    <w:rsid w:val="00CF5D10"/>
    <w:rsid w:val="00CF7128"/>
    <w:rsid w:val="00CF741F"/>
    <w:rsid w:val="00CF79FD"/>
    <w:rsid w:val="00D00119"/>
    <w:rsid w:val="00D036E3"/>
    <w:rsid w:val="00D03930"/>
    <w:rsid w:val="00D04198"/>
    <w:rsid w:val="00D04B95"/>
    <w:rsid w:val="00D05B09"/>
    <w:rsid w:val="00D068D9"/>
    <w:rsid w:val="00D068F6"/>
    <w:rsid w:val="00D13C18"/>
    <w:rsid w:val="00D16BBA"/>
    <w:rsid w:val="00D16D7F"/>
    <w:rsid w:val="00D16F0B"/>
    <w:rsid w:val="00D2045C"/>
    <w:rsid w:val="00D209C6"/>
    <w:rsid w:val="00D211A4"/>
    <w:rsid w:val="00D2262F"/>
    <w:rsid w:val="00D23067"/>
    <w:rsid w:val="00D24CDA"/>
    <w:rsid w:val="00D2685B"/>
    <w:rsid w:val="00D27C18"/>
    <w:rsid w:val="00D310E4"/>
    <w:rsid w:val="00D3284C"/>
    <w:rsid w:val="00D35022"/>
    <w:rsid w:val="00D35FF1"/>
    <w:rsid w:val="00D36993"/>
    <w:rsid w:val="00D4050E"/>
    <w:rsid w:val="00D418A8"/>
    <w:rsid w:val="00D419C4"/>
    <w:rsid w:val="00D4287F"/>
    <w:rsid w:val="00D431B5"/>
    <w:rsid w:val="00D435F3"/>
    <w:rsid w:val="00D45D5A"/>
    <w:rsid w:val="00D45D5F"/>
    <w:rsid w:val="00D478A6"/>
    <w:rsid w:val="00D47C10"/>
    <w:rsid w:val="00D50F8E"/>
    <w:rsid w:val="00D5124E"/>
    <w:rsid w:val="00D51454"/>
    <w:rsid w:val="00D5160D"/>
    <w:rsid w:val="00D51612"/>
    <w:rsid w:val="00D516B4"/>
    <w:rsid w:val="00D538D9"/>
    <w:rsid w:val="00D5490F"/>
    <w:rsid w:val="00D5496D"/>
    <w:rsid w:val="00D55968"/>
    <w:rsid w:val="00D55B20"/>
    <w:rsid w:val="00D55EA0"/>
    <w:rsid w:val="00D614C8"/>
    <w:rsid w:val="00D6198E"/>
    <w:rsid w:val="00D61D70"/>
    <w:rsid w:val="00D6217B"/>
    <w:rsid w:val="00D623AD"/>
    <w:rsid w:val="00D6421E"/>
    <w:rsid w:val="00D645ED"/>
    <w:rsid w:val="00D64DB8"/>
    <w:rsid w:val="00D66675"/>
    <w:rsid w:val="00D66811"/>
    <w:rsid w:val="00D67E3C"/>
    <w:rsid w:val="00D72307"/>
    <w:rsid w:val="00D745DC"/>
    <w:rsid w:val="00D770E0"/>
    <w:rsid w:val="00D77B9B"/>
    <w:rsid w:val="00D812FF"/>
    <w:rsid w:val="00D814EA"/>
    <w:rsid w:val="00D826F1"/>
    <w:rsid w:val="00D82732"/>
    <w:rsid w:val="00D82E83"/>
    <w:rsid w:val="00D83281"/>
    <w:rsid w:val="00D832CD"/>
    <w:rsid w:val="00D849A1"/>
    <w:rsid w:val="00D8612B"/>
    <w:rsid w:val="00D872BF"/>
    <w:rsid w:val="00D87BD1"/>
    <w:rsid w:val="00D903D9"/>
    <w:rsid w:val="00D9088E"/>
    <w:rsid w:val="00D93BDE"/>
    <w:rsid w:val="00D94037"/>
    <w:rsid w:val="00D94071"/>
    <w:rsid w:val="00D95D41"/>
    <w:rsid w:val="00D95FD5"/>
    <w:rsid w:val="00D96F03"/>
    <w:rsid w:val="00DA216A"/>
    <w:rsid w:val="00DA3201"/>
    <w:rsid w:val="00DA4654"/>
    <w:rsid w:val="00DA4D91"/>
    <w:rsid w:val="00DB059E"/>
    <w:rsid w:val="00DB0E1B"/>
    <w:rsid w:val="00DB2598"/>
    <w:rsid w:val="00DB507A"/>
    <w:rsid w:val="00DB58CD"/>
    <w:rsid w:val="00DB5989"/>
    <w:rsid w:val="00DB5C32"/>
    <w:rsid w:val="00DC0461"/>
    <w:rsid w:val="00DC0A67"/>
    <w:rsid w:val="00DC0E3A"/>
    <w:rsid w:val="00DC17C6"/>
    <w:rsid w:val="00DC4415"/>
    <w:rsid w:val="00DC45CC"/>
    <w:rsid w:val="00DC4E85"/>
    <w:rsid w:val="00DC5051"/>
    <w:rsid w:val="00DC53A8"/>
    <w:rsid w:val="00DC6795"/>
    <w:rsid w:val="00DC6A6B"/>
    <w:rsid w:val="00DD1C75"/>
    <w:rsid w:val="00DD25E3"/>
    <w:rsid w:val="00DD2A23"/>
    <w:rsid w:val="00DD320D"/>
    <w:rsid w:val="00DD4130"/>
    <w:rsid w:val="00DD5534"/>
    <w:rsid w:val="00DD5A0B"/>
    <w:rsid w:val="00DD5C72"/>
    <w:rsid w:val="00DD7CDF"/>
    <w:rsid w:val="00DE05DC"/>
    <w:rsid w:val="00DE25D4"/>
    <w:rsid w:val="00DE31C5"/>
    <w:rsid w:val="00DE3A35"/>
    <w:rsid w:val="00DE4F41"/>
    <w:rsid w:val="00DE4F8E"/>
    <w:rsid w:val="00DE584F"/>
    <w:rsid w:val="00DF0733"/>
    <w:rsid w:val="00DF07CC"/>
    <w:rsid w:val="00DF13EA"/>
    <w:rsid w:val="00DF4226"/>
    <w:rsid w:val="00DF443C"/>
    <w:rsid w:val="00DF46EB"/>
    <w:rsid w:val="00DF5354"/>
    <w:rsid w:val="00DF642E"/>
    <w:rsid w:val="00DF6581"/>
    <w:rsid w:val="00DF7577"/>
    <w:rsid w:val="00E00A78"/>
    <w:rsid w:val="00E00D18"/>
    <w:rsid w:val="00E01163"/>
    <w:rsid w:val="00E0534B"/>
    <w:rsid w:val="00E1048C"/>
    <w:rsid w:val="00E10CB1"/>
    <w:rsid w:val="00E11289"/>
    <w:rsid w:val="00E11496"/>
    <w:rsid w:val="00E11B3A"/>
    <w:rsid w:val="00E120C5"/>
    <w:rsid w:val="00E142B5"/>
    <w:rsid w:val="00E1451A"/>
    <w:rsid w:val="00E147C9"/>
    <w:rsid w:val="00E14AC5"/>
    <w:rsid w:val="00E14E13"/>
    <w:rsid w:val="00E14FB4"/>
    <w:rsid w:val="00E201D0"/>
    <w:rsid w:val="00E20A48"/>
    <w:rsid w:val="00E25416"/>
    <w:rsid w:val="00E26235"/>
    <w:rsid w:val="00E278AF"/>
    <w:rsid w:val="00E27FD2"/>
    <w:rsid w:val="00E30E9B"/>
    <w:rsid w:val="00E32843"/>
    <w:rsid w:val="00E32BBC"/>
    <w:rsid w:val="00E35858"/>
    <w:rsid w:val="00E368D3"/>
    <w:rsid w:val="00E37015"/>
    <w:rsid w:val="00E40642"/>
    <w:rsid w:val="00E40DDA"/>
    <w:rsid w:val="00E41D5A"/>
    <w:rsid w:val="00E440C6"/>
    <w:rsid w:val="00E4421C"/>
    <w:rsid w:val="00E45E08"/>
    <w:rsid w:val="00E45E64"/>
    <w:rsid w:val="00E47930"/>
    <w:rsid w:val="00E5122C"/>
    <w:rsid w:val="00E52050"/>
    <w:rsid w:val="00E54AFE"/>
    <w:rsid w:val="00E5765F"/>
    <w:rsid w:val="00E579EF"/>
    <w:rsid w:val="00E6053C"/>
    <w:rsid w:val="00E60CCD"/>
    <w:rsid w:val="00E61828"/>
    <w:rsid w:val="00E627F8"/>
    <w:rsid w:val="00E62ACA"/>
    <w:rsid w:val="00E62CC8"/>
    <w:rsid w:val="00E63632"/>
    <w:rsid w:val="00E64EAC"/>
    <w:rsid w:val="00E65C4A"/>
    <w:rsid w:val="00E65D0F"/>
    <w:rsid w:val="00E660E6"/>
    <w:rsid w:val="00E66481"/>
    <w:rsid w:val="00E668C6"/>
    <w:rsid w:val="00E71473"/>
    <w:rsid w:val="00E750E5"/>
    <w:rsid w:val="00E7569C"/>
    <w:rsid w:val="00E76AD0"/>
    <w:rsid w:val="00E80760"/>
    <w:rsid w:val="00E80E86"/>
    <w:rsid w:val="00E80F1C"/>
    <w:rsid w:val="00E81520"/>
    <w:rsid w:val="00E81BAF"/>
    <w:rsid w:val="00E83DA2"/>
    <w:rsid w:val="00E8425D"/>
    <w:rsid w:val="00E848F5"/>
    <w:rsid w:val="00E8542D"/>
    <w:rsid w:val="00E8686E"/>
    <w:rsid w:val="00E86C74"/>
    <w:rsid w:val="00E86EF6"/>
    <w:rsid w:val="00E87C15"/>
    <w:rsid w:val="00E93570"/>
    <w:rsid w:val="00E9363F"/>
    <w:rsid w:val="00E93F17"/>
    <w:rsid w:val="00E944A0"/>
    <w:rsid w:val="00E94B1A"/>
    <w:rsid w:val="00EA35DE"/>
    <w:rsid w:val="00EA4C05"/>
    <w:rsid w:val="00EA75E5"/>
    <w:rsid w:val="00EA774A"/>
    <w:rsid w:val="00EB1504"/>
    <w:rsid w:val="00EB169D"/>
    <w:rsid w:val="00EB1F03"/>
    <w:rsid w:val="00EB1F95"/>
    <w:rsid w:val="00EB4A68"/>
    <w:rsid w:val="00EB56D3"/>
    <w:rsid w:val="00EB594D"/>
    <w:rsid w:val="00EB5E38"/>
    <w:rsid w:val="00EB737B"/>
    <w:rsid w:val="00EC1525"/>
    <w:rsid w:val="00EC2BFE"/>
    <w:rsid w:val="00EC303D"/>
    <w:rsid w:val="00EC3590"/>
    <w:rsid w:val="00EC6C0E"/>
    <w:rsid w:val="00EC7BD8"/>
    <w:rsid w:val="00ED025E"/>
    <w:rsid w:val="00ED02EA"/>
    <w:rsid w:val="00ED04ED"/>
    <w:rsid w:val="00ED0CC3"/>
    <w:rsid w:val="00ED1958"/>
    <w:rsid w:val="00ED2480"/>
    <w:rsid w:val="00ED2E53"/>
    <w:rsid w:val="00ED40E9"/>
    <w:rsid w:val="00ED4824"/>
    <w:rsid w:val="00ED5CE6"/>
    <w:rsid w:val="00ED669E"/>
    <w:rsid w:val="00ED6EC1"/>
    <w:rsid w:val="00ED783F"/>
    <w:rsid w:val="00EE0971"/>
    <w:rsid w:val="00EE0B96"/>
    <w:rsid w:val="00EE0CB8"/>
    <w:rsid w:val="00EE122F"/>
    <w:rsid w:val="00EE2192"/>
    <w:rsid w:val="00EE2838"/>
    <w:rsid w:val="00EE5A97"/>
    <w:rsid w:val="00EE616B"/>
    <w:rsid w:val="00EE66BB"/>
    <w:rsid w:val="00EF1DB1"/>
    <w:rsid w:val="00EF32B3"/>
    <w:rsid w:val="00EF4542"/>
    <w:rsid w:val="00EF4818"/>
    <w:rsid w:val="00EF50E8"/>
    <w:rsid w:val="00EF5229"/>
    <w:rsid w:val="00EF5945"/>
    <w:rsid w:val="00EF5976"/>
    <w:rsid w:val="00EF5AA7"/>
    <w:rsid w:val="00EF7857"/>
    <w:rsid w:val="00F01B30"/>
    <w:rsid w:val="00F01DBB"/>
    <w:rsid w:val="00F02AE7"/>
    <w:rsid w:val="00F02EDD"/>
    <w:rsid w:val="00F04F3E"/>
    <w:rsid w:val="00F05DF2"/>
    <w:rsid w:val="00F0730D"/>
    <w:rsid w:val="00F1124C"/>
    <w:rsid w:val="00F13DE9"/>
    <w:rsid w:val="00F14964"/>
    <w:rsid w:val="00F160FF"/>
    <w:rsid w:val="00F1673C"/>
    <w:rsid w:val="00F167AC"/>
    <w:rsid w:val="00F1712E"/>
    <w:rsid w:val="00F20F53"/>
    <w:rsid w:val="00F20F60"/>
    <w:rsid w:val="00F22B2D"/>
    <w:rsid w:val="00F22F14"/>
    <w:rsid w:val="00F2505B"/>
    <w:rsid w:val="00F253EE"/>
    <w:rsid w:val="00F31DD8"/>
    <w:rsid w:val="00F33401"/>
    <w:rsid w:val="00F340AD"/>
    <w:rsid w:val="00F34511"/>
    <w:rsid w:val="00F34ABE"/>
    <w:rsid w:val="00F34C2B"/>
    <w:rsid w:val="00F3569E"/>
    <w:rsid w:val="00F3595C"/>
    <w:rsid w:val="00F3630D"/>
    <w:rsid w:val="00F37D3A"/>
    <w:rsid w:val="00F40743"/>
    <w:rsid w:val="00F41833"/>
    <w:rsid w:val="00F41D8E"/>
    <w:rsid w:val="00F42021"/>
    <w:rsid w:val="00F4240C"/>
    <w:rsid w:val="00F4291E"/>
    <w:rsid w:val="00F42A56"/>
    <w:rsid w:val="00F43512"/>
    <w:rsid w:val="00F4622C"/>
    <w:rsid w:val="00F46B81"/>
    <w:rsid w:val="00F5046C"/>
    <w:rsid w:val="00F50902"/>
    <w:rsid w:val="00F50F22"/>
    <w:rsid w:val="00F51168"/>
    <w:rsid w:val="00F5119C"/>
    <w:rsid w:val="00F5431E"/>
    <w:rsid w:val="00F544C8"/>
    <w:rsid w:val="00F55432"/>
    <w:rsid w:val="00F558C4"/>
    <w:rsid w:val="00F5607E"/>
    <w:rsid w:val="00F57973"/>
    <w:rsid w:val="00F608BA"/>
    <w:rsid w:val="00F60F6C"/>
    <w:rsid w:val="00F6293F"/>
    <w:rsid w:val="00F62E47"/>
    <w:rsid w:val="00F64E36"/>
    <w:rsid w:val="00F6544D"/>
    <w:rsid w:val="00F65873"/>
    <w:rsid w:val="00F67883"/>
    <w:rsid w:val="00F7078F"/>
    <w:rsid w:val="00F72EE6"/>
    <w:rsid w:val="00F72EFC"/>
    <w:rsid w:val="00F74231"/>
    <w:rsid w:val="00F742FB"/>
    <w:rsid w:val="00F75D78"/>
    <w:rsid w:val="00F75DA8"/>
    <w:rsid w:val="00F76383"/>
    <w:rsid w:val="00F777D4"/>
    <w:rsid w:val="00F77CA9"/>
    <w:rsid w:val="00F82AFB"/>
    <w:rsid w:val="00F82E66"/>
    <w:rsid w:val="00F832A6"/>
    <w:rsid w:val="00F84FD4"/>
    <w:rsid w:val="00F92749"/>
    <w:rsid w:val="00F93957"/>
    <w:rsid w:val="00F94386"/>
    <w:rsid w:val="00F95B57"/>
    <w:rsid w:val="00F96D57"/>
    <w:rsid w:val="00FA03C1"/>
    <w:rsid w:val="00FA137C"/>
    <w:rsid w:val="00FA16F4"/>
    <w:rsid w:val="00FA1FEA"/>
    <w:rsid w:val="00FA2461"/>
    <w:rsid w:val="00FA67C9"/>
    <w:rsid w:val="00FA6B40"/>
    <w:rsid w:val="00FB2453"/>
    <w:rsid w:val="00FB2829"/>
    <w:rsid w:val="00FB28AA"/>
    <w:rsid w:val="00FB3986"/>
    <w:rsid w:val="00FB491D"/>
    <w:rsid w:val="00FB49C0"/>
    <w:rsid w:val="00FB5ACA"/>
    <w:rsid w:val="00FB602B"/>
    <w:rsid w:val="00FB620E"/>
    <w:rsid w:val="00FC10F7"/>
    <w:rsid w:val="00FC1312"/>
    <w:rsid w:val="00FC227B"/>
    <w:rsid w:val="00FC5454"/>
    <w:rsid w:val="00FC5991"/>
    <w:rsid w:val="00FC77B5"/>
    <w:rsid w:val="00FC793D"/>
    <w:rsid w:val="00FC7C63"/>
    <w:rsid w:val="00FD016B"/>
    <w:rsid w:val="00FD0A80"/>
    <w:rsid w:val="00FD0BEF"/>
    <w:rsid w:val="00FD1CC1"/>
    <w:rsid w:val="00FD27B0"/>
    <w:rsid w:val="00FD2C3C"/>
    <w:rsid w:val="00FD2EF3"/>
    <w:rsid w:val="00FD32A1"/>
    <w:rsid w:val="00FD3BAB"/>
    <w:rsid w:val="00FD4495"/>
    <w:rsid w:val="00FD4866"/>
    <w:rsid w:val="00FD6C6B"/>
    <w:rsid w:val="00FE17C8"/>
    <w:rsid w:val="00FE23E7"/>
    <w:rsid w:val="00FE296E"/>
    <w:rsid w:val="00FE3329"/>
    <w:rsid w:val="00FE4234"/>
    <w:rsid w:val="00FE602F"/>
    <w:rsid w:val="00FE6C56"/>
    <w:rsid w:val="00FE6E34"/>
    <w:rsid w:val="00FE7199"/>
    <w:rsid w:val="00FE79CF"/>
    <w:rsid w:val="00FF0118"/>
    <w:rsid w:val="00FF0594"/>
    <w:rsid w:val="00FF1B03"/>
    <w:rsid w:val="00FF1DF2"/>
    <w:rsid w:val="00FF214C"/>
    <w:rsid w:val="00FF36DE"/>
    <w:rsid w:val="00FF4A28"/>
    <w:rsid w:val="00FF4D71"/>
    <w:rsid w:val="00FF4E71"/>
    <w:rsid w:val="00FF5608"/>
    <w:rsid w:val="00FF66B5"/>
    <w:rsid w:val="010334B8"/>
    <w:rsid w:val="012F3F26"/>
    <w:rsid w:val="0131333F"/>
    <w:rsid w:val="013B7EF0"/>
    <w:rsid w:val="013D282B"/>
    <w:rsid w:val="01695955"/>
    <w:rsid w:val="01877E8E"/>
    <w:rsid w:val="01A73F10"/>
    <w:rsid w:val="01C70C78"/>
    <w:rsid w:val="01C77BDC"/>
    <w:rsid w:val="01D83DA4"/>
    <w:rsid w:val="0202104C"/>
    <w:rsid w:val="02021952"/>
    <w:rsid w:val="020434B6"/>
    <w:rsid w:val="023127B7"/>
    <w:rsid w:val="023A7213"/>
    <w:rsid w:val="023F0464"/>
    <w:rsid w:val="02456EC8"/>
    <w:rsid w:val="024F56D9"/>
    <w:rsid w:val="02A209F3"/>
    <w:rsid w:val="02F82ED5"/>
    <w:rsid w:val="03327ECA"/>
    <w:rsid w:val="033E21D9"/>
    <w:rsid w:val="03502647"/>
    <w:rsid w:val="03652CA2"/>
    <w:rsid w:val="036E6EA7"/>
    <w:rsid w:val="038C12F2"/>
    <w:rsid w:val="039008D9"/>
    <w:rsid w:val="03AA6FCE"/>
    <w:rsid w:val="03AD515F"/>
    <w:rsid w:val="03BC7E2E"/>
    <w:rsid w:val="03CB4CAD"/>
    <w:rsid w:val="03F11C32"/>
    <w:rsid w:val="03FE7EAB"/>
    <w:rsid w:val="040530EF"/>
    <w:rsid w:val="04324791"/>
    <w:rsid w:val="043E553B"/>
    <w:rsid w:val="04625319"/>
    <w:rsid w:val="047D413B"/>
    <w:rsid w:val="04AD0A3B"/>
    <w:rsid w:val="04BD38C2"/>
    <w:rsid w:val="04F433AE"/>
    <w:rsid w:val="050D65F7"/>
    <w:rsid w:val="050E0034"/>
    <w:rsid w:val="05430DFC"/>
    <w:rsid w:val="0547151B"/>
    <w:rsid w:val="05902396"/>
    <w:rsid w:val="059E3287"/>
    <w:rsid w:val="05E428FD"/>
    <w:rsid w:val="062A0A0E"/>
    <w:rsid w:val="0636499F"/>
    <w:rsid w:val="06420D31"/>
    <w:rsid w:val="06451DC1"/>
    <w:rsid w:val="06486493"/>
    <w:rsid w:val="06685FD6"/>
    <w:rsid w:val="066940D3"/>
    <w:rsid w:val="06A72FF5"/>
    <w:rsid w:val="06A833D6"/>
    <w:rsid w:val="06B2082D"/>
    <w:rsid w:val="06B6294B"/>
    <w:rsid w:val="06E224A1"/>
    <w:rsid w:val="07082B86"/>
    <w:rsid w:val="07207806"/>
    <w:rsid w:val="072F6A4D"/>
    <w:rsid w:val="072F7455"/>
    <w:rsid w:val="07415969"/>
    <w:rsid w:val="075E2A88"/>
    <w:rsid w:val="077B78D4"/>
    <w:rsid w:val="07914B3D"/>
    <w:rsid w:val="07C32F0C"/>
    <w:rsid w:val="07FA7E23"/>
    <w:rsid w:val="082442EE"/>
    <w:rsid w:val="08643CB0"/>
    <w:rsid w:val="08803584"/>
    <w:rsid w:val="08A826EC"/>
    <w:rsid w:val="08B11B50"/>
    <w:rsid w:val="08B576D2"/>
    <w:rsid w:val="08CF1372"/>
    <w:rsid w:val="09110C6F"/>
    <w:rsid w:val="091D19C7"/>
    <w:rsid w:val="092E2FE0"/>
    <w:rsid w:val="093211A4"/>
    <w:rsid w:val="09410F65"/>
    <w:rsid w:val="0977182B"/>
    <w:rsid w:val="09926C3F"/>
    <w:rsid w:val="099835A5"/>
    <w:rsid w:val="09CE7B9F"/>
    <w:rsid w:val="09ED4C49"/>
    <w:rsid w:val="0A1C2427"/>
    <w:rsid w:val="0A3245DB"/>
    <w:rsid w:val="0A4628A3"/>
    <w:rsid w:val="0A940DEC"/>
    <w:rsid w:val="0AA95014"/>
    <w:rsid w:val="0AB530F7"/>
    <w:rsid w:val="0AB61D52"/>
    <w:rsid w:val="0ABB3F83"/>
    <w:rsid w:val="0AE0202E"/>
    <w:rsid w:val="0AF04A48"/>
    <w:rsid w:val="0B410F04"/>
    <w:rsid w:val="0B6D4B9E"/>
    <w:rsid w:val="0B7A2363"/>
    <w:rsid w:val="0B7D6BB3"/>
    <w:rsid w:val="0B964AB1"/>
    <w:rsid w:val="0BA16E2C"/>
    <w:rsid w:val="0BA37CB5"/>
    <w:rsid w:val="0BAF1BA4"/>
    <w:rsid w:val="0BC74660"/>
    <w:rsid w:val="0BD9237C"/>
    <w:rsid w:val="0BE45BD8"/>
    <w:rsid w:val="0BF16C73"/>
    <w:rsid w:val="0C0B5CFC"/>
    <w:rsid w:val="0C0F7455"/>
    <w:rsid w:val="0C160487"/>
    <w:rsid w:val="0C587DD6"/>
    <w:rsid w:val="0C7955BF"/>
    <w:rsid w:val="0C927091"/>
    <w:rsid w:val="0CC10761"/>
    <w:rsid w:val="0CE74614"/>
    <w:rsid w:val="0CE9383E"/>
    <w:rsid w:val="0CE95F8C"/>
    <w:rsid w:val="0CFD1664"/>
    <w:rsid w:val="0D4C0A39"/>
    <w:rsid w:val="0D4D2ED2"/>
    <w:rsid w:val="0D8536BD"/>
    <w:rsid w:val="0D935B07"/>
    <w:rsid w:val="0D9D0768"/>
    <w:rsid w:val="0DC66082"/>
    <w:rsid w:val="0DC86327"/>
    <w:rsid w:val="0DCF42FB"/>
    <w:rsid w:val="0DE83994"/>
    <w:rsid w:val="0E164B96"/>
    <w:rsid w:val="0E2478A4"/>
    <w:rsid w:val="0E2D7D0A"/>
    <w:rsid w:val="0E2E2597"/>
    <w:rsid w:val="0E572083"/>
    <w:rsid w:val="0E572473"/>
    <w:rsid w:val="0E68116F"/>
    <w:rsid w:val="0E6B707E"/>
    <w:rsid w:val="0E7E5FC5"/>
    <w:rsid w:val="0E884F40"/>
    <w:rsid w:val="0EA26E0B"/>
    <w:rsid w:val="0EB2020F"/>
    <w:rsid w:val="0EB6385C"/>
    <w:rsid w:val="0EE04D7C"/>
    <w:rsid w:val="0EF72C0D"/>
    <w:rsid w:val="0EF752E4"/>
    <w:rsid w:val="0F1A576B"/>
    <w:rsid w:val="0F380290"/>
    <w:rsid w:val="0F4D3916"/>
    <w:rsid w:val="0F607C6B"/>
    <w:rsid w:val="0F6E32CF"/>
    <w:rsid w:val="0FE8258B"/>
    <w:rsid w:val="0FEB1C2B"/>
    <w:rsid w:val="0FFA1E6E"/>
    <w:rsid w:val="101507B9"/>
    <w:rsid w:val="103233B6"/>
    <w:rsid w:val="103E7FAD"/>
    <w:rsid w:val="104F7CEB"/>
    <w:rsid w:val="105552F6"/>
    <w:rsid w:val="107237DF"/>
    <w:rsid w:val="107C2390"/>
    <w:rsid w:val="107D1AA2"/>
    <w:rsid w:val="10BB439B"/>
    <w:rsid w:val="10BC3BED"/>
    <w:rsid w:val="10BE7687"/>
    <w:rsid w:val="10FE239E"/>
    <w:rsid w:val="11103220"/>
    <w:rsid w:val="11162930"/>
    <w:rsid w:val="111A671C"/>
    <w:rsid w:val="112626DD"/>
    <w:rsid w:val="11277FB0"/>
    <w:rsid w:val="11520EE3"/>
    <w:rsid w:val="11550756"/>
    <w:rsid w:val="11632FCB"/>
    <w:rsid w:val="11781924"/>
    <w:rsid w:val="11977C51"/>
    <w:rsid w:val="119B239A"/>
    <w:rsid w:val="11D54078"/>
    <w:rsid w:val="122B75B6"/>
    <w:rsid w:val="12384B3D"/>
    <w:rsid w:val="1243022B"/>
    <w:rsid w:val="125E7110"/>
    <w:rsid w:val="12631474"/>
    <w:rsid w:val="12665599"/>
    <w:rsid w:val="12E65F6D"/>
    <w:rsid w:val="13052DC4"/>
    <w:rsid w:val="131555DD"/>
    <w:rsid w:val="134D0507"/>
    <w:rsid w:val="135C1124"/>
    <w:rsid w:val="136A01E4"/>
    <w:rsid w:val="13A44930"/>
    <w:rsid w:val="13D51308"/>
    <w:rsid w:val="13DC0939"/>
    <w:rsid w:val="13F14830"/>
    <w:rsid w:val="140E413A"/>
    <w:rsid w:val="141259D8"/>
    <w:rsid w:val="147A1696"/>
    <w:rsid w:val="14856738"/>
    <w:rsid w:val="148F29C6"/>
    <w:rsid w:val="14981823"/>
    <w:rsid w:val="149F0C8E"/>
    <w:rsid w:val="14AD5701"/>
    <w:rsid w:val="14BA370F"/>
    <w:rsid w:val="14D659A8"/>
    <w:rsid w:val="14F0383F"/>
    <w:rsid w:val="150F3E5F"/>
    <w:rsid w:val="154F0574"/>
    <w:rsid w:val="15687DA2"/>
    <w:rsid w:val="15730ED9"/>
    <w:rsid w:val="158108CE"/>
    <w:rsid w:val="15816CBF"/>
    <w:rsid w:val="15844E19"/>
    <w:rsid w:val="15A80C9F"/>
    <w:rsid w:val="15B46403"/>
    <w:rsid w:val="160C46A9"/>
    <w:rsid w:val="16343FBA"/>
    <w:rsid w:val="16394E85"/>
    <w:rsid w:val="167B36D8"/>
    <w:rsid w:val="168461FE"/>
    <w:rsid w:val="16882D6F"/>
    <w:rsid w:val="16966BA2"/>
    <w:rsid w:val="16AE7042"/>
    <w:rsid w:val="16B1711F"/>
    <w:rsid w:val="16BF056C"/>
    <w:rsid w:val="16C67F1D"/>
    <w:rsid w:val="16CF7BB0"/>
    <w:rsid w:val="171754C9"/>
    <w:rsid w:val="17240C05"/>
    <w:rsid w:val="1735501C"/>
    <w:rsid w:val="173B6FF4"/>
    <w:rsid w:val="17550AD5"/>
    <w:rsid w:val="1759569A"/>
    <w:rsid w:val="176104DD"/>
    <w:rsid w:val="178F5592"/>
    <w:rsid w:val="17961602"/>
    <w:rsid w:val="17B71779"/>
    <w:rsid w:val="17D07906"/>
    <w:rsid w:val="17FA31CA"/>
    <w:rsid w:val="17FD2ADD"/>
    <w:rsid w:val="18023FB5"/>
    <w:rsid w:val="18057602"/>
    <w:rsid w:val="180F54BF"/>
    <w:rsid w:val="182F6D94"/>
    <w:rsid w:val="1880150E"/>
    <w:rsid w:val="18913854"/>
    <w:rsid w:val="189C0FC8"/>
    <w:rsid w:val="18BD132A"/>
    <w:rsid w:val="18CB43A7"/>
    <w:rsid w:val="19161F35"/>
    <w:rsid w:val="194F4112"/>
    <w:rsid w:val="19501B94"/>
    <w:rsid w:val="19524AC9"/>
    <w:rsid w:val="195E1B20"/>
    <w:rsid w:val="19674AC9"/>
    <w:rsid w:val="19682ABE"/>
    <w:rsid w:val="196A334B"/>
    <w:rsid w:val="19743821"/>
    <w:rsid w:val="19A04370"/>
    <w:rsid w:val="19B60BB4"/>
    <w:rsid w:val="19B7283D"/>
    <w:rsid w:val="19BD4746"/>
    <w:rsid w:val="19D1627E"/>
    <w:rsid w:val="19E54205"/>
    <w:rsid w:val="1A0C35CC"/>
    <w:rsid w:val="1A2E0B73"/>
    <w:rsid w:val="1A3A03E9"/>
    <w:rsid w:val="1A5328A6"/>
    <w:rsid w:val="1A604FC3"/>
    <w:rsid w:val="1A614149"/>
    <w:rsid w:val="1A8C6E4F"/>
    <w:rsid w:val="1AA16AAD"/>
    <w:rsid w:val="1AA60B5F"/>
    <w:rsid w:val="1AB908CE"/>
    <w:rsid w:val="1B171B26"/>
    <w:rsid w:val="1B232DD2"/>
    <w:rsid w:val="1B6A60FA"/>
    <w:rsid w:val="1B6D2D79"/>
    <w:rsid w:val="1B7C5480"/>
    <w:rsid w:val="1B83C617"/>
    <w:rsid w:val="1B850ACC"/>
    <w:rsid w:val="1B8F09E8"/>
    <w:rsid w:val="1B9A2B6F"/>
    <w:rsid w:val="1BCCDB89"/>
    <w:rsid w:val="1BD72652"/>
    <w:rsid w:val="1BEB0EA0"/>
    <w:rsid w:val="1BEFAF36"/>
    <w:rsid w:val="1BFF5757"/>
    <w:rsid w:val="1C053387"/>
    <w:rsid w:val="1C0A1EEA"/>
    <w:rsid w:val="1C167AAF"/>
    <w:rsid w:val="1C2071AA"/>
    <w:rsid w:val="1C2C7853"/>
    <w:rsid w:val="1C46068E"/>
    <w:rsid w:val="1C4D1232"/>
    <w:rsid w:val="1C567B70"/>
    <w:rsid w:val="1C7C20CC"/>
    <w:rsid w:val="1C8B7AE5"/>
    <w:rsid w:val="1C990B07"/>
    <w:rsid w:val="1CCF4FB5"/>
    <w:rsid w:val="1CD929D4"/>
    <w:rsid w:val="1CDC7DE0"/>
    <w:rsid w:val="1D172BD3"/>
    <w:rsid w:val="1D7468DE"/>
    <w:rsid w:val="1D764A7B"/>
    <w:rsid w:val="1D8368C1"/>
    <w:rsid w:val="1D851279"/>
    <w:rsid w:val="1DA77C4B"/>
    <w:rsid w:val="1DB32036"/>
    <w:rsid w:val="1DC65566"/>
    <w:rsid w:val="1E1504DD"/>
    <w:rsid w:val="1E167A51"/>
    <w:rsid w:val="1E334EC9"/>
    <w:rsid w:val="1E426EBA"/>
    <w:rsid w:val="1E5913F5"/>
    <w:rsid w:val="1E64416A"/>
    <w:rsid w:val="1E7159FF"/>
    <w:rsid w:val="1E7344F9"/>
    <w:rsid w:val="1E8A6AB3"/>
    <w:rsid w:val="1E9B2DB3"/>
    <w:rsid w:val="1E9D3448"/>
    <w:rsid w:val="1EB8717C"/>
    <w:rsid w:val="1EE71BE2"/>
    <w:rsid w:val="1F4B7FF0"/>
    <w:rsid w:val="1F511C17"/>
    <w:rsid w:val="1F567358"/>
    <w:rsid w:val="1F5C3FAB"/>
    <w:rsid w:val="1F661DE6"/>
    <w:rsid w:val="1F761A29"/>
    <w:rsid w:val="1F863469"/>
    <w:rsid w:val="1FA40E26"/>
    <w:rsid w:val="1FC97281"/>
    <w:rsid w:val="1FD7CA57"/>
    <w:rsid w:val="1FF4E560"/>
    <w:rsid w:val="1FF6C78D"/>
    <w:rsid w:val="1FFCF853"/>
    <w:rsid w:val="201A79C2"/>
    <w:rsid w:val="202D6FD9"/>
    <w:rsid w:val="203E70ED"/>
    <w:rsid w:val="20474300"/>
    <w:rsid w:val="20653ACF"/>
    <w:rsid w:val="2066046D"/>
    <w:rsid w:val="20910690"/>
    <w:rsid w:val="2091770E"/>
    <w:rsid w:val="209460BE"/>
    <w:rsid w:val="209928D1"/>
    <w:rsid w:val="20A7624B"/>
    <w:rsid w:val="20E31D07"/>
    <w:rsid w:val="20E932C7"/>
    <w:rsid w:val="212E298C"/>
    <w:rsid w:val="212F0B22"/>
    <w:rsid w:val="21505E37"/>
    <w:rsid w:val="21712C8B"/>
    <w:rsid w:val="217B0E7A"/>
    <w:rsid w:val="218D0BA4"/>
    <w:rsid w:val="219A525F"/>
    <w:rsid w:val="21B83D27"/>
    <w:rsid w:val="21C115EE"/>
    <w:rsid w:val="21D27402"/>
    <w:rsid w:val="21DC13D3"/>
    <w:rsid w:val="22063D36"/>
    <w:rsid w:val="220B73E1"/>
    <w:rsid w:val="22356DAF"/>
    <w:rsid w:val="223728B2"/>
    <w:rsid w:val="22556A28"/>
    <w:rsid w:val="22631AF5"/>
    <w:rsid w:val="22955FEA"/>
    <w:rsid w:val="22B045C1"/>
    <w:rsid w:val="22B53180"/>
    <w:rsid w:val="234754CE"/>
    <w:rsid w:val="235843BA"/>
    <w:rsid w:val="236773C3"/>
    <w:rsid w:val="23A8781B"/>
    <w:rsid w:val="23D63116"/>
    <w:rsid w:val="23E462A2"/>
    <w:rsid w:val="23E97DD8"/>
    <w:rsid w:val="23F26A42"/>
    <w:rsid w:val="23FC7B0B"/>
    <w:rsid w:val="240A022E"/>
    <w:rsid w:val="241E5CD3"/>
    <w:rsid w:val="24271D5D"/>
    <w:rsid w:val="24553662"/>
    <w:rsid w:val="24656A71"/>
    <w:rsid w:val="248014F2"/>
    <w:rsid w:val="24A03FA5"/>
    <w:rsid w:val="24B07D05"/>
    <w:rsid w:val="24BC3F67"/>
    <w:rsid w:val="24E45993"/>
    <w:rsid w:val="25457FB6"/>
    <w:rsid w:val="255676EF"/>
    <w:rsid w:val="255E47A3"/>
    <w:rsid w:val="25926C2E"/>
    <w:rsid w:val="25B12B77"/>
    <w:rsid w:val="25C951D7"/>
    <w:rsid w:val="25EE7D3A"/>
    <w:rsid w:val="25FB1014"/>
    <w:rsid w:val="25FC1810"/>
    <w:rsid w:val="26163C4F"/>
    <w:rsid w:val="26446854"/>
    <w:rsid w:val="2656262D"/>
    <w:rsid w:val="270522BC"/>
    <w:rsid w:val="27160EE4"/>
    <w:rsid w:val="27327946"/>
    <w:rsid w:val="277B1D73"/>
    <w:rsid w:val="27971EF7"/>
    <w:rsid w:val="27987506"/>
    <w:rsid w:val="27B94C74"/>
    <w:rsid w:val="27BD6D7E"/>
    <w:rsid w:val="28200BC3"/>
    <w:rsid w:val="28285B9C"/>
    <w:rsid w:val="287700A8"/>
    <w:rsid w:val="28AF344A"/>
    <w:rsid w:val="28F434A6"/>
    <w:rsid w:val="29148838"/>
    <w:rsid w:val="2918671D"/>
    <w:rsid w:val="2939172D"/>
    <w:rsid w:val="2945489A"/>
    <w:rsid w:val="29543B61"/>
    <w:rsid w:val="297D0908"/>
    <w:rsid w:val="29913C2D"/>
    <w:rsid w:val="29A504DF"/>
    <w:rsid w:val="29A92769"/>
    <w:rsid w:val="29C311D1"/>
    <w:rsid w:val="29C56BF1"/>
    <w:rsid w:val="29DF1B62"/>
    <w:rsid w:val="2A1D07DB"/>
    <w:rsid w:val="2A6D3510"/>
    <w:rsid w:val="2A7A7D5F"/>
    <w:rsid w:val="2A983B65"/>
    <w:rsid w:val="2AC923B3"/>
    <w:rsid w:val="2ACB46DB"/>
    <w:rsid w:val="2ADE799E"/>
    <w:rsid w:val="2AF21C68"/>
    <w:rsid w:val="2B54647E"/>
    <w:rsid w:val="2B675381"/>
    <w:rsid w:val="2B7140FF"/>
    <w:rsid w:val="2B7C3D4A"/>
    <w:rsid w:val="2B963063"/>
    <w:rsid w:val="2BA647AD"/>
    <w:rsid w:val="2BB0561E"/>
    <w:rsid w:val="2BBF7C01"/>
    <w:rsid w:val="2BC76C50"/>
    <w:rsid w:val="2BD15D21"/>
    <w:rsid w:val="2BD40FC2"/>
    <w:rsid w:val="2BEC28A4"/>
    <w:rsid w:val="2BF734FA"/>
    <w:rsid w:val="2C155C0E"/>
    <w:rsid w:val="2C4A154F"/>
    <w:rsid w:val="2CD0356C"/>
    <w:rsid w:val="2CDD2F47"/>
    <w:rsid w:val="2CDE7399"/>
    <w:rsid w:val="2CDF5740"/>
    <w:rsid w:val="2CEF679C"/>
    <w:rsid w:val="2CF021D7"/>
    <w:rsid w:val="2CFA4760"/>
    <w:rsid w:val="2D1A587D"/>
    <w:rsid w:val="2D1F0F3E"/>
    <w:rsid w:val="2D2105E2"/>
    <w:rsid w:val="2D6D1A79"/>
    <w:rsid w:val="2D7723FE"/>
    <w:rsid w:val="2D7838E8"/>
    <w:rsid w:val="2DA43948"/>
    <w:rsid w:val="2DAD4925"/>
    <w:rsid w:val="2DB67784"/>
    <w:rsid w:val="2DC028EA"/>
    <w:rsid w:val="2DF223B9"/>
    <w:rsid w:val="2E2425C2"/>
    <w:rsid w:val="2E454CF5"/>
    <w:rsid w:val="2E7110F5"/>
    <w:rsid w:val="2EA74B17"/>
    <w:rsid w:val="2EA7FCA6"/>
    <w:rsid w:val="2ED037FD"/>
    <w:rsid w:val="2EDF0755"/>
    <w:rsid w:val="2EEE5226"/>
    <w:rsid w:val="2F007BE6"/>
    <w:rsid w:val="2F022843"/>
    <w:rsid w:val="2F050BB3"/>
    <w:rsid w:val="2F107C41"/>
    <w:rsid w:val="2F302952"/>
    <w:rsid w:val="2F305F78"/>
    <w:rsid w:val="2F3350DA"/>
    <w:rsid w:val="2F370591"/>
    <w:rsid w:val="2F477380"/>
    <w:rsid w:val="2F633134"/>
    <w:rsid w:val="2F6C023B"/>
    <w:rsid w:val="2F8957A0"/>
    <w:rsid w:val="2FBF99C0"/>
    <w:rsid w:val="2FC25681"/>
    <w:rsid w:val="2FC43A36"/>
    <w:rsid w:val="2FCF7B1D"/>
    <w:rsid w:val="2FD86909"/>
    <w:rsid w:val="2FDFB2A7"/>
    <w:rsid w:val="2FEE19FC"/>
    <w:rsid w:val="300F7D73"/>
    <w:rsid w:val="301B2E73"/>
    <w:rsid w:val="301D237D"/>
    <w:rsid w:val="30844326"/>
    <w:rsid w:val="3088272F"/>
    <w:rsid w:val="312E383F"/>
    <w:rsid w:val="313E0256"/>
    <w:rsid w:val="31470B66"/>
    <w:rsid w:val="314B110D"/>
    <w:rsid w:val="31561180"/>
    <w:rsid w:val="315E1DFF"/>
    <w:rsid w:val="3164761B"/>
    <w:rsid w:val="31665236"/>
    <w:rsid w:val="317FFE95"/>
    <w:rsid w:val="318C5DD7"/>
    <w:rsid w:val="31A04A78"/>
    <w:rsid w:val="31A43407"/>
    <w:rsid w:val="31B373F4"/>
    <w:rsid w:val="31D15E2F"/>
    <w:rsid w:val="31DA2D13"/>
    <w:rsid w:val="321150C9"/>
    <w:rsid w:val="32235051"/>
    <w:rsid w:val="32316565"/>
    <w:rsid w:val="32496E12"/>
    <w:rsid w:val="325176EF"/>
    <w:rsid w:val="325B00F2"/>
    <w:rsid w:val="3262046B"/>
    <w:rsid w:val="32743B56"/>
    <w:rsid w:val="32794A1C"/>
    <w:rsid w:val="32DA733F"/>
    <w:rsid w:val="330B3CCA"/>
    <w:rsid w:val="331035D3"/>
    <w:rsid w:val="331F7505"/>
    <w:rsid w:val="332B21BB"/>
    <w:rsid w:val="332F5D0A"/>
    <w:rsid w:val="33411378"/>
    <w:rsid w:val="335D3AD4"/>
    <w:rsid w:val="33637012"/>
    <w:rsid w:val="339F73A0"/>
    <w:rsid w:val="33A72ED9"/>
    <w:rsid w:val="33B51F64"/>
    <w:rsid w:val="33B605E0"/>
    <w:rsid w:val="33B75F17"/>
    <w:rsid w:val="33B80537"/>
    <w:rsid w:val="33BC38CE"/>
    <w:rsid w:val="33DF0A33"/>
    <w:rsid w:val="33E74B70"/>
    <w:rsid w:val="33E93971"/>
    <w:rsid w:val="33EB6BBB"/>
    <w:rsid w:val="340A7C17"/>
    <w:rsid w:val="347A52C4"/>
    <w:rsid w:val="347C35F2"/>
    <w:rsid w:val="3486483B"/>
    <w:rsid w:val="348D2EC8"/>
    <w:rsid w:val="34A23127"/>
    <w:rsid w:val="34FA58D6"/>
    <w:rsid w:val="353942DE"/>
    <w:rsid w:val="355F614C"/>
    <w:rsid w:val="35792B4A"/>
    <w:rsid w:val="35944047"/>
    <w:rsid w:val="35A16C14"/>
    <w:rsid w:val="35A2048B"/>
    <w:rsid w:val="35E86BFE"/>
    <w:rsid w:val="3601311E"/>
    <w:rsid w:val="365D49E4"/>
    <w:rsid w:val="366E1BAC"/>
    <w:rsid w:val="36B10201"/>
    <w:rsid w:val="36C02C1A"/>
    <w:rsid w:val="36F17277"/>
    <w:rsid w:val="37386C54"/>
    <w:rsid w:val="37411FAD"/>
    <w:rsid w:val="37517D16"/>
    <w:rsid w:val="3756532C"/>
    <w:rsid w:val="37976AC4"/>
    <w:rsid w:val="379F4B4D"/>
    <w:rsid w:val="37A05D52"/>
    <w:rsid w:val="37AA17C2"/>
    <w:rsid w:val="37B0461F"/>
    <w:rsid w:val="37B163F3"/>
    <w:rsid w:val="37BE184F"/>
    <w:rsid w:val="37E043F6"/>
    <w:rsid w:val="37EA3B69"/>
    <w:rsid w:val="37F232A7"/>
    <w:rsid w:val="37FD6DAF"/>
    <w:rsid w:val="38143DCD"/>
    <w:rsid w:val="3831783F"/>
    <w:rsid w:val="3860343D"/>
    <w:rsid w:val="3890049B"/>
    <w:rsid w:val="38925CB0"/>
    <w:rsid w:val="38A04990"/>
    <w:rsid w:val="38B263A0"/>
    <w:rsid w:val="38C84008"/>
    <w:rsid w:val="38CB415F"/>
    <w:rsid w:val="38FF16E3"/>
    <w:rsid w:val="390513B5"/>
    <w:rsid w:val="390B4794"/>
    <w:rsid w:val="39442D14"/>
    <w:rsid w:val="395F2BBE"/>
    <w:rsid w:val="396A637E"/>
    <w:rsid w:val="396B184F"/>
    <w:rsid w:val="399C6A91"/>
    <w:rsid w:val="39A81DCF"/>
    <w:rsid w:val="39BC24D5"/>
    <w:rsid w:val="39BD52B4"/>
    <w:rsid w:val="39E11A8B"/>
    <w:rsid w:val="39E65C0C"/>
    <w:rsid w:val="3A25472B"/>
    <w:rsid w:val="3A2D3702"/>
    <w:rsid w:val="3A436859"/>
    <w:rsid w:val="3A627756"/>
    <w:rsid w:val="3A667F7C"/>
    <w:rsid w:val="3A6B51A0"/>
    <w:rsid w:val="3A744447"/>
    <w:rsid w:val="3A886145"/>
    <w:rsid w:val="3A8B11B8"/>
    <w:rsid w:val="3AB90945"/>
    <w:rsid w:val="3AC53FE9"/>
    <w:rsid w:val="3AD96C48"/>
    <w:rsid w:val="3AE77312"/>
    <w:rsid w:val="3AF70D19"/>
    <w:rsid w:val="3B075CE3"/>
    <w:rsid w:val="3B266598"/>
    <w:rsid w:val="3B4D3EA5"/>
    <w:rsid w:val="3B6224F2"/>
    <w:rsid w:val="3B71376F"/>
    <w:rsid w:val="3B7C7E71"/>
    <w:rsid w:val="3B857597"/>
    <w:rsid w:val="3B9855D2"/>
    <w:rsid w:val="3BAE5737"/>
    <w:rsid w:val="3BAF391F"/>
    <w:rsid w:val="3BB03082"/>
    <w:rsid w:val="3BC91625"/>
    <w:rsid w:val="3BE556D1"/>
    <w:rsid w:val="3BF82E56"/>
    <w:rsid w:val="3C0813D9"/>
    <w:rsid w:val="3C0E4427"/>
    <w:rsid w:val="3C14073A"/>
    <w:rsid w:val="3C196E25"/>
    <w:rsid w:val="3C290978"/>
    <w:rsid w:val="3C7324DC"/>
    <w:rsid w:val="3C756255"/>
    <w:rsid w:val="3C756E43"/>
    <w:rsid w:val="3C7C4964"/>
    <w:rsid w:val="3C900B1D"/>
    <w:rsid w:val="3CA116E0"/>
    <w:rsid w:val="3CB5E8A7"/>
    <w:rsid w:val="3CBF37BC"/>
    <w:rsid w:val="3CC80D88"/>
    <w:rsid w:val="3CE04670"/>
    <w:rsid w:val="3CF20A77"/>
    <w:rsid w:val="3CF47AC1"/>
    <w:rsid w:val="3CFDCA63"/>
    <w:rsid w:val="3CFEA4A8"/>
    <w:rsid w:val="3D026DA3"/>
    <w:rsid w:val="3D2866A5"/>
    <w:rsid w:val="3D2B5047"/>
    <w:rsid w:val="3D5A48FB"/>
    <w:rsid w:val="3D5D3C39"/>
    <w:rsid w:val="3D653D41"/>
    <w:rsid w:val="3D69E6AC"/>
    <w:rsid w:val="3D6DE757"/>
    <w:rsid w:val="3D8B6303"/>
    <w:rsid w:val="3D9A035F"/>
    <w:rsid w:val="3DAD4CBD"/>
    <w:rsid w:val="3DAEC812"/>
    <w:rsid w:val="3DB87FDB"/>
    <w:rsid w:val="3DFD4754"/>
    <w:rsid w:val="3DFF2995"/>
    <w:rsid w:val="3E02377D"/>
    <w:rsid w:val="3E0943BD"/>
    <w:rsid w:val="3E14209A"/>
    <w:rsid w:val="3E3671A0"/>
    <w:rsid w:val="3E432768"/>
    <w:rsid w:val="3E6F2FA9"/>
    <w:rsid w:val="3E790116"/>
    <w:rsid w:val="3E9A4B30"/>
    <w:rsid w:val="3EA03A5D"/>
    <w:rsid w:val="3EDB18C5"/>
    <w:rsid w:val="3EE10AA9"/>
    <w:rsid w:val="3EFF237A"/>
    <w:rsid w:val="3F0F98C3"/>
    <w:rsid w:val="3F2F0A6C"/>
    <w:rsid w:val="3F4179B2"/>
    <w:rsid w:val="3F5A7484"/>
    <w:rsid w:val="3F5ECFBF"/>
    <w:rsid w:val="3F7B4780"/>
    <w:rsid w:val="3F7E85CC"/>
    <w:rsid w:val="3F894D62"/>
    <w:rsid w:val="3FB35063"/>
    <w:rsid w:val="3FC612EB"/>
    <w:rsid w:val="3FF0B015"/>
    <w:rsid w:val="3FF7826E"/>
    <w:rsid w:val="3FFCEEDE"/>
    <w:rsid w:val="3FFD0CD9"/>
    <w:rsid w:val="3FFF80BA"/>
    <w:rsid w:val="40030A15"/>
    <w:rsid w:val="401104B7"/>
    <w:rsid w:val="4039319A"/>
    <w:rsid w:val="406918EA"/>
    <w:rsid w:val="406B7F41"/>
    <w:rsid w:val="40921E4E"/>
    <w:rsid w:val="40A959C8"/>
    <w:rsid w:val="40B52A37"/>
    <w:rsid w:val="40E95AC7"/>
    <w:rsid w:val="4143359F"/>
    <w:rsid w:val="414E51B4"/>
    <w:rsid w:val="415E5D0C"/>
    <w:rsid w:val="417D62FA"/>
    <w:rsid w:val="41A13939"/>
    <w:rsid w:val="41A223BE"/>
    <w:rsid w:val="41AD1CDA"/>
    <w:rsid w:val="41AE628C"/>
    <w:rsid w:val="41B415CD"/>
    <w:rsid w:val="41BC53EC"/>
    <w:rsid w:val="41C34838"/>
    <w:rsid w:val="41CC21FF"/>
    <w:rsid w:val="41F91DC9"/>
    <w:rsid w:val="422B001A"/>
    <w:rsid w:val="42402E61"/>
    <w:rsid w:val="424C7840"/>
    <w:rsid w:val="42507957"/>
    <w:rsid w:val="42524C1A"/>
    <w:rsid w:val="426D00FA"/>
    <w:rsid w:val="427710F8"/>
    <w:rsid w:val="4288086F"/>
    <w:rsid w:val="42A166FF"/>
    <w:rsid w:val="42E30F10"/>
    <w:rsid w:val="42F32FF6"/>
    <w:rsid w:val="43094082"/>
    <w:rsid w:val="431D5CC6"/>
    <w:rsid w:val="431D66A9"/>
    <w:rsid w:val="43384384"/>
    <w:rsid w:val="433F16E1"/>
    <w:rsid w:val="43494C8F"/>
    <w:rsid w:val="435B6CCA"/>
    <w:rsid w:val="4368266F"/>
    <w:rsid w:val="437CB373"/>
    <w:rsid w:val="437D25BE"/>
    <w:rsid w:val="438B3949"/>
    <w:rsid w:val="439E597D"/>
    <w:rsid w:val="43AA74E2"/>
    <w:rsid w:val="43BC29BB"/>
    <w:rsid w:val="43D3401C"/>
    <w:rsid w:val="43E625BE"/>
    <w:rsid w:val="440F5CF9"/>
    <w:rsid w:val="44146C41"/>
    <w:rsid w:val="44167FBB"/>
    <w:rsid w:val="44204C51"/>
    <w:rsid w:val="44307631"/>
    <w:rsid w:val="44463BE1"/>
    <w:rsid w:val="44520388"/>
    <w:rsid w:val="447137A5"/>
    <w:rsid w:val="447174D3"/>
    <w:rsid w:val="44A17B34"/>
    <w:rsid w:val="44BC61B9"/>
    <w:rsid w:val="44C34AB0"/>
    <w:rsid w:val="44EC2702"/>
    <w:rsid w:val="44F71EFD"/>
    <w:rsid w:val="45066BBD"/>
    <w:rsid w:val="450B30B0"/>
    <w:rsid w:val="450F36EA"/>
    <w:rsid w:val="45465B73"/>
    <w:rsid w:val="45813BAC"/>
    <w:rsid w:val="4586587B"/>
    <w:rsid w:val="458D460F"/>
    <w:rsid w:val="45A977B7"/>
    <w:rsid w:val="45BA50C5"/>
    <w:rsid w:val="45C159A0"/>
    <w:rsid w:val="45CC5137"/>
    <w:rsid w:val="45D55F37"/>
    <w:rsid w:val="45EE3F48"/>
    <w:rsid w:val="45FB1277"/>
    <w:rsid w:val="46213541"/>
    <w:rsid w:val="462B1E28"/>
    <w:rsid w:val="465D66D7"/>
    <w:rsid w:val="4660447C"/>
    <w:rsid w:val="4697524D"/>
    <w:rsid w:val="46E95BE0"/>
    <w:rsid w:val="472B1978"/>
    <w:rsid w:val="4730365B"/>
    <w:rsid w:val="473E02B7"/>
    <w:rsid w:val="477D0CB9"/>
    <w:rsid w:val="47BF62BB"/>
    <w:rsid w:val="47D4536A"/>
    <w:rsid w:val="47E38F4A"/>
    <w:rsid w:val="47F079DF"/>
    <w:rsid w:val="47F5B470"/>
    <w:rsid w:val="4810456E"/>
    <w:rsid w:val="486E5261"/>
    <w:rsid w:val="48786E75"/>
    <w:rsid w:val="487F41BD"/>
    <w:rsid w:val="48987F0A"/>
    <w:rsid w:val="48BF5427"/>
    <w:rsid w:val="48FB40DF"/>
    <w:rsid w:val="490162C2"/>
    <w:rsid w:val="493D4C7A"/>
    <w:rsid w:val="493F20C4"/>
    <w:rsid w:val="495C20F2"/>
    <w:rsid w:val="495E25EB"/>
    <w:rsid w:val="49605AEE"/>
    <w:rsid w:val="49746212"/>
    <w:rsid w:val="49844D93"/>
    <w:rsid w:val="49A61CC7"/>
    <w:rsid w:val="49DC6357"/>
    <w:rsid w:val="49F53DE3"/>
    <w:rsid w:val="4A233C29"/>
    <w:rsid w:val="4A4A248A"/>
    <w:rsid w:val="4A5F1294"/>
    <w:rsid w:val="4A6766A0"/>
    <w:rsid w:val="4AD0649A"/>
    <w:rsid w:val="4ADB406F"/>
    <w:rsid w:val="4ADFB618"/>
    <w:rsid w:val="4B0A4A82"/>
    <w:rsid w:val="4B0A68BA"/>
    <w:rsid w:val="4B4033BA"/>
    <w:rsid w:val="4B5D0329"/>
    <w:rsid w:val="4B7BE624"/>
    <w:rsid w:val="4B8737AF"/>
    <w:rsid w:val="4BBA024C"/>
    <w:rsid w:val="4BCB7501"/>
    <w:rsid w:val="4BD444F6"/>
    <w:rsid w:val="4BD8527D"/>
    <w:rsid w:val="4BDE0179"/>
    <w:rsid w:val="4BDF6F7B"/>
    <w:rsid w:val="4BEC3A7E"/>
    <w:rsid w:val="4C0D46FC"/>
    <w:rsid w:val="4C473333"/>
    <w:rsid w:val="4C816990"/>
    <w:rsid w:val="4CA7016C"/>
    <w:rsid w:val="4CB12AEA"/>
    <w:rsid w:val="4CB23482"/>
    <w:rsid w:val="4CDFDCED"/>
    <w:rsid w:val="4CE0771A"/>
    <w:rsid w:val="4CE161C5"/>
    <w:rsid w:val="4CE76CFB"/>
    <w:rsid w:val="4CF03D27"/>
    <w:rsid w:val="4CF66F3E"/>
    <w:rsid w:val="4CFC119D"/>
    <w:rsid w:val="4D007DBC"/>
    <w:rsid w:val="4D057ED3"/>
    <w:rsid w:val="4D4354F8"/>
    <w:rsid w:val="4D5D5079"/>
    <w:rsid w:val="4D705EB3"/>
    <w:rsid w:val="4D7C49BF"/>
    <w:rsid w:val="4D93150B"/>
    <w:rsid w:val="4DEA1C16"/>
    <w:rsid w:val="4DF53699"/>
    <w:rsid w:val="4E07961D"/>
    <w:rsid w:val="4E1C6E78"/>
    <w:rsid w:val="4E1F59BF"/>
    <w:rsid w:val="4E2552CD"/>
    <w:rsid w:val="4E263D32"/>
    <w:rsid w:val="4E286CB3"/>
    <w:rsid w:val="4E2C0CCA"/>
    <w:rsid w:val="4E5C081F"/>
    <w:rsid w:val="4E6362B4"/>
    <w:rsid w:val="4EAD12F4"/>
    <w:rsid w:val="4EC41038"/>
    <w:rsid w:val="4EC8055E"/>
    <w:rsid w:val="4ED13B11"/>
    <w:rsid w:val="4EFFC0D9"/>
    <w:rsid w:val="4F1E3EDA"/>
    <w:rsid w:val="4F1F5413"/>
    <w:rsid w:val="4F3504E4"/>
    <w:rsid w:val="4F373BA2"/>
    <w:rsid w:val="4F4235B3"/>
    <w:rsid w:val="4F5729C2"/>
    <w:rsid w:val="4F586078"/>
    <w:rsid w:val="4F637BD2"/>
    <w:rsid w:val="4F667EBB"/>
    <w:rsid w:val="4F7F146C"/>
    <w:rsid w:val="4F963F07"/>
    <w:rsid w:val="4F9D33AA"/>
    <w:rsid w:val="4F9F38BD"/>
    <w:rsid w:val="4FAE58AE"/>
    <w:rsid w:val="4FB2281C"/>
    <w:rsid w:val="4FCF390A"/>
    <w:rsid w:val="4FD572DE"/>
    <w:rsid w:val="4FDA6B31"/>
    <w:rsid w:val="4FDB6AC3"/>
    <w:rsid w:val="4FDFB145"/>
    <w:rsid w:val="4FE17B77"/>
    <w:rsid w:val="4FFB47F8"/>
    <w:rsid w:val="4FFF8B31"/>
    <w:rsid w:val="50125E3D"/>
    <w:rsid w:val="502A587C"/>
    <w:rsid w:val="503B0253"/>
    <w:rsid w:val="50964461"/>
    <w:rsid w:val="509C1BAA"/>
    <w:rsid w:val="50B9275C"/>
    <w:rsid w:val="50C50B26"/>
    <w:rsid w:val="50CE6F9F"/>
    <w:rsid w:val="50D92DFE"/>
    <w:rsid w:val="50E23A41"/>
    <w:rsid w:val="50E24577"/>
    <w:rsid w:val="50E90E4D"/>
    <w:rsid w:val="51085492"/>
    <w:rsid w:val="511F4786"/>
    <w:rsid w:val="51293414"/>
    <w:rsid w:val="51340035"/>
    <w:rsid w:val="514646D8"/>
    <w:rsid w:val="51477AF7"/>
    <w:rsid w:val="514F07F2"/>
    <w:rsid w:val="516C4861"/>
    <w:rsid w:val="519D33E8"/>
    <w:rsid w:val="519D6372"/>
    <w:rsid w:val="51AD665B"/>
    <w:rsid w:val="51B726A1"/>
    <w:rsid w:val="51B7313F"/>
    <w:rsid w:val="51E31065"/>
    <w:rsid w:val="51F4603A"/>
    <w:rsid w:val="522D1C14"/>
    <w:rsid w:val="52391A74"/>
    <w:rsid w:val="52395732"/>
    <w:rsid w:val="52DB6D5A"/>
    <w:rsid w:val="52DD2582"/>
    <w:rsid w:val="52E03507"/>
    <w:rsid w:val="52E5CFE7"/>
    <w:rsid w:val="52F42F00"/>
    <w:rsid w:val="531F0DC4"/>
    <w:rsid w:val="5327679F"/>
    <w:rsid w:val="532A4BD1"/>
    <w:rsid w:val="532F3286"/>
    <w:rsid w:val="53542A91"/>
    <w:rsid w:val="535A3AA7"/>
    <w:rsid w:val="535E63FC"/>
    <w:rsid w:val="535F6276"/>
    <w:rsid w:val="53697FF5"/>
    <w:rsid w:val="537A0DDF"/>
    <w:rsid w:val="5382108B"/>
    <w:rsid w:val="539239D5"/>
    <w:rsid w:val="539C5E38"/>
    <w:rsid w:val="539D0113"/>
    <w:rsid w:val="53AA7564"/>
    <w:rsid w:val="53AF708C"/>
    <w:rsid w:val="53BD4EA8"/>
    <w:rsid w:val="53FD503B"/>
    <w:rsid w:val="541D2076"/>
    <w:rsid w:val="541F57C4"/>
    <w:rsid w:val="54506BE0"/>
    <w:rsid w:val="5458228C"/>
    <w:rsid w:val="546A1731"/>
    <w:rsid w:val="546E1A14"/>
    <w:rsid w:val="5476101E"/>
    <w:rsid w:val="54823ACB"/>
    <w:rsid w:val="548B440F"/>
    <w:rsid w:val="54945582"/>
    <w:rsid w:val="54A37834"/>
    <w:rsid w:val="54AB4AB2"/>
    <w:rsid w:val="54AC462D"/>
    <w:rsid w:val="54BC71D4"/>
    <w:rsid w:val="54BE6593"/>
    <w:rsid w:val="54C428D8"/>
    <w:rsid w:val="54CC5B08"/>
    <w:rsid w:val="54E1752E"/>
    <w:rsid w:val="54F911B8"/>
    <w:rsid w:val="55086644"/>
    <w:rsid w:val="552426A4"/>
    <w:rsid w:val="55306FE0"/>
    <w:rsid w:val="55456DCF"/>
    <w:rsid w:val="554D5B69"/>
    <w:rsid w:val="5580671C"/>
    <w:rsid w:val="55872E29"/>
    <w:rsid w:val="55D9149E"/>
    <w:rsid w:val="55DC3A47"/>
    <w:rsid w:val="55DD2EEF"/>
    <w:rsid w:val="55F52488"/>
    <w:rsid w:val="55FAA0EC"/>
    <w:rsid w:val="562C143E"/>
    <w:rsid w:val="562E3374"/>
    <w:rsid w:val="5646212F"/>
    <w:rsid w:val="56643532"/>
    <w:rsid w:val="566A2753"/>
    <w:rsid w:val="56A94582"/>
    <w:rsid w:val="56FB3887"/>
    <w:rsid w:val="56FF5D39"/>
    <w:rsid w:val="5706158F"/>
    <w:rsid w:val="57596BC3"/>
    <w:rsid w:val="576D6CEE"/>
    <w:rsid w:val="57907415"/>
    <w:rsid w:val="57A920E8"/>
    <w:rsid w:val="57B8708A"/>
    <w:rsid w:val="57C245EC"/>
    <w:rsid w:val="57EC37DB"/>
    <w:rsid w:val="57F31DEF"/>
    <w:rsid w:val="57F4E729"/>
    <w:rsid w:val="58047043"/>
    <w:rsid w:val="5807127B"/>
    <w:rsid w:val="582137F9"/>
    <w:rsid w:val="5844565B"/>
    <w:rsid w:val="587800F2"/>
    <w:rsid w:val="587C0B99"/>
    <w:rsid w:val="589037A1"/>
    <w:rsid w:val="58AB42E3"/>
    <w:rsid w:val="58B765E7"/>
    <w:rsid w:val="58BF0B2C"/>
    <w:rsid w:val="58E541D3"/>
    <w:rsid w:val="58F436AE"/>
    <w:rsid w:val="58FF660A"/>
    <w:rsid w:val="59660712"/>
    <w:rsid w:val="59A35698"/>
    <w:rsid w:val="59D33B74"/>
    <w:rsid w:val="59D6612D"/>
    <w:rsid w:val="59DC1A3C"/>
    <w:rsid w:val="59EFDFB2"/>
    <w:rsid w:val="5A030EFA"/>
    <w:rsid w:val="5A201D86"/>
    <w:rsid w:val="5A6C083F"/>
    <w:rsid w:val="5A712973"/>
    <w:rsid w:val="5A9534C9"/>
    <w:rsid w:val="5AB7558E"/>
    <w:rsid w:val="5ABA752D"/>
    <w:rsid w:val="5AC91CB0"/>
    <w:rsid w:val="5ADB7A9F"/>
    <w:rsid w:val="5AE90E31"/>
    <w:rsid w:val="5B0453E0"/>
    <w:rsid w:val="5B1C4013"/>
    <w:rsid w:val="5B242EC8"/>
    <w:rsid w:val="5B294982"/>
    <w:rsid w:val="5B2F331B"/>
    <w:rsid w:val="5B362056"/>
    <w:rsid w:val="5B4B35D6"/>
    <w:rsid w:val="5B545C61"/>
    <w:rsid w:val="5B5E790E"/>
    <w:rsid w:val="5B5FB9AE"/>
    <w:rsid w:val="5B7FBC1C"/>
    <w:rsid w:val="5B8C403F"/>
    <w:rsid w:val="5B977B3E"/>
    <w:rsid w:val="5BA96C40"/>
    <w:rsid w:val="5BE36FFD"/>
    <w:rsid w:val="5BEF2741"/>
    <w:rsid w:val="5BFEBFF7"/>
    <w:rsid w:val="5BFF8BB8"/>
    <w:rsid w:val="5C072027"/>
    <w:rsid w:val="5C1D6295"/>
    <w:rsid w:val="5C412946"/>
    <w:rsid w:val="5C5F08E6"/>
    <w:rsid w:val="5C851ABC"/>
    <w:rsid w:val="5C926447"/>
    <w:rsid w:val="5C951427"/>
    <w:rsid w:val="5CB47325"/>
    <w:rsid w:val="5CDE28D6"/>
    <w:rsid w:val="5CF52B7F"/>
    <w:rsid w:val="5D165457"/>
    <w:rsid w:val="5D1A034E"/>
    <w:rsid w:val="5D1E01DC"/>
    <w:rsid w:val="5D1F2257"/>
    <w:rsid w:val="5D456C14"/>
    <w:rsid w:val="5D4705D0"/>
    <w:rsid w:val="5D5E6B65"/>
    <w:rsid w:val="5D626282"/>
    <w:rsid w:val="5D8F55DF"/>
    <w:rsid w:val="5DAFD236"/>
    <w:rsid w:val="5DB406A9"/>
    <w:rsid w:val="5DCDF051"/>
    <w:rsid w:val="5DDE74C3"/>
    <w:rsid w:val="5DDEA683"/>
    <w:rsid w:val="5DE11544"/>
    <w:rsid w:val="5DEBAC04"/>
    <w:rsid w:val="5DEBCBAF"/>
    <w:rsid w:val="5DFBDDD7"/>
    <w:rsid w:val="5DFF5B7B"/>
    <w:rsid w:val="5DFF7B56"/>
    <w:rsid w:val="5DFFB025"/>
    <w:rsid w:val="5E122AE4"/>
    <w:rsid w:val="5E1501E6"/>
    <w:rsid w:val="5E1E671C"/>
    <w:rsid w:val="5E230800"/>
    <w:rsid w:val="5E48324F"/>
    <w:rsid w:val="5E4C006B"/>
    <w:rsid w:val="5E6E2DD8"/>
    <w:rsid w:val="5E6FBB37"/>
    <w:rsid w:val="5E7D74BF"/>
    <w:rsid w:val="5E801C8C"/>
    <w:rsid w:val="5E840981"/>
    <w:rsid w:val="5EB22AF1"/>
    <w:rsid w:val="5EBC250E"/>
    <w:rsid w:val="5EDD0429"/>
    <w:rsid w:val="5EEE8772"/>
    <w:rsid w:val="5EF99371"/>
    <w:rsid w:val="5F025C16"/>
    <w:rsid w:val="5F036CC2"/>
    <w:rsid w:val="5F074FDA"/>
    <w:rsid w:val="5F176F53"/>
    <w:rsid w:val="5F1B6809"/>
    <w:rsid w:val="5F214117"/>
    <w:rsid w:val="5F3D09FC"/>
    <w:rsid w:val="5F3E404E"/>
    <w:rsid w:val="5F3E6C4E"/>
    <w:rsid w:val="5F3FDDED"/>
    <w:rsid w:val="5F5F0216"/>
    <w:rsid w:val="5F653D10"/>
    <w:rsid w:val="5F702A21"/>
    <w:rsid w:val="5F7104A2"/>
    <w:rsid w:val="5F9955BE"/>
    <w:rsid w:val="5F9B531E"/>
    <w:rsid w:val="5FCD8A84"/>
    <w:rsid w:val="5FCE4F4E"/>
    <w:rsid w:val="5FD5EBF1"/>
    <w:rsid w:val="5FE07D05"/>
    <w:rsid w:val="5FEA7D81"/>
    <w:rsid w:val="5FFB8D2C"/>
    <w:rsid w:val="6017688D"/>
    <w:rsid w:val="60575AEE"/>
    <w:rsid w:val="605E6E7C"/>
    <w:rsid w:val="60661CB4"/>
    <w:rsid w:val="6072051B"/>
    <w:rsid w:val="6085265B"/>
    <w:rsid w:val="609E0F14"/>
    <w:rsid w:val="60C35B18"/>
    <w:rsid w:val="60F87024"/>
    <w:rsid w:val="613622D6"/>
    <w:rsid w:val="613C4296"/>
    <w:rsid w:val="6141140F"/>
    <w:rsid w:val="61471ACE"/>
    <w:rsid w:val="6158492A"/>
    <w:rsid w:val="6169605F"/>
    <w:rsid w:val="61753344"/>
    <w:rsid w:val="617F354E"/>
    <w:rsid w:val="618518AD"/>
    <w:rsid w:val="61970FC4"/>
    <w:rsid w:val="61CB0541"/>
    <w:rsid w:val="61E82F1E"/>
    <w:rsid w:val="61F0503E"/>
    <w:rsid w:val="6201784E"/>
    <w:rsid w:val="622B4EC0"/>
    <w:rsid w:val="62614A02"/>
    <w:rsid w:val="62663996"/>
    <w:rsid w:val="62776E6D"/>
    <w:rsid w:val="629D1EDE"/>
    <w:rsid w:val="629E48DB"/>
    <w:rsid w:val="62E6447A"/>
    <w:rsid w:val="62F277E6"/>
    <w:rsid w:val="63130619"/>
    <w:rsid w:val="63292F68"/>
    <w:rsid w:val="6355235E"/>
    <w:rsid w:val="63615361"/>
    <w:rsid w:val="637461EB"/>
    <w:rsid w:val="637815D0"/>
    <w:rsid w:val="637F327F"/>
    <w:rsid w:val="6394680C"/>
    <w:rsid w:val="63CD63D1"/>
    <w:rsid w:val="63DE0FE6"/>
    <w:rsid w:val="63E30670"/>
    <w:rsid w:val="63E853BE"/>
    <w:rsid w:val="63FA13A3"/>
    <w:rsid w:val="64173DD4"/>
    <w:rsid w:val="64250ED2"/>
    <w:rsid w:val="64382979"/>
    <w:rsid w:val="64440FCE"/>
    <w:rsid w:val="644C4E9D"/>
    <w:rsid w:val="64543730"/>
    <w:rsid w:val="6460554D"/>
    <w:rsid w:val="646733D7"/>
    <w:rsid w:val="647D1DE9"/>
    <w:rsid w:val="648C69EB"/>
    <w:rsid w:val="64970BAF"/>
    <w:rsid w:val="64A52E1A"/>
    <w:rsid w:val="64F962AD"/>
    <w:rsid w:val="651A759E"/>
    <w:rsid w:val="651C2B51"/>
    <w:rsid w:val="65557753"/>
    <w:rsid w:val="65B20905"/>
    <w:rsid w:val="65B456E9"/>
    <w:rsid w:val="65C435EA"/>
    <w:rsid w:val="65FFAEAF"/>
    <w:rsid w:val="6618187B"/>
    <w:rsid w:val="66360241"/>
    <w:rsid w:val="664D7A74"/>
    <w:rsid w:val="66525C9F"/>
    <w:rsid w:val="666735B6"/>
    <w:rsid w:val="66893500"/>
    <w:rsid w:val="669A05F7"/>
    <w:rsid w:val="66AA65DF"/>
    <w:rsid w:val="66BF9386"/>
    <w:rsid w:val="66CC2B8D"/>
    <w:rsid w:val="66FDBC74"/>
    <w:rsid w:val="6703252B"/>
    <w:rsid w:val="67090D47"/>
    <w:rsid w:val="670D2EF6"/>
    <w:rsid w:val="672023DA"/>
    <w:rsid w:val="672C74D4"/>
    <w:rsid w:val="673E274D"/>
    <w:rsid w:val="6775142A"/>
    <w:rsid w:val="67796A91"/>
    <w:rsid w:val="678377BA"/>
    <w:rsid w:val="67A4264C"/>
    <w:rsid w:val="67DB0933"/>
    <w:rsid w:val="67E07486"/>
    <w:rsid w:val="67E31201"/>
    <w:rsid w:val="67E501F3"/>
    <w:rsid w:val="67ED3000"/>
    <w:rsid w:val="67F75E6D"/>
    <w:rsid w:val="67F78D05"/>
    <w:rsid w:val="68045C9E"/>
    <w:rsid w:val="68E1689C"/>
    <w:rsid w:val="68E3340F"/>
    <w:rsid w:val="68E82DDB"/>
    <w:rsid w:val="68F17B2F"/>
    <w:rsid w:val="68FB3E03"/>
    <w:rsid w:val="69491767"/>
    <w:rsid w:val="694F67E6"/>
    <w:rsid w:val="69724141"/>
    <w:rsid w:val="69801C11"/>
    <w:rsid w:val="69887333"/>
    <w:rsid w:val="69A16E5D"/>
    <w:rsid w:val="69D02B99"/>
    <w:rsid w:val="69DFC411"/>
    <w:rsid w:val="69E34D6C"/>
    <w:rsid w:val="69E61B07"/>
    <w:rsid w:val="69E87526"/>
    <w:rsid w:val="69F778AA"/>
    <w:rsid w:val="69F8F1BB"/>
    <w:rsid w:val="6A0311FB"/>
    <w:rsid w:val="6A097E59"/>
    <w:rsid w:val="6A4B46B5"/>
    <w:rsid w:val="6A696B49"/>
    <w:rsid w:val="6AAF60BB"/>
    <w:rsid w:val="6AB25B1C"/>
    <w:rsid w:val="6AB82BB0"/>
    <w:rsid w:val="6AC12A02"/>
    <w:rsid w:val="6AC975E8"/>
    <w:rsid w:val="6AD202EA"/>
    <w:rsid w:val="6AD20C96"/>
    <w:rsid w:val="6AE3353E"/>
    <w:rsid w:val="6AF7EA9B"/>
    <w:rsid w:val="6AFA0065"/>
    <w:rsid w:val="6AFF397A"/>
    <w:rsid w:val="6B362FBA"/>
    <w:rsid w:val="6B462871"/>
    <w:rsid w:val="6B76AEF9"/>
    <w:rsid w:val="6B811C71"/>
    <w:rsid w:val="6B985110"/>
    <w:rsid w:val="6BA352CE"/>
    <w:rsid w:val="6BA66561"/>
    <w:rsid w:val="6BA70FD1"/>
    <w:rsid w:val="6BB362CE"/>
    <w:rsid w:val="6BD05458"/>
    <w:rsid w:val="6BD21A70"/>
    <w:rsid w:val="6BDB5825"/>
    <w:rsid w:val="6BED2021"/>
    <w:rsid w:val="6BF3EAB1"/>
    <w:rsid w:val="6BF52C3B"/>
    <w:rsid w:val="6BFF3D72"/>
    <w:rsid w:val="6BFF7343"/>
    <w:rsid w:val="6C2077F5"/>
    <w:rsid w:val="6C3C5623"/>
    <w:rsid w:val="6C6402DF"/>
    <w:rsid w:val="6C691554"/>
    <w:rsid w:val="6C7C64C2"/>
    <w:rsid w:val="6C8B6DBB"/>
    <w:rsid w:val="6C937EAD"/>
    <w:rsid w:val="6D061455"/>
    <w:rsid w:val="6D215542"/>
    <w:rsid w:val="6D351D7E"/>
    <w:rsid w:val="6D370D3E"/>
    <w:rsid w:val="6D433682"/>
    <w:rsid w:val="6D571C1E"/>
    <w:rsid w:val="6D5FF211"/>
    <w:rsid w:val="6D6C2BD7"/>
    <w:rsid w:val="6D710A84"/>
    <w:rsid w:val="6D7F6B76"/>
    <w:rsid w:val="6D883FC0"/>
    <w:rsid w:val="6D9A5389"/>
    <w:rsid w:val="6DAA3DA2"/>
    <w:rsid w:val="6DBF7B2E"/>
    <w:rsid w:val="6DC26230"/>
    <w:rsid w:val="6DCD80E4"/>
    <w:rsid w:val="6DE704B1"/>
    <w:rsid w:val="6E2C660A"/>
    <w:rsid w:val="6E50356B"/>
    <w:rsid w:val="6E5B49FB"/>
    <w:rsid w:val="6E91666F"/>
    <w:rsid w:val="6E9C129B"/>
    <w:rsid w:val="6EB39598"/>
    <w:rsid w:val="6EC61449"/>
    <w:rsid w:val="6EC63F2A"/>
    <w:rsid w:val="6EDD753D"/>
    <w:rsid w:val="6EE739AB"/>
    <w:rsid w:val="6F0D3F47"/>
    <w:rsid w:val="6F106CA5"/>
    <w:rsid w:val="6F3F5BAB"/>
    <w:rsid w:val="6F51376C"/>
    <w:rsid w:val="6F582105"/>
    <w:rsid w:val="6F6B6019"/>
    <w:rsid w:val="6F6D4CC4"/>
    <w:rsid w:val="6F7B3BF5"/>
    <w:rsid w:val="6F7F9E18"/>
    <w:rsid w:val="6F8B4372"/>
    <w:rsid w:val="6FBDF22D"/>
    <w:rsid w:val="6FBF0126"/>
    <w:rsid w:val="6FC34F4E"/>
    <w:rsid w:val="6FDF2C0C"/>
    <w:rsid w:val="6FE351E0"/>
    <w:rsid w:val="6FE7DF74"/>
    <w:rsid w:val="6FF83C47"/>
    <w:rsid w:val="6FF9D30E"/>
    <w:rsid w:val="6FFB311D"/>
    <w:rsid w:val="6FFCF3E1"/>
    <w:rsid w:val="6FFE7A12"/>
    <w:rsid w:val="6FFF69A6"/>
    <w:rsid w:val="6FFFB32B"/>
    <w:rsid w:val="702B6AB3"/>
    <w:rsid w:val="70441F96"/>
    <w:rsid w:val="705231B5"/>
    <w:rsid w:val="706A7F50"/>
    <w:rsid w:val="7076545B"/>
    <w:rsid w:val="70BA63CA"/>
    <w:rsid w:val="70D06252"/>
    <w:rsid w:val="70D6382B"/>
    <w:rsid w:val="70E07055"/>
    <w:rsid w:val="70EF5D31"/>
    <w:rsid w:val="71021E3C"/>
    <w:rsid w:val="710651EE"/>
    <w:rsid w:val="710E21F8"/>
    <w:rsid w:val="71301831"/>
    <w:rsid w:val="71557E27"/>
    <w:rsid w:val="71816E6E"/>
    <w:rsid w:val="71A62874"/>
    <w:rsid w:val="71AC01E3"/>
    <w:rsid w:val="71D011FA"/>
    <w:rsid w:val="71D34AFB"/>
    <w:rsid w:val="71E26A6B"/>
    <w:rsid w:val="71E76C8F"/>
    <w:rsid w:val="71FE11D9"/>
    <w:rsid w:val="721365E8"/>
    <w:rsid w:val="7214563D"/>
    <w:rsid w:val="72A3715A"/>
    <w:rsid w:val="72B4738A"/>
    <w:rsid w:val="72B91C03"/>
    <w:rsid w:val="72F316A6"/>
    <w:rsid w:val="73011B3E"/>
    <w:rsid w:val="73357F10"/>
    <w:rsid w:val="733A6AF9"/>
    <w:rsid w:val="737B3E9F"/>
    <w:rsid w:val="73933B8C"/>
    <w:rsid w:val="73935A63"/>
    <w:rsid w:val="73CF7C0D"/>
    <w:rsid w:val="73D74B32"/>
    <w:rsid w:val="73DD1B54"/>
    <w:rsid w:val="73F64AAB"/>
    <w:rsid w:val="73FFD3B5"/>
    <w:rsid w:val="7400407A"/>
    <w:rsid w:val="740500E7"/>
    <w:rsid w:val="740F42BD"/>
    <w:rsid w:val="7419338E"/>
    <w:rsid w:val="74346C5B"/>
    <w:rsid w:val="743E4BA3"/>
    <w:rsid w:val="744028AD"/>
    <w:rsid w:val="744F4027"/>
    <w:rsid w:val="745774B6"/>
    <w:rsid w:val="747131CA"/>
    <w:rsid w:val="74751043"/>
    <w:rsid w:val="747666B6"/>
    <w:rsid w:val="74776FD1"/>
    <w:rsid w:val="74792B65"/>
    <w:rsid w:val="74B05AF4"/>
    <w:rsid w:val="74B64D90"/>
    <w:rsid w:val="74B85EAD"/>
    <w:rsid w:val="74C26852"/>
    <w:rsid w:val="750C6A4F"/>
    <w:rsid w:val="75146DAF"/>
    <w:rsid w:val="753F00FB"/>
    <w:rsid w:val="75481BD4"/>
    <w:rsid w:val="75956274"/>
    <w:rsid w:val="75A3188C"/>
    <w:rsid w:val="75B774E3"/>
    <w:rsid w:val="75BF8449"/>
    <w:rsid w:val="75C86E1A"/>
    <w:rsid w:val="75DA47EA"/>
    <w:rsid w:val="75EB142F"/>
    <w:rsid w:val="75ED433D"/>
    <w:rsid w:val="75F46BB3"/>
    <w:rsid w:val="75FAB938"/>
    <w:rsid w:val="75FACCD0"/>
    <w:rsid w:val="75FC6AC3"/>
    <w:rsid w:val="75FF6DB8"/>
    <w:rsid w:val="761756AB"/>
    <w:rsid w:val="761F24FC"/>
    <w:rsid w:val="765353AD"/>
    <w:rsid w:val="765F06C0"/>
    <w:rsid w:val="765F2314"/>
    <w:rsid w:val="7669406C"/>
    <w:rsid w:val="7669665D"/>
    <w:rsid w:val="76914B30"/>
    <w:rsid w:val="769C7E50"/>
    <w:rsid w:val="76AD3E5B"/>
    <w:rsid w:val="76C57C6B"/>
    <w:rsid w:val="76CB0598"/>
    <w:rsid w:val="76DD3F94"/>
    <w:rsid w:val="770045CD"/>
    <w:rsid w:val="77396925"/>
    <w:rsid w:val="774570AB"/>
    <w:rsid w:val="77472876"/>
    <w:rsid w:val="774E2CAE"/>
    <w:rsid w:val="775128CA"/>
    <w:rsid w:val="775C236A"/>
    <w:rsid w:val="777F07DD"/>
    <w:rsid w:val="778FEA3B"/>
    <w:rsid w:val="77994FE1"/>
    <w:rsid w:val="77A572D9"/>
    <w:rsid w:val="77BA62C2"/>
    <w:rsid w:val="77BBDACE"/>
    <w:rsid w:val="77BD08BC"/>
    <w:rsid w:val="77D5725F"/>
    <w:rsid w:val="77EC4C1C"/>
    <w:rsid w:val="77F61E26"/>
    <w:rsid w:val="77F78C32"/>
    <w:rsid w:val="77FDFC13"/>
    <w:rsid w:val="78497407"/>
    <w:rsid w:val="7870778B"/>
    <w:rsid w:val="78754E4A"/>
    <w:rsid w:val="78782796"/>
    <w:rsid w:val="788B0DD6"/>
    <w:rsid w:val="788B41A6"/>
    <w:rsid w:val="78E201F2"/>
    <w:rsid w:val="78E7AE36"/>
    <w:rsid w:val="791C63B7"/>
    <w:rsid w:val="79243235"/>
    <w:rsid w:val="7957B951"/>
    <w:rsid w:val="797E1576"/>
    <w:rsid w:val="79C74F0B"/>
    <w:rsid w:val="79FB8050"/>
    <w:rsid w:val="79FD3ED0"/>
    <w:rsid w:val="7A0D129F"/>
    <w:rsid w:val="7A337657"/>
    <w:rsid w:val="7A3B2CA7"/>
    <w:rsid w:val="7A42154B"/>
    <w:rsid w:val="7A7FE278"/>
    <w:rsid w:val="7A924401"/>
    <w:rsid w:val="7AAB52DE"/>
    <w:rsid w:val="7ACA2120"/>
    <w:rsid w:val="7ACF95DB"/>
    <w:rsid w:val="7AE534E4"/>
    <w:rsid w:val="7AF3AD0A"/>
    <w:rsid w:val="7AFD66D2"/>
    <w:rsid w:val="7AFF4121"/>
    <w:rsid w:val="7B05466C"/>
    <w:rsid w:val="7B1E6340"/>
    <w:rsid w:val="7B251B25"/>
    <w:rsid w:val="7B2D257D"/>
    <w:rsid w:val="7B342B32"/>
    <w:rsid w:val="7B3B5BBB"/>
    <w:rsid w:val="7B59BF53"/>
    <w:rsid w:val="7B664481"/>
    <w:rsid w:val="7B756C9A"/>
    <w:rsid w:val="7B785252"/>
    <w:rsid w:val="7B7D78FD"/>
    <w:rsid w:val="7B7DBD4A"/>
    <w:rsid w:val="7B7F8410"/>
    <w:rsid w:val="7B8E01BE"/>
    <w:rsid w:val="7B90588E"/>
    <w:rsid w:val="7BB73828"/>
    <w:rsid w:val="7BB75966"/>
    <w:rsid w:val="7BBA48EC"/>
    <w:rsid w:val="7BCFDFCD"/>
    <w:rsid w:val="7BCFFB6F"/>
    <w:rsid w:val="7BD08A76"/>
    <w:rsid w:val="7BDD9921"/>
    <w:rsid w:val="7BEF0FCD"/>
    <w:rsid w:val="7BF00B62"/>
    <w:rsid w:val="7BF5086D"/>
    <w:rsid w:val="7BF6F451"/>
    <w:rsid w:val="7BFE83C2"/>
    <w:rsid w:val="7C084414"/>
    <w:rsid w:val="7C3B459B"/>
    <w:rsid w:val="7C4661EA"/>
    <w:rsid w:val="7C474DF4"/>
    <w:rsid w:val="7C541407"/>
    <w:rsid w:val="7C67278A"/>
    <w:rsid w:val="7C715D3A"/>
    <w:rsid w:val="7C773AC9"/>
    <w:rsid w:val="7C940F41"/>
    <w:rsid w:val="7C99506C"/>
    <w:rsid w:val="7CBBB0B9"/>
    <w:rsid w:val="7CBF6743"/>
    <w:rsid w:val="7CCA41BF"/>
    <w:rsid w:val="7CE73CFF"/>
    <w:rsid w:val="7CF0780B"/>
    <w:rsid w:val="7CF16C56"/>
    <w:rsid w:val="7CF72891"/>
    <w:rsid w:val="7CFF4BCB"/>
    <w:rsid w:val="7D036989"/>
    <w:rsid w:val="7D0A03B5"/>
    <w:rsid w:val="7D6619C8"/>
    <w:rsid w:val="7D7A61CF"/>
    <w:rsid w:val="7D7B08AD"/>
    <w:rsid w:val="7D7FD221"/>
    <w:rsid w:val="7DAF0C19"/>
    <w:rsid w:val="7DB9BAFC"/>
    <w:rsid w:val="7DBC4B71"/>
    <w:rsid w:val="7DBDA68D"/>
    <w:rsid w:val="7DD94C28"/>
    <w:rsid w:val="7DDFBCD9"/>
    <w:rsid w:val="7DE14F1D"/>
    <w:rsid w:val="7DF9051F"/>
    <w:rsid w:val="7DFD87C3"/>
    <w:rsid w:val="7DFE5366"/>
    <w:rsid w:val="7DFF2909"/>
    <w:rsid w:val="7DFF3EB7"/>
    <w:rsid w:val="7DFFEA5C"/>
    <w:rsid w:val="7E005498"/>
    <w:rsid w:val="7E2E2619"/>
    <w:rsid w:val="7E3A2CA5"/>
    <w:rsid w:val="7E3FAC03"/>
    <w:rsid w:val="7E4222BA"/>
    <w:rsid w:val="7E466939"/>
    <w:rsid w:val="7E597CD7"/>
    <w:rsid w:val="7E5B0F3D"/>
    <w:rsid w:val="7E67B6D4"/>
    <w:rsid w:val="7E7C69F3"/>
    <w:rsid w:val="7E8DC893"/>
    <w:rsid w:val="7E9975A5"/>
    <w:rsid w:val="7E9A331D"/>
    <w:rsid w:val="7EAD658C"/>
    <w:rsid w:val="7EAF7B26"/>
    <w:rsid w:val="7EBFCB41"/>
    <w:rsid w:val="7ED2626D"/>
    <w:rsid w:val="7EDC56E4"/>
    <w:rsid w:val="7EDD7213"/>
    <w:rsid w:val="7EDDD10A"/>
    <w:rsid w:val="7EDE145C"/>
    <w:rsid w:val="7EE705B3"/>
    <w:rsid w:val="7EFB5E8F"/>
    <w:rsid w:val="7EFBA54F"/>
    <w:rsid w:val="7EFEC3CB"/>
    <w:rsid w:val="7EFF9B55"/>
    <w:rsid w:val="7EFFD3FE"/>
    <w:rsid w:val="7EFFD69D"/>
    <w:rsid w:val="7EFFFE40"/>
    <w:rsid w:val="7F1E1436"/>
    <w:rsid w:val="7F2F6C75"/>
    <w:rsid w:val="7F4606E0"/>
    <w:rsid w:val="7F492E62"/>
    <w:rsid w:val="7F4F4108"/>
    <w:rsid w:val="7F587BFA"/>
    <w:rsid w:val="7F5D4DB4"/>
    <w:rsid w:val="7F5F3E3D"/>
    <w:rsid w:val="7F5F64D7"/>
    <w:rsid w:val="7F6B0FEB"/>
    <w:rsid w:val="7F733D91"/>
    <w:rsid w:val="7F7BF2F6"/>
    <w:rsid w:val="7F7E56A0"/>
    <w:rsid w:val="7F7EE898"/>
    <w:rsid w:val="7F7FF1C7"/>
    <w:rsid w:val="7F8813C8"/>
    <w:rsid w:val="7F8A3E0E"/>
    <w:rsid w:val="7F986465"/>
    <w:rsid w:val="7F9B456B"/>
    <w:rsid w:val="7FA2692E"/>
    <w:rsid w:val="7FA90C3E"/>
    <w:rsid w:val="7FAADB19"/>
    <w:rsid w:val="7FB7EE4A"/>
    <w:rsid w:val="7FBB1F64"/>
    <w:rsid w:val="7FD37057"/>
    <w:rsid w:val="7FD508D3"/>
    <w:rsid w:val="7FD76031"/>
    <w:rsid w:val="7FD82720"/>
    <w:rsid w:val="7FD9A7F6"/>
    <w:rsid w:val="7FDB8B0A"/>
    <w:rsid w:val="7FDE1157"/>
    <w:rsid w:val="7FDF3FB8"/>
    <w:rsid w:val="7FDF84C8"/>
    <w:rsid w:val="7FDF8EB6"/>
    <w:rsid w:val="7FE5F30E"/>
    <w:rsid w:val="7FE702A7"/>
    <w:rsid w:val="7FE7578D"/>
    <w:rsid w:val="7FED8ACC"/>
    <w:rsid w:val="7FEF303B"/>
    <w:rsid w:val="7FEF4955"/>
    <w:rsid w:val="7FEFB90A"/>
    <w:rsid w:val="7FF38258"/>
    <w:rsid w:val="7FF3A5D5"/>
    <w:rsid w:val="7FF5598C"/>
    <w:rsid w:val="7FF66044"/>
    <w:rsid w:val="7FF7CB70"/>
    <w:rsid w:val="7FFB03C8"/>
    <w:rsid w:val="7FFB2508"/>
    <w:rsid w:val="7FFB4AD3"/>
    <w:rsid w:val="7FFB6169"/>
    <w:rsid w:val="7FFBDB0E"/>
    <w:rsid w:val="7FFBFF23"/>
    <w:rsid w:val="7FFC8FB0"/>
    <w:rsid w:val="7FFEA47E"/>
    <w:rsid w:val="7FFF08F1"/>
    <w:rsid w:val="7FFF346B"/>
    <w:rsid w:val="7FFF97EC"/>
    <w:rsid w:val="7FFFA6DE"/>
    <w:rsid w:val="7FFFD9DC"/>
    <w:rsid w:val="89FFD0A3"/>
    <w:rsid w:val="8CF9790A"/>
    <w:rsid w:val="8FFDED42"/>
    <w:rsid w:val="94FFED46"/>
    <w:rsid w:val="9ADF3E33"/>
    <w:rsid w:val="9BFD8884"/>
    <w:rsid w:val="9D1F19EB"/>
    <w:rsid w:val="9FFD6CCF"/>
    <w:rsid w:val="9FFFC2A0"/>
    <w:rsid w:val="A37E8E75"/>
    <w:rsid w:val="A6F0C1A2"/>
    <w:rsid w:val="A7F0C0B8"/>
    <w:rsid w:val="ABCB3C34"/>
    <w:rsid w:val="ABCF87D1"/>
    <w:rsid w:val="ACF2F2E5"/>
    <w:rsid w:val="ADE1E39E"/>
    <w:rsid w:val="AF3FC1F4"/>
    <w:rsid w:val="AFFF5A59"/>
    <w:rsid w:val="B2F238A4"/>
    <w:rsid w:val="B3BDA764"/>
    <w:rsid w:val="B5F5EBFA"/>
    <w:rsid w:val="B6EFEBE3"/>
    <w:rsid w:val="B7D70765"/>
    <w:rsid w:val="B7DBA881"/>
    <w:rsid w:val="B7F69B3C"/>
    <w:rsid w:val="B8D739CC"/>
    <w:rsid w:val="B9E57D8C"/>
    <w:rsid w:val="B9F75AE5"/>
    <w:rsid w:val="BA36523E"/>
    <w:rsid w:val="BB77A637"/>
    <w:rsid w:val="BB9DC487"/>
    <w:rsid w:val="BBCD3280"/>
    <w:rsid w:val="BBD7E073"/>
    <w:rsid w:val="BBE2AA31"/>
    <w:rsid w:val="BC665DAB"/>
    <w:rsid w:val="BD7E3D9B"/>
    <w:rsid w:val="BDD3A48E"/>
    <w:rsid w:val="BDF785E5"/>
    <w:rsid w:val="BE5EDA05"/>
    <w:rsid w:val="BE676398"/>
    <w:rsid w:val="BE779A69"/>
    <w:rsid w:val="BE9BFF11"/>
    <w:rsid w:val="BEE3EFD1"/>
    <w:rsid w:val="BEFFAD93"/>
    <w:rsid w:val="BF9B1FFB"/>
    <w:rsid w:val="BFAD70B9"/>
    <w:rsid w:val="BFBD3820"/>
    <w:rsid w:val="BFD55FBD"/>
    <w:rsid w:val="BFF73E85"/>
    <w:rsid w:val="BFF9E441"/>
    <w:rsid w:val="BFFA7494"/>
    <w:rsid w:val="BFFBDFCB"/>
    <w:rsid w:val="C2FCC403"/>
    <w:rsid w:val="C6220233"/>
    <w:rsid w:val="C70B91ED"/>
    <w:rsid w:val="CAF7F7D9"/>
    <w:rsid w:val="CBAAB46A"/>
    <w:rsid w:val="CBF2F63F"/>
    <w:rsid w:val="CDB19D00"/>
    <w:rsid w:val="CDFFE294"/>
    <w:rsid w:val="CE4636B8"/>
    <w:rsid w:val="CE9D4FEB"/>
    <w:rsid w:val="CF764F6A"/>
    <w:rsid w:val="CFBFC87E"/>
    <w:rsid w:val="CFDE7BFE"/>
    <w:rsid w:val="CFFC44F3"/>
    <w:rsid w:val="CFFD2026"/>
    <w:rsid w:val="D3DFAF1D"/>
    <w:rsid w:val="D3E31AE1"/>
    <w:rsid w:val="D563F1D8"/>
    <w:rsid w:val="D75700DC"/>
    <w:rsid w:val="D7E7E5F7"/>
    <w:rsid w:val="D7EC3280"/>
    <w:rsid w:val="D7FD828B"/>
    <w:rsid w:val="D85E106A"/>
    <w:rsid w:val="D9B9FDD5"/>
    <w:rsid w:val="D9CDD73B"/>
    <w:rsid w:val="DBB94371"/>
    <w:rsid w:val="DBFF4F90"/>
    <w:rsid w:val="DD3E4826"/>
    <w:rsid w:val="DDDB6E0A"/>
    <w:rsid w:val="DDF708AD"/>
    <w:rsid w:val="DDFFEE29"/>
    <w:rsid w:val="DE3B2F56"/>
    <w:rsid w:val="DE6E5E00"/>
    <w:rsid w:val="DEDF6332"/>
    <w:rsid w:val="DEFC9BAD"/>
    <w:rsid w:val="DEFEF671"/>
    <w:rsid w:val="DEFF24A9"/>
    <w:rsid w:val="DF378C10"/>
    <w:rsid w:val="DF53F1E8"/>
    <w:rsid w:val="DF64AE34"/>
    <w:rsid w:val="DF6FCC97"/>
    <w:rsid w:val="DF77944F"/>
    <w:rsid w:val="DF79D786"/>
    <w:rsid w:val="DFCF79C6"/>
    <w:rsid w:val="DFD7CDA4"/>
    <w:rsid w:val="DFDBA1A3"/>
    <w:rsid w:val="DFE9BE3E"/>
    <w:rsid w:val="DFEB8FE4"/>
    <w:rsid w:val="DFEF9B0D"/>
    <w:rsid w:val="DFEFC483"/>
    <w:rsid w:val="DFFDC6FC"/>
    <w:rsid w:val="DFFF3EB8"/>
    <w:rsid w:val="DFFFB74C"/>
    <w:rsid w:val="E1DF732E"/>
    <w:rsid w:val="E23BC2FE"/>
    <w:rsid w:val="E3FF1731"/>
    <w:rsid w:val="E3FF373A"/>
    <w:rsid w:val="E5EF6884"/>
    <w:rsid w:val="E7D9CCAE"/>
    <w:rsid w:val="E9AD4FD6"/>
    <w:rsid w:val="EA758FF0"/>
    <w:rsid w:val="EAEAA41E"/>
    <w:rsid w:val="EB77A327"/>
    <w:rsid w:val="EB7B0D6A"/>
    <w:rsid w:val="EB7ECFA1"/>
    <w:rsid w:val="EBD7E1C2"/>
    <w:rsid w:val="EBDCCF2D"/>
    <w:rsid w:val="EBFD1F58"/>
    <w:rsid w:val="EBFF6A18"/>
    <w:rsid w:val="EBFF715A"/>
    <w:rsid w:val="EDAFD7A5"/>
    <w:rsid w:val="EDF70E8E"/>
    <w:rsid w:val="EDFFBBBE"/>
    <w:rsid w:val="EE5FF822"/>
    <w:rsid w:val="EE7F3F76"/>
    <w:rsid w:val="EEA71FC0"/>
    <w:rsid w:val="EEBFF998"/>
    <w:rsid w:val="EF399E3D"/>
    <w:rsid w:val="EF4DE1BB"/>
    <w:rsid w:val="EF5D11C6"/>
    <w:rsid w:val="EF7F6DDF"/>
    <w:rsid w:val="EF87DE3E"/>
    <w:rsid w:val="EFBFAFEB"/>
    <w:rsid w:val="EFC10E7F"/>
    <w:rsid w:val="EFD63B24"/>
    <w:rsid w:val="EFE209DD"/>
    <w:rsid w:val="EFEE64B5"/>
    <w:rsid w:val="EFEFF585"/>
    <w:rsid w:val="EFF629E6"/>
    <w:rsid w:val="EFF7FE83"/>
    <w:rsid w:val="EFFDF711"/>
    <w:rsid w:val="EFFE719C"/>
    <w:rsid w:val="EFFEBCD3"/>
    <w:rsid w:val="EFFF174C"/>
    <w:rsid w:val="EFFF2E0F"/>
    <w:rsid w:val="EFFF85F6"/>
    <w:rsid w:val="F1E6B424"/>
    <w:rsid w:val="F3EB7345"/>
    <w:rsid w:val="F3EBD6A4"/>
    <w:rsid w:val="F54FC710"/>
    <w:rsid w:val="F57B1A8A"/>
    <w:rsid w:val="F5BE6E60"/>
    <w:rsid w:val="F5FF1077"/>
    <w:rsid w:val="F67FC504"/>
    <w:rsid w:val="F6A7FF89"/>
    <w:rsid w:val="F73D5848"/>
    <w:rsid w:val="F77BCFAF"/>
    <w:rsid w:val="F7BFA9C1"/>
    <w:rsid w:val="F7BFF6F2"/>
    <w:rsid w:val="F7DF1FA5"/>
    <w:rsid w:val="F7F976B6"/>
    <w:rsid w:val="F7FD50AD"/>
    <w:rsid w:val="F7FE39D8"/>
    <w:rsid w:val="F7FF05EB"/>
    <w:rsid w:val="F7FF6C7A"/>
    <w:rsid w:val="F7FF8FEB"/>
    <w:rsid w:val="F85B52E7"/>
    <w:rsid w:val="F8DF59DD"/>
    <w:rsid w:val="F979A706"/>
    <w:rsid w:val="F9FA6D0A"/>
    <w:rsid w:val="FA2FD95A"/>
    <w:rsid w:val="FA686CCC"/>
    <w:rsid w:val="FAB61478"/>
    <w:rsid w:val="FB3F94E2"/>
    <w:rsid w:val="FBBB1CC1"/>
    <w:rsid w:val="FBDF0BD5"/>
    <w:rsid w:val="FBE68691"/>
    <w:rsid w:val="FBE7BCB8"/>
    <w:rsid w:val="FBEF89D8"/>
    <w:rsid w:val="FBF38638"/>
    <w:rsid w:val="FBF889FB"/>
    <w:rsid w:val="FBFD743B"/>
    <w:rsid w:val="FC161E5A"/>
    <w:rsid w:val="FC77D9B4"/>
    <w:rsid w:val="FD7EA595"/>
    <w:rsid w:val="FDA89D5B"/>
    <w:rsid w:val="FDBEBB0F"/>
    <w:rsid w:val="FDDFBA30"/>
    <w:rsid w:val="FDED4966"/>
    <w:rsid w:val="FDF7AD13"/>
    <w:rsid w:val="FDFB78B1"/>
    <w:rsid w:val="FDFB8FF4"/>
    <w:rsid w:val="FDFD13FF"/>
    <w:rsid w:val="FDFD4FE7"/>
    <w:rsid w:val="FDFE90FC"/>
    <w:rsid w:val="FDFF035D"/>
    <w:rsid w:val="FE959A4A"/>
    <w:rsid w:val="FEAE54C9"/>
    <w:rsid w:val="FEBD3995"/>
    <w:rsid w:val="FECB9968"/>
    <w:rsid w:val="FECBEBDF"/>
    <w:rsid w:val="FED4FECA"/>
    <w:rsid w:val="FEDDE377"/>
    <w:rsid w:val="FEDFA97A"/>
    <w:rsid w:val="FEEF7227"/>
    <w:rsid w:val="FEF81B79"/>
    <w:rsid w:val="FEFD1DD9"/>
    <w:rsid w:val="FEFD47DD"/>
    <w:rsid w:val="FEFF3683"/>
    <w:rsid w:val="FF2DCDEA"/>
    <w:rsid w:val="FF4C2390"/>
    <w:rsid w:val="FF4D7913"/>
    <w:rsid w:val="FF5D0ACF"/>
    <w:rsid w:val="FF6E1794"/>
    <w:rsid w:val="FF8D8EB4"/>
    <w:rsid w:val="FF9B0916"/>
    <w:rsid w:val="FFAB9B7B"/>
    <w:rsid w:val="FFACB3AA"/>
    <w:rsid w:val="FFB5F5C6"/>
    <w:rsid w:val="FFB64D38"/>
    <w:rsid w:val="FFBB43A3"/>
    <w:rsid w:val="FFBC311D"/>
    <w:rsid w:val="FFBE4E78"/>
    <w:rsid w:val="FFBFFBA3"/>
    <w:rsid w:val="FFCD5D22"/>
    <w:rsid w:val="FFDCFEBB"/>
    <w:rsid w:val="FFDF1367"/>
    <w:rsid w:val="FFDFFB83"/>
    <w:rsid w:val="FFE2D492"/>
    <w:rsid w:val="FFED588D"/>
    <w:rsid w:val="FFEEDE62"/>
    <w:rsid w:val="FFF58605"/>
    <w:rsid w:val="FFF74E23"/>
    <w:rsid w:val="FFF79F3D"/>
    <w:rsid w:val="FFF7FF06"/>
    <w:rsid w:val="FFFB553C"/>
    <w:rsid w:val="FFFC7036"/>
    <w:rsid w:val="FFFD0548"/>
    <w:rsid w:val="FFFD8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99"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12" w:lineRule="auto"/>
      <w:jc w:val="both"/>
    </w:pPr>
    <w:rPr>
      <w:rFonts w:ascii="Calibri" w:hAnsi="Calibri" w:eastAsia="宋体" w:cs="Calibri"/>
      <w:kern w:val="2"/>
      <w:sz w:val="21"/>
      <w:lang w:val="en-US" w:eastAsia="zh-CN" w:bidi="ar-SA"/>
    </w:rPr>
  </w:style>
  <w:style w:type="paragraph" w:styleId="3">
    <w:name w:val="heading 1"/>
    <w:basedOn w:val="1"/>
    <w:next w:val="1"/>
    <w:link w:val="50"/>
    <w:qFormat/>
    <w:uiPriority w:val="0"/>
    <w:pPr>
      <w:keepNext/>
      <w:keepLines/>
      <w:spacing w:before="340" w:after="330" w:line="576" w:lineRule="auto"/>
      <w:jc w:val="center"/>
      <w:outlineLvl w:val="0"/>
    </w:pPr>
    <w:rPr>
      <w:rFonts w:eastAsia="仿宋"/>
      <w:b/>
      <w:kern w:val="44"/>
      <w:sz w:val="28"/>
    </w:rPr>
  </w:style>
  <w:style w:type="paragraph" w:styleId="4">
    <w:name w:val="heading 2"/>
    <w:basedOn w:val="1"/>
    <w:next w:val="1"/>
    <w:link w:val="51"/>
    <w:qFormat/>
    <w:uiPriority w:val="0"/>
    <w:pPr>
      <w:keepNext/>
      <w:keepLines/>
      <w:adjustRightInd w:val="0"/>
      <w:snapToGrid w:val="0"/>
      <w:spacing w:before="120" w:after="120" w:line="360" w:lineRule="auto"/>
      <w:jc w:val="left"/>
      <w:outlineLvl w:val="1"/>
    </w:pPr>
    <w:rPr>
      <w:rFonts w:ascii="宋体" w:hAnsi="Arial" w:eastAsia="仿宋"/>
      <w:b/>
      <w:sz w:val="24"/>
    </w:rPr>
  </w:style>
  <w:style w:type="paragraph" w:styleId="5">
    <w:name w:val="heading 3"/>
    <w:basedOn w:val="1"/>
    <w:next w:val="1"/>
    <w:link w:val="53"/>
    <w:qFormat/>
    <w:uiPriority w:val="9"/>
    <w:pPr>
      <w:spacing w:before="120" w:after="120" w:line="17" w:lineRule="atLeast"/>
      <w:jc w:val="left"/>
      <w:outlineLvl w:val="2"/>
    </w:pPr>
    <w:rPr>
      <w:rFonts w:hint="eastAsia" w:ascii="宋体" w:hAnsi="宋体" w:eastAsia="仿宋"/>
      <w:b/>
      <w:kern w:val="0"/>
      <w:sz w:val="24"/>
      <w:szCs w:val="36"/>
    </w:rPr>
  </w:style>
  <w:style w:type="paragraph" w:styleId="6">
    <w:name w:val="heading 4"/>
    <w:basedOn w:val="1"/>
    <w:next w:val="1"/>
    <w:link w:val="55"/>
    <w:qFormat/>
    <w:uiPriority w:val="0"/>
    <w:pPr>
      <w:keepNext/>
      <w:keepLines/>
      <w:spacing w:line="376" w:lineRule="auto"/>
      <w:outlineLvl w:val="3"/>
    </w:pPr>
    <w:rPr>
      <w:rFonts w:ascii="Cambria" w:hAnsi="Cambria" w:eastAsia="仿宋"/>
      <w:b/>
      <w:bCs/>
      <w:sz w:val="24"/>
      <w:szCs w:val="28"/>
    </w:rPr>
  </w:style>
  <w:style w:type="paragraph" w:styleId="7">
    <w:name w:val="heading 5"/>
    <w:basedOn w:val="1"/>
    <w:next w:val="1"/>
    <w:link w:val="56"/>
    <w:qFormat/>
    <w:uiPriority w:val="9"/>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60"/>
    <w:qFormat/>
    <w:uiPriority w:val="0"/>
    <w:pPr>
      <w:spacing w:line="240" w:lineRule="auto"/>
    </w:pPr>
    <w:rPr>
      <w:rFonts w:ascii="宋体" w:hAnsi="Courier New"/>
    </w:rPr>
  </w:style>
  <w:style w:type="paragraph" w:styleId="9">
    <w:name w:val="toc 7"/>
    <w:basedOn w:val="1"/>
    <w:next w:val="1"/>
    <w:qFormat/>
    <w:uiPriority w:val="39"/>
    <w:pPr>
      <w:spacing w:line="240" w:lineRule="auto"/>
      <w:ind w:left="2520" w:leftChars="1200"/>
    </w:pPr>
  </w:style>
  <w:style w:type="paragraph" w:styleId="10">
    <w:name w:val="Normal Indent"/>
    <w:basedOn w:val="1"/>
    <w:next w:val="1"/>
    <w:link w:val="54"/>
    <w:qFormat/>
    <w:uiPriority w:val="0"/>
    <w:pPr>
      <w:ind w:firstLine="420"/>
    </w:pPr>
  </w:style>
  <w:style w:type="paragraph" w:styleId="11">
    <w:name w:val="Document Map"/>
    <w:basedOn w:val="1"/>
    <w:link w:val="57"/>
    <w:unhideWhenUsed/>
    <w:qFormat/>
    <w:uiPriority w:val="0"/>
    <w:rPr>
      <w:rFonts w:ascii="宋体"/>
      <w:sz w:val="18"/>
      <w:szCs w:val="18"/>
    </w:rPr>
  </w:style>
  <w:style w:type="paragraph" w:styleId="12">
    <w:name w:val="toa heading"/>
    <w:basedOn w:val="1"/>
    <w:next w:val="1"/>
    <w:unhideWhenUsed/>
    <w:qFormat/>
    <w:uiPriority w:val="0"/>
    <w:pPr>
      <w:spacing w:before="120"/>
    </w:pPr>
    <w:rPr>
      <w:rFonts w:ascii="Arial" w:hAnsi="Arial"/>
      <w:kern w:val="18"/>
      <w:sz w:val="24"/>
    </w:rPr>
  </w:style>
  <w:style w:type="paragraph" w:styleId="13">
    <w:name w:val="annotation text"/>
    <w:basedOn w:val="1"/>
    <w:link w:val="58"/>
    <w:qFormat/>
    <w:uiPriority w:val="99"/>
    <w:pPr>
      <w:jc w:val="left"/>
    </w:pPr>
  </w:style>
  <w:style w:type="paragraph" w:styleId="14">
    <w:name w:val="Body Text"/>
    <w:basedOn w:val="1"/>
    <w:next w:val="1"/>
    <w:link w:val="49"/>
    <w:unhideWhenUsed/>
    <w:qFormat/>
    <w:uiPriority w:val="99"/>
    <w:pPr>
      <w:spacing w:after="120"/>
    </w:pPr>
  </w:style>
  <w:style w:type="paragraph" w:styleId="15">
    <w:name w:val="Body Text Indent"/>
    <w:basedOn w:val="1"/>
    <w:link w:val="59"/>
    <w:qFormat/>
    <w:uiPriority w:val="0"/>
    <w:pPr>
      <w:spacing w:after="120"/>
      <w:ind w:left="420" w:leftChars="200"/>
    </w:pPr>
  </w:style>
  <w:style w:type="paragraph" w:styleId="16">
    <w:name w:val="toc 5"/>
    <w:basedOn w:val="1"/>
    <w:next w:val="1"/>
    <w:qFormat/>
    <w:uiPriority w:val="39"/>
    <w:pPr>
      <w:spacing w:line="240" w:lineRule="auto"/>
      <w:ind w:left="1680" w:leftChars="800"/>
    </w:pPr>
  </w:style>
  <w:style w:type="paragraph" w:styleId="17">
    <w:name w:val="toc 3"/>
    <w:basedOn w:val="1"/>
    <w:next w:val="1"/>
    <w:qFormat/>
    <w:uiPriority w:val="39"/>
    <w:pPr>
      <w:ind w:left="840" w:leftChars="400"/>
    </w:pPr>
  </w:style>
  <w:style w:type="paragraph" w:styleId="18">
    <w:name w:val="toc 8"/>
    <w:basedOn w:val="1"/>
    <w:next w:val="1"/>
    <w:qFormat/>
    <w:uiPriority w:val="39"/>
    <w:pPr>
      <w:spacing w:line="240" w:lineRule="auto"/>
      <w:ind w:left="2940" w:leftChars="1400"/>
    </w:pPr>
  </w:style>
  <w:style w:type="paragraph" w:styleId="19">
    <w:name w:val="Date"/>
    <w:basedOn w:val="1"/>
    <w:next w:val="1"/>
    <w:link w:val="61"/>
    <w:qFormat/>
    <w:uiPriority w:val="0"/>
    <w:pPr>
      <w:spacing w:line="240" w:lineRule="auto"/>
    </w:pPr>
    <w:rPr>
      <w:rFonts w:ascii="Times New Roman" w:hAnsi="Times New Roman"/>
      <w:sz w:val="24"/>
    </w:rPr>
  </w:style>
  <w:style w:type="paragraph" w:styleId="20">
    <w:name w:val="Body Text Indent 2"/>
    <w:basedOn w:val="1"/>
    <w:link w:val="62"/>
    <w:qFormat/>
    <w:uiPriority w:val="0"/>
    <w:pPr>
      <w:widowControl/>
      <w:spacing w:line="360" w:lineRule="auto"/>
      <w:ind w:left="525" w:leftChars="250" w:firstLine="420" w:firstLineChars="200"/>
      <w:jc w:val="left"/>
    </w:pPr>
    <w:rPr>
      <w:rFonts w:ascii="Arial" w:hAnsi="Arial"/>
      <w:kern w:val="28"/>
      <w:sz w:val="24"/>
      <w:lang w:eastAsia="en-US"/>
    </w:rPr>
  </w:style>
  <w:style w:type="paragraph" w:styleId="21">
    <w:name w:val="Balloon Text"/>
    <w:basedOn w:val="1"/>
    <w:link w:val="63"/>
    <w:qFormat/>
    <w:uiPriority w:val="0"/>
    <w:rPr>
      <w:sz w:val="18"/>
    </w:rPr>
  </w:style>
  <w:style w:type="paragraph" w:styleId="22">
    <w:name w:val="footer"/>
    <w:basedOn w:val="1"/>
    <w:link w:val="64"/>
    <w:qFormat/>
    <w:uiPriority w:val="0"/>
    <w:pPr>
      <w:tabs>
        <w:tab w:val="center" w:pos="4153"/>
        <w:tab w:val="right" w:pos="8306"/>
      </w:tabs>
      <w:snapToGrid w:val="0"/>
      <w:jc w:val="left"/>
    </w:pPr>
    <w:rPr>
      <w:sz w:val="18"/>
    </w:rPr>
  </w:style>
  <w:style w:type="paragraph" w:styleId="23">
    <w:name w:val="header"/>
    <w:basedOn w:val="1"/>
    <w:link w:val="6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4">
    <w:name w:val="toc 1"/>
    <w:basedOn w:val="1"/>
    <w:next w:val="1"/>
    <w:qFormat/>
    <w:uiPriority w:val="39"/>
  </w:style>
  <w:style w:type="paragraph" w:styleId="25">
    <w:name w:val="toc 4"/>
    <w:basedOn w:val="1"/>
    <w:next w:val="1"/>
    <w:qFormat/>
    <w:uiPriority w:val="39"/>
    <w:pPr>
      <w:spacing w:line="240" w:lineRule="auto"/>
      <w:ind w:left="1260" w:leftChars="600"/>
    </w:pPr>
  </w:style>
  <w:style w:type="paragraph" w:styleId="26">
    <w:name w:val="List"/>
    <w:basedOn w:val="1"/>
    <w:qFormat/>
    <w:uiPriority w:val="0"/>
    <w:pPr>
      <w:tabs>
        <w:tab w:val="left" w:pos="960"/>
      </w:tabs>
      <w:adjustRightInd w:val="0"/>
      <w:snapToGrid w:val="0"/>
      <w:spacing w:line="360" w:lineRule="auto"/>
      <w:ind w:left="960" w:hanging="420" w:firstLineChars="200"/>
    </w:pPr>
    <w:rPr>
      <w:bCs/>
      <w:kern w:val="0"/>
      <w:sz w:val="24"/>
    </w:rPr>
  </w:style>
  <w:style w:type="paragraph" w:styleId="27">
    <w:name w:val="toc 6"/>
    <w:basedOn w:val="1"/>
    <w:next w:val="1"/>
    <w:qFormat/>
    <w:uiPriority w:val="39"/>
    <w:pPr>
      <w:spacing w:line="240" w:lineRule="auto"/>
      <w:ind w:left="2100" w:leftChars="1000"/>
    </w:pPr>
  </w:style>
  <w:style w:type="paragraph" w:styleId="28">
    <w:name w:val="Body Text Indent 3"/>
    <w:basedOn w:val="1"/>
    <w:link w:val="66"/>
    <w:unhideWhenUsed/>
    <w:qFormat/>
    <w:uiPriority w:val="99"/>
    <w:pPr>
      <w:spacing w:after="120"/>
      <w:ind w:left="420" w:leftChars="200"/>
    </w:pPr>
    <w:rPr>
      <w:sz w:val="16"/>
      <w:szCs w:val="16"/>
    </w:rPr>
  </w:style>
  <w:style w:type="paragraph" w:styleId="29">
    <w:name w:val="toc 2"/>
    <w:basedOn w:val="1"/>
    <w:next w:val="1"/>
    <w:qFormat/>
    <w:uiPriority w:val="39"/>
    <w:pPr>
      <w:ind w:left="420" w:leftChars="200"/>
    </w:pPr>
  </w:style>
  <w:style w:type="paragraph" w:styleId="30">
    <w:name w:val="toc 9"/>
    <w:basedOn w:val="1"/>
    <w:next w:val="1"/>
    <w:qFormat/>
    <w:uiPriority w:val="39"/>
    <w:pPr>
      <w:spacing w:line="240" w:lineRule="auto"/>
      <w:ind w:left="3360" w:leftChars="1600"/>
    </w:pPr>
  </w:style>
  <w:style w:type="paragraph" w:styleId="31">
    <w:name w:val="Normal (Web)"/>
    <w:basedOn w:val="1"/>
    <w:unhideWhenUsed/>
    <w:qFormat/>
    <w:uiPriority w:val="99"/>
    <w:pPr>
      <w:jc w:val="left"/>
    </w:pPr>
    <w:rPr>
      <w:rFonts w:cs="Times New Roman"/>
      <w:kern w:val="0"/>
      <w:sz w:val="24"/>
    </w:rPr>
  </w:style>
  <w:style w:type="paragraph" w:styleId="32">
    <w:name w:val="annotation subject"/>
    <w:basedOn w:val="13"/>
    <w:next w:val="13"/>
    <w:link w:val="67"/>
    <w:qFormat/>
    <w:uiPriority w:val="0"/>
    <w:rPr>
      <w:b/>
    </w:r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22"/>
    <w:rPr>
      <w:rFonts w:ascii="宋体" w:hAnsi="宋体" w:eastAsia="宋体"/>
      <w:b/>
      <w:sz w:val="21"/>
      <w:szCs w:val="21"/>
      <w:lang w:val="en-US" w:eastAsia="zh-CN" w:bidi="ar-SA"/>
    </w:rPr>
  </w:style>
  <w:style w:type="character" w:styleId="37">
    <w:name w:val="page number"/>
    <w:qFormat/>
    <w:uiPriority w:val="0"/>
    <w:rPr>
      <w:lang w:val="en-US" w:eastAsia="zh-CN" w:bidi="ar-SA"/>
    </w:rPr>
  </w:style>
  <w:style w:type="character" w:styleId="38">
    <w:name w:val="FollowedHyperlink"/>
    <w:unhideWhenUsed/>
    <w:qFormat/>
    <w:uiPriority w:val="99"/>
    <w:rPr>
      <w:rFonts w:ascii="宋体" w:hAnsi="宋体" w:eastAsia="宋体"/>
      <w:color w:val="333333"/>
      <w:sz w:val="21"/>
      <w:szCs w:val="21"/>
      <w:u w:val="none"/>
      <w:lang w:val="en-US" w:eastAsia="zh-CN" w:bidi="ar-SA"/>
    </w:rPr>
  </w:style>
  <w:style w:type="character" w:styleId="39">
    <w:name w:val="Emphasis"/>
    <w:qFormat/>
    <w:uiPriority w:val="20"/>
    <w:rPr>
      <w:rFonts w:ascii="宋体" w:hAnsi="宋体" w:eastAsia="宋体"/>
      <w:sz w:val="21"/>
      <w:szCs w:val="21"/>
      <w:shd w:val="clear" w:color="auto" w:fill="5BC0DE"/>
      <w:lang w:val="en-US" w:eastAsia="zh-CN" w:bidi="ar-SA"/>
    </w:rPr>
  </w:style>
  <w:style w:type="character" w:styleId="40">
    <w:name w:val="HTML Definition"/>
    <w:unhideWhenUsed/>
    <w:qFormat/>
    <w:uiPriority w:val="99"/>
    <w:rPr>
      <w:rFonts w:ascii="宋体" w:hAnsi="宋体" w:eastAsia="宋体"/>
      <w:i/>
      <w:sz w:val="21"/>
      <w:szCs w:val="21"/>
      <w:lang w:val="en-US" w:eastAsia="zh-CN" w:bidi="ar-SA"/>
    </w:rPr>
  </w:style>
  <w:style w:type="character" w:styleId="41">
    <w:name w:val="Hyperlink"/>
    <w:qFormat/>
    <w:uiPriority w:val="99"/>
    <w:rPr>
      <w:color w:val="0563C1"/>
      <w:u w:val="single"/>
    </w:rPr>
  </w:style>
  <w:style w:type="character" w:styleId="42">
    <w:name w:val="HTML Code"/>
    <w:unhideWhenUsed/>
    <w:qFormat/>
    <w:uiPriority w:val="99"/>
    <w:rPr>
      <w:rFonts w:ascii="Monaco" w:hAnsi="Monaco" w:eastAsia="Monaco" w:cs="Monaco"/>
      <w:color w:val="C7254E"/>
      <w:sz w:val="21"/>
      <w:szCs w:val="21"/>
      <w:shd w:val="clear" w:color="auto" w:fill="F9F2F4"/>
      <w:lang w:val="en-US" w:eastAsia="zh-CN" w:bidi="ar-SA"/>
    </w:rPr>
  </w:style>
  <w:style w:type="character" w:styleId="43">
    <w:name w:val="annotation reference"/>
    <w:qFormat/>
    <w:uiPriority w:val="0"/>
    <w:rPr>
      <w:sz w:val="21"/>
    </w:rPr>
  </w:style>
  <w:style w:type="character" w:styleId="44">
    <w:name w:val="HTML Keyboard"/>
    <w:unhideWhenUsed/>
    <w:qFormat/>
    <w:uiPriority w:val="99"/>
    <w:rPr>
      <w:rFonts w:hint="default" w:ascii="Monaco" w:hAnsi="Monaco" w:eastAsia="Monaco" w:cs="Monaco"/>
      <w:color w:val="FFFFFF"/>
      <w:sz w:val="21"/>
      <w:szCs w:val="21"/>
      <w:shd w:val="clear" w:color="auto" w:fill="333333"/>
      <w:lang w:val="en-US" w:eastAsia="zh-CN" w:bidi="ar-SA"/>
    </w:rPr>
  </w:style>
  <w:style w:type="character" w:styleId="45">
    <w:name w:val="HTML Sample"/>
    <w:unhideWhenUsed/>
    <w:qFormat/>
    <w:uiPriority w:val="99"/>
    <w:rPr>
      <w:rFonts w:hint="default" w:ascii="Monaco" w:hAnsi="Monaco" w:eastAsia="Monaco" w:cs="Monaco"/>
      <w:sz w:val="21"/>
      <w:szCs w:val="21"/>
      <w:lang w:val="en-US" w:eastAsia="zh-CN" w:bidi="ar-SA"/>
    </w:rPr>
  </w:style>
  <w:style w:type="paragraph" w:customStyle="1" w:styleId="46">
    <w:name w:val="一级条标题"/>
    <w:basedOn w:val="47"/>
    <w:next w:val="48"/>
    <w:qFormat/>
    <w:uiPriority w:val="0"/>
    <w:pPr>
      <w:numPr>
        <w:ilvl w:val="0"/>
        <w:numId w:val="1"/>
      </w:numPr>
      <w:outlineLvl w:val="2"/>
    </w:pPr>
    <w:rPr>
      <w:rFonts w:hAnsi="Times New Roman"/>
      <w:szCs w:val="20"/>
    </w:rPr>
  </w:style>
  <w:style w:type="paragraph" w:customStyle="1" w:styleId="47">
    <w:name w:val="章标题"/>
    <w:next w:val="1"/>
    <w:qFormat/>
    <w:uiPriority w:val="0"/>
    <w:pPr>
      <w:spacing w:beforeLines="50" w:afterLines="50"/>
      <w:jc w:val="both"/>
      <w:outlineLvl w:val="1"/>
    </w:pPr>
    <w:rPr>
      <w:rFonts w:ascii="黑体" w:hAnsi="宋体" w:eastAsia="黑体" w:cs="宋体"/>
      <w:kern w:val="2"/>
      <w:sz w:val="21"/>
      <w:szCs w:val="24"/>
      <w:lang w:val="en-US" w:eastAsia="zh-CN" w:bidi="ar-SA"/>
    </w:rPr>
  </w:style>
  <w:style w:type="paragraph" w:customStyle="1" w:styleId="48">
    <w:name w:val="段"/>
    <w:next w:val="1"/>
    <w:qFormat/>
    <w:uiPriority w:val="0"/>
    <w:pPr>
      <w:autoSpaceDE w:val="0"/>
      <w:autoSpaceDN w:val="0"/>
      <w:ind w:firstLine="200" w:firstLineChars="200"/>
      <w:jc w:val="both"/>
    </w:pPr>
    <w:rPr>
      <w:rFonts w:ascii="宋体" w:hAnsi="Calibri" w:eastAsia="宋体" w:cs="Calibri"/>
      <w:sz w:val="21"/>
      <w:lang w:val="en-US" w:eastAsia="zh-CN" w:bidi="ar-SA"/>
    </w:rPr>
  </w:style>
  <w:style w:type="character" w:customStyle="1" w:styleId="49">
    <w:name w:val="正文文本 Char"/>
    <w:link w:val="14"/>
    <w:semiHidden/>
    <w:qFormat/>
    <w:uiPriority w:val="99"/>
    <w:rPr>
      <w:kern w:val="2"/>
      <w:sz w:val="21"/>
    </w:rPr>
  </w:style>
  <w:style w:type="character" w:customStyle="1" w:styleId="50">
    <w:name w:val="标题 1 Char"/>
    <w:link w:val="3"/>
    <w:qFormat/>
    <w:uiPriority w:val="0"/>
    <w:rPr>
      <w:rFonts w:eastAsia="仿宋"/>
      <w:b/>
      <w:kern w:val="44"/>
      <w:sz w:val="28"/>
    </w:rPr>
  </w:style>
  <w:style w:type="character" w:customStyle="1" w:styleId="51">
    <w:name w:val="标题 2 Char1"/>
    <w:link w:val="4"/>
    <w:qFormat/>
    <w:uiPriority w:val="9"/>
    <w:rPr>
      <w:rFonts w:ascii="宋体" w:hAnsi="Arial" w:eastAsia="仿宋"/>
      <w:b/>
      <w:kern w:val="2"/>
      <w:sz w:val="24"/>
    </w:rPr>
  </w:style>
  <w:style w:type="paragraph" w:customStyle="1" w:styleId="52">
    <w:name w:val="标题 60"/>
    <w:basedOn w:val="8"/>
    <w:qFormat/>
    <w:uiPriority w:val="0"/>
    <w:pPr>
      <w:spacing w:line="319" w:lineRule="auto"/>
      <w:ind w:firstLine="200" w:firstLineChars="200"/>
    </w:pPr>
    <w:rPr>
      <w:b w:val="0"/>
      <w:bCs w:val="0"/>
    </w:rPr>
  </w:style>
  <w:style w:type="character" w:customStyle="1" w:styleId="53">
    <w:name w:val="标题 3 Char1"/>
    <w:link w:val="5"/>
    <w:qFormat/>
    <w:uiPriority w:val="9"/>
    <w:rPr>
      <w:rFonts w:ascii="宋体" w:hAnsi="宋体" w:eastAsia="仿宋"/>
      <w:b/>
      <w:sz w:val="24"/>
      <w:szCs w:val="36"/>
    </w:rPr>
  </w:style>
  <w:style w:type="character" w:customStyle="1" w:styleId="54">
    <w:name w:val="正文缩进 Char"/>
    <w:link w:val="10"/>
    <w:qFormat/>
    <w:uiPriority w:val="0"/>
    <w:rPr>
      <w:kern w:val="2"/>
      <w:sz w:val="21"/>
    </w:rPr>
  </w:style>
  <w:style w:type="character" w:customStyle="1" w:styleId="55">
    <w:name w:val="标题 4 Char1"/>
    <w:link w:val="6"/>
    <w:qFormat/>
    <w:uiPriority w:val="0"/>
    <w:rPr>
      <w:rFonts w:ascii="Cambria" w:hAnsi="Cambria" w:eastAsia="仿宋"/>
      <w:b/>
      <w:bCs/>
      <w:kern w:val="2"/>
      <w:sz w:val="24"/>
      <w:szCs w:val="28"/>
    </w:rPr>
  </w:style>
  <w:style w:type="character" w:customStyle="1" w:styleId="56">
    <w:name w:val="标题 5 Char"/>
    <w:link w:val="7"/>
    <w:semiHidden/>
    <w:qFormat/>
    <w:uiPriority w:val="9"/>
    <w:rPr>
      <w:b/>
      <w:bCs/>
      <w:kern w:val="2"/>
      <w:sz w:val="28"/>
      <w:szCs w:val="28"/>
    </w:rPr>
  </w:style>
  <w:style w:type="character" w:customStyle="1" w:styleId="57">
    <w:name w:val="文档结构图 Char1"/>
    <w:link w:val="11"/>
    <w:semiHidden/>
    <w:qFormat/>
    <w:uiPriority w:val="0"/>
    <w:rPr>
      <w:rFonts w:ascii="宋体"/>
      <w:kern w:val="2"/>
      <w:sz w:val="18"/>
      <w:szCs w:val="18"/>
    </w:rPr>
  </w:style>
  <w:style w:type="character" w:customStyle="1" w:styleId="58">
    <w:name w:val="批注文字 Char2"/>
    <w:link w:val="13"/>
    <w:qFormat/>
    <w:uiPriority w:val="99"/>
    <w:rPr>
      <w:kern w:val="2"/>
      <w:sz w:val="21"/>
    </w:rPr>
  </w:style>
  <w:style w:type="character" w:customStyle="1" w:styleId="59">
    <w:name w:val="正文文本缩进 Char"/>
    <w:link w:val="15"/>
    <w:qFormat/>
    <w:uiPriority w:val="0"/>
    <w:rPr>
      <w:kern w:val="2"/>
      <w:sz w:val="21"/>
    </w:rPr>
  </w:style>
  <w:style w:type="character" w:customStyle="1" w:styleId="60">
    <w:name w:val="纯文本 Char"/>
    <w:link w:val="2"/>
    <w:qFormat/>
    <w:uiPriority w:val="0"/>
    <w:rPr>
      <w:rFonts w:ascii="宋体" w:hAnsi="Courier New"/>
      <w:kern w:val="2"/>
      <w:sz w:val="21"/>
    </w:rPr>
  </w:style>
  <w:style w:type="character" w:customStyle="1" w:styleId="61">
    <w:name w:val="日期 Char"/>
    <w:link w:val="19"/>
    <w:qFormat/>
    <w:uiPriority w:val="0"/>
    <w:rPr>
      <w:rFonts w:ascii="Times New Roman" w:hAnsi="Times New Roman" w:eastAsia="宋体"/>
      <w:kern w:val="2"/>
      <w:sz w:val="24"/>
      <w:szCs w:val="21"/>
      <w:lang w:val="en-US" w:eastAsia="zh-CN" w:bidi="ar-SA"/>
    </w:rPr>
  </w:style>
  <w:style w:type="character" w:customStyle="1" w:styleId="62">
    <w:name w:val="正文文本缩进 2 Char"/>
    <w:link w:val="20"/>
    <w:qFormat/>
    <w:uiPriority w:val="0"/>
    <w:rPr>
      <w:rFonts w:ascii="Arial" w:hAnsi="Arial"/>
      <w:kern w:val="28"/>
      <w:sz w:val="24"/>
      <w:lang w:eastAsia="en-US"/>
    </w:rPr>
  </w:style>
  <w:style w:type="character" w:customStyle="1" w:styleId="63">
    <w:name w:val="批注框文本 Char1"/>
    <w:link w:val="21"/>
    <w:qFormat/>
    <w:uiPriority w:val="0"/>
    <w:rPr>
      <w:kern w:val="2"/>
      <w:sz w:val="18"/>
    </w:rPr>
  </w:style>
  <w:style w:type="character" w:customStyle="1" w:styleId="64">
    <w:name w:val="页脚 Char"/>
    <w:link w:val="22"/>
    <w:qFormat/>
    <w:uiPriority w:val="99"/>
    <w:rPr>
      <w:rFonts w:eastAsia="宋体"/>
      <w:kern w:val="2"/>
      <w:sz w:val="18"/>
      <w:lang w:val="en-US" w:eastAsia="zh-CN"/>
    </w:rPr>
  </w:style>
  <w:style w:type="character" w:customStyle="1" w:styleId="65">
    <w:name w:val="页眉 Char"/>
    <w:link w:val="23"/>
    <w:qFormat/>
    <w:uiPriority w:val="0"/>
    <w:rPr>
      <w:rFonts w:eastAsia="宋体"/>
      <w:kern w:val="2"/>
      <w:sz w:val="18"/>
      <w:lang w:val="en-US" w:eastAsia="zh-CN"/>
    </w:rPr>
  </w:style>
  <w:style w:type="character" w:customStyle="1" w:styleId="66">
    <w:name w:val="正文文本缩进 3 Char"/>
    <w:link w:val="28"/>
    <w:semiHidden/>
    <w:qFormat/>
    <w:uiPriority w:val="99"/>
    <w:rPr>
      <w:rFonts w:ascii="宋体" w:hAnsi="宋体" w:eastAsia="宋体"/>
      <w:kern w:val="2"/>
      <w:sz w:val="16"/>
      <w:szCs w:val="16"/>
      <w:lang w:val="en-US" w:eastAsia="zh-CN" w:bidi="ar-SA"/>
    </w:rPr>
  </w:style>
  <w:style w:type="character" w:customStyle="1" w:styleId="67">
    <w:name w:val="批注主题 Char1"/>
    <w:link w:val="32"/>
    <w:qFormat/>
    <w:uiPriority w:val="0"/>
    <w:rPr>
      <w:b/>
      <w:kern w:val="2"/>
      <w:sz w:val="21"/>
    </w:rPr>
  </w:style>
  <w:style w:type="character" w:customStyle="1" w:styleId="68">
    <w:name w:val="next"/>
    <w:qFormat/>
    <w:uiPriority w:val="0"/>
    <w:rPr>
      <w:rFonts w:ascii="宋体" w:hAnsi="宋体" w:eastAsia="宋体"/>
      <w:color w:val="888888"/>
      <w:sz w:val="21"/>
      <w:szCs w:val="21"/>
      <w:lang w:val="en-US" w:eastAsia="zh-CN" w:bidi="ar-SA"/>
    </w:rPr>
  </w:style>
  <w:style w:type="character" w:customStyle="1" w:styleId="69">
    <w:name w:val="bd-open"/>
    <w:qFormat/>
    <w:uiPriority w:val="0"/>
    <w:rPr>
      <w:lang w:val="en-US" w:eastAsia="zh-CN" w:bidi="ar-SA"/>
    </w:rPr>
  </w:style>
  <w:style w:type="character" w:customStyle="1" w:styleId="70">
    <w:name w:val="样式1 字符"/>
    <w:link w:val="71"/>
    <w:qFormat/>
    <w:uiPriority w:val="0"/>
    <w:rPr>
      <w:rFonts w:ascii="宋体" w:hAnsi="宋体" w:eastAsia="宋体"/>
      <w:b/>
      <w:kern w:val="2"/>
      <w:sz w:val="21"/>
      <w:szCs w:val="21"/>
      <w:lang w:val="en-US" w:eastAsia="zh-CN" w:bidi="ar-SA"/>
    </w:rPr>
  </w:style>
  <w:style w:type="paragraph" w:customStyle="1" w:styleId="71">
    <w:name w:val="样式1"/>
    <w:basedOn w:val="1"/>
    <w:link w:val="70"/>
    <w:qFormat/>
    <w:uiPriority w:val="0"/>
    <w:pPr>
      <w:spacing w:before="19" w:beforeLines="19" w:after="19" w:afterLines="19" w:line="360" w:lineRule="auto"/>
      <w:ind w:firstLine="200" w:firstLineChars="200"/>
      <w:textAlignment w:val="baseline"/>
      <w:outlineLvl w:val="2"/>
    </w:pPr>
    <w:rPr>
      <w:b/>
    </w:rPr>
  </w:style>
  <w:style w:type="character" w:customStyle="1" w:styleId="72">
    <w:name w:val="15"/>
    <w:basedOn w:val="35"/>
    <w:qFormat/>
    <w:uiPriority w:val="0"/>
    <w:rPr>
      <w:rFonts w:hint="default" w:ascii="Times New Roman" w:hAnsi="Times New Roman"/>
      <w:b/>
      <w:sz w:val="20"/>
    </w:rPr>
  </w:style>
  <w:style w:type="character" w:customStyle="1" w:styleId="73">
    <w:name w:val="文档结构图 Char"/>
    <w:qFormat/>
    <w:uiPriority w:val="0"/>
    <w:rPr>
      <w:rFonts w:ascii="宋体"/>
      <w:kern w:val="2"/>
      <w:sz w:val="18"/>
      <w:szCs w:val="18"/>
    </w:rPr>
  </w:style>
  <w:style w:type="character" w:customStyle="1" w:styleId="74">
    <w:name w:val="hover34"/>
    <w:qFormat/>
    <w:uiPriority w:val="0"/>
    <w:rPr>
      <w:rFonts w:ascii="宋体" w:hAnsi="宋体" w:eastAsia="宋体"/>
      <w:sz w:val="21"/>
      <w:szCs w:val="21"/>
      <w:shd w:val="clear" w:color="auto" w:fill="F3F3F3"/>
      <w:lang w:val="en-US" w:eastAsia="zh-CN" w:bidi="ar-SA"/>
    </w:rPr>
  </w:style>
  <w:style w:type="character" w:customStyle="1" w:styleId="75">
    <w:name w:val="tmpztreemove_arrow"/>
    <w:qFormat/>
    <w:uiPriority w:val="0"/>
    <w:rPr>
      <w:rFonts w:ascii="宋体" w:hAnsi="宋体" w:eastAsia="宋体"/>
      <w:sz w:val="21"/>
      <w:szCs w:val="21"/>
      <w:lang w:val="en-US" w:eastAsia="zh-CN" w:bidi="ar-SA"/>
    </w:rPr>
  </w:style>
  <w:style w:type="character" w:customStyle="1" w:styleId="76">
    <w:name w:val="_Style 71"/>
    <w:qFormat/>
    <w:uiPriority w:val="21"/>
    <w:rPr>
      <w:rFonts w:ascii="宋体" w:hAnsi="宋体" w:eastAsia="宋体"/>
      <w:b/>
      <w:bCs/>
      <w:i/>
      <w:iCs/>
      <w:color w:val="4F81BD"/>
      <w:sz w:val="21"/>
      <w:szCs w:val="21"/>
      <w:lang w:val="en-US" w:eastAsia="zh-CN" w:bidi="ar-SA"/>
    </w:rPr>
  </w:style>
  <w:style w:type="character" w:customStyle="1" w:styleId="77">
    <w:name w:val="标题 4 Char"/>
    <w:semiHidden/>
    <w:qFormat/>
    <w:uiPriority w:val="0"/>
    <w:rPr>
      <w:rFonts w:ascii="Calibri Light" w:hAnsi="Calibri Light" w:eastAsia="宋体" w:cs="Times New Roman"/>
      <w:b/>
      <w:bCs/>
      <w:kern w:val="2"/>
      <w:sz w:val="28"/>
      <w:szCs w:val="28"/>
    </w:rPr>
  </w:style>
  <w:style w:type="character" w:customStyle="1" w:styleId="78">
    <w:name w:val="right"/>
    <w:qFormat/>
    <w:uiPriority w:val="0"/>
    <w:rPr>
      <w:lang w:val="en-US" w:eastAsia="zh-CN" w:bidi="ar-SA"/>
    </w:rPr>
  </w:style>
  <w:style w:type="character" w:customStyle="1" w:styleId="79">
    <w:name w:val="font31"/>
    <w:qFormat/>
    <w:uiPriority w:val="0"/>
    <w:rPr>
      <w:rFonts w:hint="eastAsia" w:ascii="仿宋" w:hAnsi="仿宋" w:eastAsia="仿宋" w:cs="仿宋"/>
      <w:color w:val="000000"/>
      <w:sz w:val="20"/>
      <w:szCs w:val="20"/>
      <w:u w:val="none"/>
      <w:lang w:val="en-US" w:eastAsia="zh-CN" w:bidi="ar-SA"/>
    </w:rPr>
  </w:style>
  <w:style w:type="character" w:customStyle="1" w:styleId="80">
    <w:name w:val="Plain Text Char1"/>
    <w:link w:val="81"/>
    <w:qFormat/>
    <w:uiPriority w:val="0"/>
    <w:rPr>
      <w:rFonts w:ascii="宋体" w:hAnsi="Courier New" w:cs="宋体"/>
      <w:szCs w:val="21"/>
    </w:rPr>
  </w:style>
  <w:style w:type="paragraph" w:customStyle="1" w:styleId="81">
    <w:name w:val="纯文本1"/>
    <w:basedOn w:val="1"/>
    <w:link w:val="80"/>
    <w:qFormat/>
    <w:uiPriority w:val="0"/>
    <w:pPr>
      <w:spacing w:line="240" w:lineRule="auto"/>
    </w:pPr>
    <w:rPr>
      <w:rFonts w:ascii="宋体" w:hAnsi="Courier New"/>
      <w:kern w:val="0"/>
      <w:sz w:val="20"/>
      <w:szCs w:val="21"/>
    </w:rPr>
  </w:style>
  <w:style w:type="character" w:customStyle="1" w:styleId="82">
    <w:name w:val="bd-close"/>
    <w:qFormat/>
    <w:uiPriority w:val="0"/>
    <w:rPr>
      <w:rFonts w:ascii="宋体" w:hAnsi="宋体" w:eastAsia="宋体"/>
      <w:vanish/>
      <w:sz w:val="21"/>
      <w:szCs w:val="21"/>
      <w:lang w:val="en-US" w:eastAsia="zh-CN" w:bidi="ar-SA"/>
    </w:rPr>
  </w:style>
  <w:style w:type="character" w:customStyle="1" w:styleId="83">
    <w:name w:val="ISMS-封面-内容"/>
    <w:qFormat/>
    <w:uiPriority w:val="0"/>
    <w:rPr>
      <w:rFonts w:ascii="宋体" w:hAnsi="宋体"/>
      <w:sz w:val="21"/>
    </w:rPr>
  </w:style>
  <w:style w:type="character" w:customStyle="1" w:styleId="84">
    <w:name w:val="批注框文本 Char"/>
    <w:qFormat/>
    <w:uiPriority w:val="0"/>
    <w:rPr>
      <w:kern w:val="2"/>
      <w:sz w:val="18"/>
      <w:szCs w:val="18"/>
    </w:rPr>
  </w:style>
  <w:style w:type="character" w:customStyle="1" w:styleId="85">
    <w:name w:val="hover35"/>
    <w:qFormat/>
    <w:uiPriority w:val="0"/>
    <w:rPr>
      <w:rFonts w:ascii="宋体" w:hAnsi="宋体" w:eastAsia="宋体"/>
      <w:sz w:val="21"/>
      <w:szCs w:val="21"/>
      <w:shd w:val="clear" w:color="auto" w:fill="F3F3F3"/>
      <w:lang w:val="en-US" w:eastAsia="zh-CN" w:bidi="ar-SA"/>
    </w:rPr>
  </w:style>
  <w:style w:type="character" w:customStyle="1" w:styleId="86">
    <w:name w:val="button"/>
    <w:qFormat/>
    <w:uiPriority w:val="0"/>
    <w:rPr>
      <w:rFonts w:ascii="宋体" w:hAnsi="宋体" w:eastAsia="宋体"/>
      <w:sz w:val="21"/>
      <w:szCs w:val="21"/>
      <w:lang w:val="en-US" w:eastAsia="zh-CN" w:bidi="ar-SA"/>
    </w:rPr>
  </w:style>
  <w:style w:type="character" w:customStyle="1" w:styleId="87">
    <w:name w:val="gpa"/>
    <w:qFormat/>
    <w:uiPriority w:val="0"/>
    <w:rPr>
      <w:rFonts w:ascii="Arial" w:hAnsi="Arial" w:eastAsia="宋体" w:cs="Arial"/>
      <w:sz w:val="15"/>
      <w:szCs w:val="15"/>
      <w:lang w:val="en-US" w:eastAsia="zh-CN" w:bidi="ar-SA"/>
    </w:rPr>
  </w:style>
  <w:style w:type="character" w:customStyle="1" w:styleId="88">
    <w:name w:val="标题 2 Char"/>
    <w:qFormat/>
    <w:uiPriority w:val="0"/>
    <w:rPr>
      <w:rFonts w:ascii="Arial" w:hAnsi="Arial" w:eastAsia="黑体"/>
      <w:b/>
      <w:bCs/>
      <w:sz w:val="32"/>
      <w:szCs w:val="32"/>
    </w:rPr>
  </w:style>
  <w:style w:type="character" w:customStyle="1" w:styleId="89">
    <w:name w:val="列出段落 Char"/>
    <w:link w:val="90"/>
    <w:qFormat/>
    <w:uiPriority w:val="34"/>
    <w:rPr>
      <w:rFonts w:ascii="Times New Roman" w:hAnsi="Times New Roman" w:eastAsia="宋体" w:cs="Times New Roman"/>
      <w:szCs w:val="24"/>
    </w:rPr>
  </w:style>
  <w:style w:type="paragraph" w:customStyle="1" w:styleId="90">
    <w:name w:val="_Style 128"/>
    <w:basedOn w:val="1"/>
    <w:next w:val="91"/>
    <w:link w:val="89"/>
    <w:qFormat/>
    <w:uiPriority w:val="34"/>
    <w:pPr>
      <w:widowControl/>
      <w:spacing w:line="240" w:lineRule="auto"/>
      <w:ind w:firstLine="420"/>
    </w:pPr>
    <w:rPr>
      <w:kern w:val="0"/>
      <w:sz w:val="20"/>
      <w:szCs w:val="24"/>
    </w:rPr>
  </w:style>
  <w:style w:type="paragraph" w:styleId="91">
    <w:name w:val="List Paragraph"/>
    <w:basedOn w:val="1"/>
    <w:link w:val="92"/>
    <w:qFormat/>
    <w:uiPriority w:val="34"/>
    <w:pPr>
      <w:spacing w:line="240" w:lineRule="auto"/>
      <w:ind w:firstLine="420" w:firstLineChars="200"/>
    </w:pPr>
    <w:rPr>
      <w:szCs w:val="24"/>
    </w:rPr>
  </w:style>
  <w:style w:type="character" w:customStyle="1" w:styleId="92">
    <w:name w:val="列出段落 Char2"/>
    <w:link w:val="91"/>
    <w:qFormat/>
    <w:uiPriority w:val="34"/>
    <w:rPr>
      <w:kern w:val="2"/>
      <w:sz w:val="21"/>
      <w:szCs w:val="24"/>
    </w:rPr>
  </w:style>
  <w:style w:type="character" w:customStyle="1" w:styleId="93">
    <w:name w:val="批注主题 Char"/>
    <w:qFormat/>
    <w:uiPriority w:val="0"/>
    <w:rPr>
      <w:b/>
      <w:bCs/>
      <w:kern w:val="2"/>
      <w:sz w:val="21"/>
      <w:szCs w:val="24"/>
    </w:rPr>
  </w:style>
  <w:style w:type="character" w:customStyle="1" w:styleId="94">
    <w:name w:val="标题3 Char"/>
    <w:link w:val="95"/>
    <w:qFormat/>
    <w:uiPriority w:val="0"/>
    <w:rPr>
      <w:rFonts w:ascii="黑体" w:hAnsi="Arial" w:eastAsia="黑体"/>
      <w:b/>
      <w:kern w:val="2"/>
      <w:sz w:val="24"/>
    </w:rPr>
  </w:style>
  <w:style w:type="paragraph" w:customStyle="1" w:styleId="95">
    <w:name w:val="标题3"/>
    <w:basedOn w:val="4"/>
    <w:next w:val="10"/>
    <w:link w:val="94"/>
    <w:qFormat/>
    <w:uiPriority w:val="0"/>
    <w:pPr>
      <w:spacing w:before="156" w:beforeLines="50" w:after="156" w:afterLines="50" w:line="440" w:lineRule="exact"/>
      <w:outlineLvl w:val="2"/>
    </w:pPr>
    <w:rPr>
      <w:rFonts w:ascii="黑体" w:eastAsia="黑体"/>
      <w:b w:val="0"/>
    </w:rPr>
  </w:style>
  <w:style w:type="character" w:customStyle="1" w:styleId="96">
    <w:name w:val="left2"/>
    <w:qFormat/>
    <w:uiPriority w:val="0"/>
    <w:rPr>
      <w:rFonts w:ascii="宋体" w:hAnsi="宋体" w:eastAsia="宋体"/>
      <w:color w:val="FF4700"/>
      <w:sz w:val="21"/>
      <w:szCs w:val="21"/>
      <w:lang w:val="en-US" w:eastAsia="zh-CN" w:bidi="ar-SA"/>
    </w:rPr>
  </w:style>
  <w:style w:type="character" w:customStyle="1" w:styleId="97">
    <w:name w:val="prev2"/>
    <w:qFormat/>
    <w:uiPriority w:val="0"/>
    <w:rPr>
      <w:rFonts w:ascii="宋体" w:hAnsi="宋体" w:eastAsia="宋体"/>
      <w:color w:val="888888"/>
      <w:sz w:val="21"/>
      <w:szCs w:val="21"/>
      <w:lang w:val="en-US" w:eastAsia="zh-CN" w:bidi="ar-SA"/>
    </w:rPr>
  </w:style>
  <w:style w:type="character" w:customStyle="1" w:styleId="98">
    <w:name w:val="批注文字 Char"/>
    <w:qFormat/>
    <w:uiPriority w:val="99"/>
    <w:rPr>
      <w:kern w:val="2"/>
      <w:sz w:val="21"/>
    </w:rPr>
  </w:style>
  <w:style w:type="character" w:customStyle="1" w:styleId="99">
    <w:name w:val="ISMS-封面-标题 Char"/>
    <w:link w:val="100"/>
    <w:qFormat/>
    <w:uiPriority w:val="0"/>
    <w:rPr>
      <w:b/>
      <w:bCs/>
      <w:kern w:val="2"/>
      <w:sz w:val="52"/>
      <w:szCs w:val="52"/>
    </w:rPr>
  </w:style>
  <w:style w:type="paragraph" w:customStyle="1" w:styleId="100">
    <w:name w:val="ISMS-封面-标题"/>
    <w:basedOn w:val="1"/>
    <w:link w:val="99"/>
    <w:qFormat/>
    <w:uiPriority w:val="0"/>
    <w:pPr>
      <w:spacing w:line="240" w:lineRule="auto"/>
      <w:jc w:val="center"/>
    </w:pPr>
    <w:rPr>
      <w:b/>
      <w:bCs/>
      <w:sz w:val="52"/>
      <w:szCs w:val="52"/>
    </w:rPr>
  </w:style>
  <w:style w:type="character" w:customStyle="1" w:styleId="101">
    <w:name w:val="layui-layer-tabnow"/>
    <w:qFormat/>
    <w:uiPriority w:val="0"/>
    <w:rPr>
      <w:rFonts w:ascii="宋体" w:hAnsi="宋体" w:eastAsia="宋体"/>
      <w:sz w:val="21"/>
      <w:szCs w:val="21"/>
      <w:bdr w:val="single" w:color="CCCCCC" w:sz="6" w:space="0"/>
      <w:shd w:val="clear" w:color="auto" w:fill="FFFFFF"/>
      <w:lang w:val="en-US" w:eastAsia="zh-CN" w:bidi="ar-SA"/>
    </w:rPr>
  </w:style>
  <w:style w:type="character" w:customStyle="1" w:styleId="102">
    <w:name w:val="inf"/>
    <w:qFormat/>
    <w:uiPriority w:val="0"/>
    <w:rPr>
      <w:rFonts w:ascii="宋体" w:hAnsi="宋体" w:eastAsia="宋体"/>
      <w:color w:val="333333"/>
      <w:sz w:val="18"/>
      <w:szCs w:val="18"/>
      <w:shd w:val="clear" w:color="auto" w:fill="EEEEEE"/>
      <w:lang w:val="en-US" w:eastAsia="zh-CN" w:bidi="ar-SA"/>
    </w:rPr>
  </w:style>
  <w:style w:type="character" w:customStyle="1" w:styleId="103">
    <w:name w:val="first-child"/>
    <w:qFormat/>
    <w:uiPriority w:val="0"/>
    <w:rPr>
      <w:rFonts w:ascii="宋体" w:hAnsi="宋体" w:eastAsia="宋体"/>
      <w:sz w:val="21"/>
      <w:szCs w:val="21"/>
      <w:lang w:val="en-US" w:eastAsia="zh-CN" w:bidi="ar-SA"/>
    </w:rPr>
  </w:style>
  <w:style w:type="character" w:customStyle="1" w:styleId="104">
    <w:name w:val="left"/>
    <w:qFormat/>
    <w:uiPriority w:val="0"/>
    <w:rPr>
      <w:rFonts w:ascii="宋体" w:hAnsi="宋体" w:eastAsia="宋体"/>
      <w:color w:val="FF4700"/>
      <w:sz w:val="21"/>
      <w:szCs w:val="21"/>
      <w:lang w:val="en-US" w:eastAsia="zh-CN" w:bidi="ar-SA"/>
    </w:rPr>
  </w:style>
  <w:style w:type="character" w:customStyle="1" w:styleId="105">
    <w:name w:val="font11"/>
    <w:qFormat/>
    <w:uiPriority w:val="0"/>
    <w:rPr>
      <w:rFonts w:hint="eastAsia" w:ascii="仿宋" w:hAnsi="仿宋" w:eastAsia="仿宋" w:cs="仿宋"/>
      <w:color w:val="FF0000"/>
      <w:sz w:val="20"/>
      <w:szCs w:val="20"/>
      <w:u w:val="none"/>
      <w:lang w:val="en-US" w:eastAsia="zh-CN" w:bidi="ar-SA"/>
    </w:rPr>
  </w:style>
  <w:style w:type="character" w:customStyle="1" w:styleId="106">
    <w:name w:val="列出段落 Char1"/>
    <w:link w:val="107"/>
    <w:qFormat/>
    <w:uiPriority w:val="34"/>
    <w:rPr>
      <w:kern w:val="2"/>
      <w:sz w:val="21"/>
      <w:szCs w:val="24"/>
    </w:rPr>
  </w:style>
  <w:style w:type="paragraph" w:customStyle="1" w:styleId="107">
    <w:name w:val="_Style 126"/>
    <w:basedOn w:val="1"/>
    <w:next w:val="91"/>
    <w:link w:val="106"/>
    <w:qFormat/>
    <w:uiPriority w:val="34"/>
    <w:pPr>
      <w:spacing w:line="240" w:lineRule="auto"/>
      <w:ind w:firstLine="420" w:firstLineChars="200"/>
    </w:pPr>
    <w:rPr>
      <w:szCs w:val="24"/>
    </w:rPr>
  </w:style>
  <w:style w:type="character" w:customStyle="1" w:styleId="108">
    <w:name w:val="正文文本 2 Char1"/>
    <w:qFormat/>
    <w:uiPriority w:val="99"/>
    <w:rPr>
      <w:rFonts w:ascii="Times New Roman" w:hAnsi="Times New Roman" w:eastAsia="宋体" w:cs="Times New Roman"/>
      <w:sz w:val="21"/>
      <w:szCs w:val="24"/>
      <w:lang w:val="en-US" w:eastAsia="zh-CN" w:bidi="ar-SA"/>
    </w:rPr>
  </w:style>
  <w:style w:type="character" w:customStyle="1" w:styleId="109">
    <w:name w:val="selected"/>
    <w:qFormat/>
    <w:uiPriority w:val="0"/>
    <w:rPr>
      <w:rFonts w:ascii="宋体" w:hAnsi="宋体" w:eastAsia="宋体"/>
      <w:sz w:val="21"/>
      <w:szCs w:val="21"/>
      <w:shd w:val="clear" w:color="auto" w:fill="B00006"/>
      <w:lang w:val="en-US" w:eastAsia="zh-CN" w:bidi="ar-SA"/>
    </w:rPr>
  </w:style>
  <w:style w:type="character" w:customStyle="1" w:styleId="110">
    <w:name w:val="_Style 105"/>
    <w:unhideWhenUsed/>
    <w:qFormat/>
    <w:uiPriority w:val="99"/>
    <w:rPr>
      <w:rFonts w:ascii="宋体" w:hAnsi="宋体" w:eastAsia="宋体"/>
      <w:color w:val="605E5C"/>
      <w:sz w:val="21"/>
      <w:szCs w:val="21"/>
      <w:shd w:val="clear" w:color="auto" w:fill="E1DFDD"/>
      <w:lang w:val="en-US" w:eastAsia="zh-CN" w:bidi="ar-SA"/>
    </w:rPr>
  </w:style>
  <w:style w:type="character" w:customStyle="1" w:styleId="111">
    <w:name w:val="font01"/>
    <w:qFormat/>
    <w:uiPriority w:val="0"/>
    <w:rPr>
      <w:rFonts w:hint="eastAsia" w:ascii="仿宋" w:hAnsi="仿宋" w:eastAsia="仿宋" w:cs="仿宋"/>
      <w:color w:val="000000"/>
      <w:sz w:val="20"/>
      <w:szCs w:val="20"/>
      <w:u w:val="none"/>
      <w:lang w:val="en-US" w:eastAsia="zh-CN" w:bidi="ar-SA"/>
    </w:rPr>
  </w:style>
  <w:style w:type="character" w:customStyle="1" w:styleId="112">
    <w:name w:val="info7"/>
    <w:qFormat/>
    <w:uiPriority w:val="0"/>
    <w:rPr>
      <w:lang w:val="en-US" w:eastAsia="zh-CN" w:bidi="ar-SA"/>
    </w:rPr>
  </w:style>
  <w:style w:type="character" w:customStyle="1" w:styleId="113">
    <w:name w:val="hover36"/>
    <w:qFormat/>
    <w:uiPriority w:val="0"/>
    <w:rPr>
      <w:rFonts w:ascii="宋体" w:hAnsi="宋体" w:eastAsia="宋体"/>
      <w:sz w:val="21"/>
      <w:szCs w:val="21"/>
      <w:lang w:val="en-US" w:eastAsia="zh-CN" w:bidi="ar-SA"/>
    </w:rPr>
  </w:style>
  <w:style w:type="character" w:customStyle="1" w:styleId="114">
    <w:name w:val="批注文字 字符"/>
    <w:qFormat/>
    <w:uiPriority w:val="99"/>
    <w:rPr>
      <w:kern w:val="2"/>
      <w:sz w:val="21"/>
    </w:rPr>
  </w:style>
  <w:style w:type="paragraph" w:customStyle="1" w:styleId="115">
    <w:name w:val="p18"/>
    <w:basedOn w:val="1"/>
    <w:qFormat/>
    <w:uiPriority w:val="0"/>
    <w:pPr>
      <w:widowControl/>
      <w:spacing w:after="120" w:line="240" w:lineRule="auto"/>
    </w:pPr>
    <w:rPr>
      <w:kern w:val="0"/>
    </w:rPr>
  </w:style>
  <w:style w:type="paragraph" w:customStyle="1" w:styleId="116">
    <w:name w:val="_Style 111"/>
    <w:basedOn w:val="1"/>
    <w:next w:val="1"/>
    <w:qFormat/>
    <w:uiPriority w:val="0"/>
    <w:pPr>
      <w:pBdr>
        <w:top w:val="single" w:color="auto" w:sz="6" w:space="1"/>
      </w:pBdr>
      <w:jc w:val="center"/>
    </w:pPr>
    <w:rPr>
      <w:rFonts w:ascii="Arial"/>
      <w:vanish/>
      <w:sz w:val="16"/>
    </w:rPr>
  </w:style>
  <w:style w:type="paragraph" w:customStyle="1" w:styleId="117">
    <w:name w:val="p0"/>
    <w:basedOn w:val="1"/>
    <w:qFormat/>
    <w:uiPriority w:val="0"/>
    <w:pPr>
      <w:widowControl/>
    </w:pPr>
    <w:rPr>
      <w:kern w:val="0"/>
    </w:rPr>
  </w:style>
  <w:style w:type="paragraph" w:customStyle="1" w:styleId="118">
    <w:name w:val="p15"/>
    <w:basedOn w:val="1"/>
    <w:qFormat/>
    <w:uiPriority w:val="0"/>
    <w:pPr>
      <w:widowControl/>
      <w:spacing w:line="240" w:lineRule="auto"/>
    </w:pPr>
    <w:rPr>
      <w:rFonts w:ascii="宋体" w:hAnsi="宋体"/>
      <w:kern w:val="0"/>
      <w:sz w:val="24"/>
    </w:rPr>
  </w:style>
  <w:style w:type="paragraph" w:customStyle="1" w:styleId="119">
    <w:name w:val="p19"/>
    <w:basedOn w:val="1"/>
    <w:qFormat/>
    <w:uiPriority w:val="0"/>
    <w:pPr>
      <w:widowControl/>
      <w:spacing w:line="240" w:lineRule="auto"/>
      <w:ind w:firstLine="420"/>
    </w:pPr>
    <w:rPr>
      <w:kern w:val="0"/>
      <w:sz w:val="24"/>
    </w:rPr>
  </w:style>
  <w:style w:type="paragraph" w:customStyle="1" w:styleId="120">
    <w:name w:val="正文缩进(ALT+Z)"/>
    <w:basedOn w:val="1"/>
    <w:qFormat/>
    <w:uiPriority w:val="0"/>
    <w:pPr>
      <w:spacing w:line="360" w:lineRule="auto"/>
      <w:ind w:firstLine="200" w:firstLineChars="200"/>
    </w:pPr>
    <w:rPr>
      <w:rFonts w:ascii="宋体" w:eastAsia="仿宋_GB2312"/>
      <w:sz w:val="24"/>
      <w:szCs w:val="24"/>
    </w:rPr>
  </w:style>
  <w:style w:type="paragraph" w:customStyle="1" w:styleId="121">
    <w:name w:val="正文文本 31"/>
    <w:basedOn w:val="1"/>
    <w:qFormat/>
    <w:uiPriority w:val="0"/>
    <w:rPr>
      <w:rFonts w:ascii="宋体"/>
      <w:sz w:val="24"/>
    </w:rPr>
  </w:style>
  <w:style w:type="paragraph" w:customStyle="1" w:styleId="122">
    <w:name w:val="p16"/>
    <w:basedOn w:val="1"/>
    <w:qFormat/>
    <w:uiPriority w:val="0"/>
    <w:pPr>
      <w:widowControl/>
      <w:spacing w:line="240" w:lineRule="auto"/>
    </w:pPr>
    <w:rPr>
      <w:rFonts w:ascii="宋体" w:hAnsi="宋体"/>
      <w:kern w:val="0"/>
      <w:sz w:val="24"/>
    </w:rPr>
  </w:style>
  <w:style w:type="paragraph" w:customStyle="1" w:styleId="123">
    <w:name w:val="1"/>
    <w:basedOn w:val="1"/>
    <w:next w:val="20"/>
    <w:qFormat/>
    <w:uiPriority w:val="0"/>
    <w:pPr>
      <w:spacing w:afterLines="50" w:line="360" w:lineRule="auto"/>
      <w:jc w:val="center"/>
    </w:pPr>
    <w:rPr>
      <w:rFonts w:ascii="宋体" w:hAnsi="宋体"/>
      <w:b/>
      <w:sz w:val="30"/>
    </w:rPr>
  </w:style>
  <w:style w:type="paragraph" w:customStyle="1" w:styleId="124">
    <w:name w:val="页眉1"/>
    <w:basedOn w:val="1"/>
    <w:qFormat/>
    <w:uiPriority w:val="0"/>
    <w:pPr>
      <w:pBdr>
        <w:bottom w:val="single" w:color="auto" w:sz="6" w:space="1"/>
      </w:pBdr>
      <w:tabs>
        <w:tab w:val="center" w:pos="4153"/>
        <w:tab w:val="right" w:pos="8306"/>
      </w:tabs>
      <w:snapToGrid w:val="0"/>
      <w:jc w:val="center"/>
    </w:pPr>
    <w:rPr>
      <w:sz w:val="18"/>
    </w:rPr>
  </w:style>
  <w:style w:type="paragraph" w:customStyle="1" w:styleId="125">
    <w:name w:val="_Style 52"/>
    <w:basedOn w:val="1"/>
    <w:next w:val="91"/>
    <w:qFormat/>
    <w:uiPriority w:val="34"/>
    <w:pPr>
      <w:spacing w:line="240" w:lineRule="auto"/>
      <w:ind w:firstLine="420" w:firstLineChars="200"/>
    </w:pPr>
    <w:rPr>
      <w:szCs w:val="24"/>
    </w:rPr>
  </w:style>
  <w:style w:type="paragraph" w:styleId="126">
    <w:name w:val="No Spacing"/>
    <w:qFormat/>
    <w:uiPriority w:val="1"/>
    <w:pPr>
      <w:widowControl w:val="0"/>
      <w:jc w:val="both"/>
    </w:pPr>
    <w:rPr>
      <w:rFonts w:ascii="Calibri" w:hAnsi="Calibri" w:eastAsia="宋体" w:cs="Calibri"/>
      <w:kern w:val="2"/>
      <w:sz w:val="24"/>
      <w:lang w:val="en-US" w:eastAsia="zh-CN" w:bidi="ar-SA"/>
    </w:rPr>
  </w:style>
  <w:style w:type="paragraph" w:customStyle="1" w:styleId="127">
    <w:name w:val="1正文"/>
    <w:basedOn w:val="1"/>
    <w:qFormat/>
    <w:uiPriority w:val="0"/>
    <w:pPr>
      <w:spacing w:line="560" w:lineRule="exact"/>
      <w:ind w:firstLine="200" w:firstLineChars="200"/>
    </w:pPr>
    <w:rPr>
      <w:rFonts w:ascii="Times New Roman" w:hAnsi="Times New Roman" w:eastAsia="Cambria Math" w:cs="Times New Roman"/>
      <w:sz w:val="32"/>
      <w:szCs w:val="24"/>
    </w:rPr>
  </w:style>
  <w:style w:type="paragraph" w:customStyle="1" w:styleId="128">
    <w:name w:val="p17"/>
    <w:basedOn w:val="1"/>
    <w:qFormat/>
    <w:uiPriority w:val="0"/>
    <w:pPr>
      <w:widowControl/>
      <w:spacing w:line="240" w:lineRule="auto"/>
      <w:ind w:firstLine="420"/>
    </w:pPr>
    <w:rPr>
      <w:kern w:val="0"/>
    </w:rPr>
  </w:style>
  <w:style w:type="paragraph" w:customStyle="1" w:styleId="129">
    <w:name w:val="页脚1"/>
    <w:basedOn w:val="1"/>
    <w:qFormat/>
    <w:uiPriority w:val="0"/>
    <w:pPr>
      <w:tabs>
        <w:tab w:val="center" w:pos="4153"/>
        <w:tab w:val="right" w:pos="8306"/>
      </w:tabs>
      <w:snapToGrid w:val="0"/>
      <w:jc w:val="left"/>
    </w:pPr>
    <w:rPr>
      <w:sz w:val="18"/>
    </w:rPr>
  </w:style>
  <w:style w:type="paragraph" w:customStyle="1" w:styleId="130">
    <w:name w:val="正文1"/>
    <w:basedOn w:val="1"/>
    <w:qFormat/>
    <w:uiPriority w:val="0"/>
    <w:pPr>
      <w:spacing w:line="360" w:lineRule="auto"/>
      <w:ind w:firstLine="200" w:firstLineChars="200"/>
    </w:pPr>
    <w:rPr>
      <w:rFonts w:ascii="宋体" w:hAnsi="宋体" w:cs="微软雅黑"/>
      <w:szCs w:val="24"/>
    </w:rPr>
  </w:style>
  <w:style w:type="paragraph" w:customStyle="1" w:styleId="131">
    <w:name w:val="Char2 Char Char Char1 Char Char Char Char Char Char Char Char1 Char1 Char Char1 Char"/>
    <w:basedOn w:val="1"/>
    <w:qFormat/>
    <w:uiPriority w:val="0"/>
    <w:pPr>
      <w:spacing w:line="240" w:lineRule="auto"/>
    </w:pPr>
    <w:rPr>
      <w:rFonts w:ascii="宋体" w:hAnsi="宋体"/>
      <w:kern w:val="0"/>
      <w:szCs w:val="21"/>
    </w:rPr>
  </w:style>
  <w:style w:type="paragraph" w:customStyle="1" w:styleId="132">
    <w:name w:val="正文格式"/>
    <w:basedOn w:val="1"/>
    <w:qFormat/>
    <w:uiPriority w:val="0"/>
    <w:pPr>
      <w:spacing w:line="300" w:lineRule="auto"/>
      <w:ind w:firstLine="480" w:firstLineChars="200"/>
    </w:pPr>
    <w:rPr>
      <w:rFonts w:cs="宋体"/>
      <w:sz w:val="24"/>
      <w:szCs w:val="22"/>
    </w:rPr>
  </w:style>
  <w:style w:type="paragraph" w:customStyle="1" w:styleId="133">
    <w:name w:val="_Style 129"/>
    <w:semiHidden/>
    <w:qFormat/>
    <w:uiPriority w:val="99"/>
    <w:rPr>
      <w:rFonts w:ascii="Calibri" w:hAnsi="Calibri" w:eastAsia="宋体" w:cs="Calibri"/>
      <w:kern w:val="2"/>
      <w:sz w:val="21"/>
      <w:lang w:val="en-US" w:eastAsia="zh-CN" w:bidi="ar-SA"/>
    </w:rPr>
  </w:style>
  <w:style w:type="paragraph" w:customStyle="1" w:styleId="1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jc w:val="left"/>
    </w:pPr>
    <w:rPr>
      <w:rFonts w:ascii="Courier New" w:hAnsi="Courier New"/>
      <w:kern w:val="0"/>
      <w:sz w:val="20"/>
    </w:rPr>
  </w:style>
  <w:style w:type="paragraph" w:customStyle="1" w:styleId="135">
    <w:name w:val="图中文字"/>
    <w:basedOn w:val="1"/>
    <w:qFormat/>
    <w:uiPriority w:val="0"/>
    <w:pPr>
      <w:adjustRightInd w:val="0"/>
      <w:snapToGrid w:val="0"/>
      <w:spacing w:line="0" w:lineRule="atLeast"/>
      <w:jc w:val="center"/>
    </w:pPr>
  </w:style>
  <w:style w:type="paragraph" w:customStyle="1" w:styleId="136">
    <w:name w:val="_Style 132"/>
    <w:basedOn w:val="1"/>
    <w:next w:val="1"/>
    <w:qFormat/>
    <w:uiPriority w:val="0"/>
    <w:pPr>
      <w:pBdr>
        <w:bottom w:val="single" w:color="auto" w:sz="6" w:space="1"/>
      </w:pBdr>
      <w:jc w:val="center"/>
    </w:pPr>
    <w:rPr>
      <w:rFonts w:ascii="Arial"/>
      <w:vanish/>
      <w:sz w:val="16"/>
    </w:rPr>
  </w:style>
  <w:style w:type="paragraph" w:customStyle="1" w:styleId="137">
    <w:name w:val="正文00"/>
    <w:basedOn w:val="1"/>
    <w:qFormat/>
    <w:uiPriority w:val="0"/>
    <w:pPr>
      <w:topLinePunct/>
      <w:spacing w:line="360" w:lineRule="auto"/>
      <w:ind w:firstLine="200" w:firstLineChars="200"/>
    </w:pPr>
    <w:rPr>
      <w:sz w:val="24"/>
      <w:szCs w:val="21"/>
    </w:rPr>
  </w:style>
  <w:style w:type="character" w:customStyle="1" w:styleId="138">
    <w:name w:val="批注文字 Char1"/>
    <w:qFormat/>
    <w:uiPriority w:val="99"/>
    <w:rPr>
      <w:kern w:val="2"/>
      <w:sz w:val="21"/>
    </w:rPr>
  </w:style>
  <w:style w:type="character" w:customStyle="1" w:styleId="139">
    <w:name w:val="标题 3 Char"/>
    <w:qFormat/>
    <w:uiPriority w:val="9"/>
    <w:rPr>
      <w:rFonts w:ascii="宋体" w:hAnsi="宋体" w:eastAsia="仿宋"/>
      <w:b/>
      <w:sz w:val="24"/>
      <w:szCs w:val="36"/>
    </w:rPr>
  </w:style>
  <w:style w:type="paragraph" w:customStyle="1" w:styleId="140">
    <w:name w:val="正文文本 33"/>
    <w:basedOn w:val="1"/>
    <w:qFormat/>
    <w:uiPriority w:val="0"/>
    <w:rPr>
      <w:rFonts w:ascii="宋体" w:hAnsi="Times New Roman" w:cs="Times New Roman"/>
      <w:sz w:val="24"/>
    </w:rPr>
  </w:style>
  <w:style w:type="character" w:customStyle="1" w:styleId="141">
    <w:name w:val="批注文字 字符2"/>
    <w:qFormat/>
    <w:uiPriority w:val="99"/>
    <w:rPr>
      <w:kern w:val="2"/>
      <w:sz w:val="21"/>
    </w:rPr>
  </w:style>
  <w:style w:type="paragraph" w:customStyle="1" w:styleId="142">
    <w:name w:val="彩色列表 - 强调文字颜色 11"/>
    <w:basedOn w:val="1"/>
    <w:qFormat/>
    <w:uiPriority w:val="34"/>
    <w:pPr>
      <w:ind w:firstLine="420" w:firstLineChars="200"/>
    </w:pPr>
    <w:rPr>
      <w:szCs w:val="22"/>
    </w:rPr>
  </w:style>
  <w:style w:type="paragraph" w:customStyle="1" w:styleId="143">
    <w:name w:val="_Style 160"/>
    <w:basedOn w:val="1"/>
    <w:next w:val="91"/>
    <w:qFormat/>
    <w:uiPriority w:val="34"/>
    <w:pPr>
      <w:spacing w:line="240" w:lineRule="auto"/>
      <w:ind w:firstLine="420" w:firstLineChars="200"/>
    </w:pPr>
    <w:rPr>
      <w:szCs w:val="24"/>
    </w:rPr>
  </w:style>
  <w:style w:type="paragraph" w:customStyle="1" w:styleId="144">
    <w:name w:val="Table Paragraph"/>
    <w:basedOn w:val="1"/>
    <w:qFormat/>
    <w:uiPriority w:val="1"/>
  </w:style>
  <w:style w:type="paragraph" w:customStyle="1" w:styleId="145">
    <w:name w:val="null3"/>
    <w:qFormat/>
    <w:uiPriority w:val="0"/>
    <w:rPr>
      <w:rFonts w:hint="eastAsia" w:ascii="Calibri" w:hAnsi="Calibri" w:eastAsia="宋体" w:cs="Times New Roman"/>
      <w:lang w:val="en-US" w:eastAsia="zh-CN" w:bidi="ar-SA"/>
    </w:rPr>
  </w:style>
  <w:style w:type="paragraph" w:customStyle="1" w:styleId="146">
    <w:name w:val="Table Text"/>
    <w:basedOn w:val="1"/>
    <w:semiHidden/>
    <w:qFormat/>
    <w:uiPriority w:val="0"/>
    <w:rPr>
      <w:rFonts w:ascii="宋体" w:hAnsi="宋体" w:cs="宋体"/>
      <w:szCs w:val="21"/>
      <w:lang w:eastAsia="en-US"/>
    </w:rPr>
  </w:style>
  <w:style w:type="paragraph" w:customStyle="1" w:styleId="147">
    <w:name w:val="图"/>
    <w:basedOn w:val="1"/>
    <w:qFormat/>
    <w:uiPriority w:val="0"/>
    <w:pPr>
      <w:keepNext/>
      <w:adjustRightInd w:val="0"/>
      <w:snapToGrid w:val="0"/>
      <w:spacing w:before="60" w:after="60" w:line="300" w:lineRule="auto"/>
      <w:jc w:val="center"/>
    </w:pPr>
    <w:rPr>
      <w:spacing w:val="20"/>
      <w:kern w:val="0"/>
      <w:sz w:val="24"/>
    </w:rPr>
  </w:style>
  <w:style w:type="paragraph" w:customStyle="1" w:styleId="148">
    <w:name w:val="首行缩进"/>
    <w:basedOn w:val="1"/>
    <w:qFormat/>
    <w:uiPriority w:val="0"/>
    <w:pPr>
      <w:ind w:firstLine="480" w:firstLineChars="200"/>
    </w:pPr>
    <w:rPr>
      <w:lang w:val="zh-CN"/>
    </w:rPr>
  </w:style>
  <w:style w:type="paragraph" w:customStyle="1" w:styleId="149">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0">
    <w:name w:val="正文_0_0"/>
    <w:qFormat/>
    <w:uiPriority w:val="0"/>
    <w:pPr>
      <w:widowControl w:val="0"/>
      <w:spacing w:line="360" w:lineRule="auto"/>
      <w:ind w:firstLine="480" w:firstLineChars="200"/>
      <w:jc w:val="both"/>
    </w:pPr>
    <w:rPr>
      <w:rFonts w:ascii="Times New Roman" w:hAnsi="Times New Roman" w:eastAsia="宋体" w:cs="Times New Roman"/>
      <w:kern w:val="2"/>
      <w:sz w:val="24"/>
      <w:szCs w:val="22"/>
      <w:lang w:val="en-US" w:eastAsia="zh-CN" w:bidi="ar-SA"/>
    </w:rPr>
  </w:style>
  <w:style w:type="paragraph" w:customStyle="1" w:styleId="151">
    <w:name w:val="标题 3_0"/>
    <w:basedOn w:val="152"/>
    <w:next w:val="152"/>
    <w:qFormat/>
    <w:uiPriority w:val="0"/>
    <w:pPr>
      <w:keepNext/>
      <w:keepLines/>
      <w:numPr>
        <w:ilvl w:val="2"/>
        <w:numId w:val="2"/>
      </w:numPr>
      <w:spacing w:before="260" w:after="260" w:line="416" w:lineRule="auto"/>
      <w:outlineLvl w:val="2"/>
    </w:pPr>
    <w:rPr>
      <w:b/>
      <w:bCs/>
      <w:sz w:val="32"/>
      <w:szCs w:val="32"/>
    </w:rPr>
  </w:style>
  <w:style w:type="paragraph" w:customStyle="1" w:styleId="152">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3">
    <w:name w:val="正文_0_0_0"/>
    <w:qFormat/>
    <w:uiPriority w:val="0"/>
    <w:pPr>
      <w:widowControl w:val="0"/>
      <w:spacing w:line="360" w:lineRule="auto"/>
      <w:ind w:firstLine="480" w:firstLineChars="200"/>
      <w:jc w:val="both"/>
    </w:pPr>
    <w:rPr>
      <w:rFonts w:ascii="Times New Roman" w:hAnsi="Times New Roman" w:eastAsia="宋体" w:cs="Times New Roman"/>
      <w:kern w:val="2"/>
      <w:sz w:val="24"/>
      <w:szCs w:val="22"/>
      <w:lang w:val="en-US" w:eastAsia="zh-CN" w:bidi="ar-SA"/>
    </w:rPr>
  </w:style>
  <w:style w:type="paragraph" w:customStyle="1" w:styleId="154">
    <w:name w:val="文档-正文(new)"/>
    <w:basedOn w:val="149"/>
    <w:qFormat/>
    <w:uiPriority w:val="0"/>
    <w:pPr>
      <w:spacing w:line="400" w:lineRule="exact"/>
      <w:ind w:firstLine="960" w:firstLineChars="200"/>
    </w:pPr>
    <w:rPr>
      <w:kern w:val="0"/>
      <w:sz w:val="24"/>
      <w:szCs w:val="24"/>
      <w:lang w:val="zh-CN"/>
    </w:rPr>
  </w:style>
  <w:style w:type="paragraph" w:customStyle="1" w:styleId="155">
    <w:name w:val="正文_0_0_0_0"/>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paragraph" w:customStyle="1" w:styleId="156">
    <w:name w:val="首行"/>
    <w:basedOn w:val="1"/>
    <w:qFormat/>
    <w:uiPriority w:val="0"/>
    <w:pPr>
      <w:spacing w:line="400" w:lineRule="exact"/>
      <w:ind w:firstLine="480" w:firstLineChars="200"/>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GCMC</Company>
  <Pages>90</Pages>
  <Words>3696</Words>
  <Characters>4347</Characters>
  <Lines>386</Lines>
  <Paragraphs>108</Paragraphs>
  <TotalTime>10</TotalTime>
  <ScaleCrop>false</ScaleCrop>
  <LinksUpToDate>false</LinksUpToDate>
  <CharactersWithSpaces>4517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2025-06-13T08:46:00Z</dcterms:created>
  <dc:creator>GCMC-YD-Hzy</dc:creator>
  <cp:lastModifiedBy>Yung.</cp:lastModifiedBy>
  <cp:lastPrinted>2025-04-27T06:50:00Z</cp:lastPrinted>
  <dcterms:modified xsi:type="dcterms:W3CDTF">2025-07-17T10:49:34Z</dcterms:modified>
  <dc:title>交通银行股份有限公司北京市分行阜外支行消防改造工程项目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857718D47F274E7B9836C688BFC51777_13</vt:lpwstr>
  </property>
  <property fmtid="{D5CDD505-2E9C-101B-9397-08002B2CF9AE}" pid="4" name="KSOTemplateDocerSaveRecord">
    <vt:lpwstr>eyJoZGlkIjoiOGM5NDRkMzU0YTAyMTI1YmZjMzNjODJkNGQ2NzI0ODQiLCJ1c2VySWQiOiIyNDU4MDIzMDMifQ==</vt:lpwstr>
  </property>
</Properties>
</file>