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FF0B0">
      <w:pPr>
        <w:pStyle w:val="4"/>
        <w:ind w:firstLine="0" w:firstLineChars="0"/>
        <w:jc w:val="left"/>
      </w:pPr>
      <w:r>
        <w:rPr>
          <w:rFonts w:hint="eastAsia"/>
        </w:rPr>
        <w:t>附件：</w:t>
      </w:r>
    </w:p>
    <w:p w14:paraId="72100491">
      <w:pPr>
        <w:jc w:val="center"/>
        <w:rPr>
          <w:b/>
          <w:sz w:val="44"/>
          <w:szCs w:val="44"/>
        </w:rPr>
      </w:pPr>
      <w:r>
        <w:rPr>
          <w:rFonts w:hint="eastAsia"/>
          <w:b/>
          <w:sz w:val="44"/>
          <w:szCs w:val="44"/>
        </w:rPr>
        <w:t>比选文件售卖登记表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14:paraId="23CEC2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14:paraId="51B4BC5A">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项目名称</w:t>
            </w:r>
          </w:p>
        </w:tc>
        <w:tc>
          <w:tcPr>
            <w:tcW w:w="7025" w:type="dxa"/>
            <w:gridSpan w:val="3"/>
            <w:vAlign w:val="center"/>
          </w:tcPr>
          <w:p w14:paraId="0D41FD82">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郴州电信2024年安仁县宗教活动场所安装视频监控及平台集成服务项目</w:t>
            </w:r>
          </w:p>
        </w:tc>
      </w:tr>
      <w:tr w14:paraId="783DD6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9998" w:type="dxa"/>
            <w:gridSpan w:val="5"/>
            <w:vAlign w:val="center"/>
          </w:tcPr>
          <w:p w14:paraId="298D6D1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14:paraId="3E6499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224A5E69">
            <w:pPr>
              <w:widowControl/>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vAlign w:val="center"/>
          </w:tcPr>
          <w:p w14:paraId="26D814B7">
            <w:pPr>
              <w:widowControl/>
              <w:jc w:val="center"/>
              <w:rPr>
                <w:rFonts w:hint="eastAsia" w:ascii="宋体" w:hAnsi="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2024年8月2日09时30分00秒</w:t>
            </w:r>
            <w:r>
              <w:rPr>
                <w:rFonts w:hint="eastAsia" w:ascii="宋体" w:hAnsi="宋体" w:eastAsia="宋体" w:cs="宋体"/>
                <w:color w:val="000000"/>
                <w:kern w:val="0"/>
                <w:sz w:val="24"/>
                <w:highlight w:val="none"/>
                <w:lang w:eastAsia="zh-CN"/>
              </w:rPr>
              <w:t>（</w:t>
            </w:r>
            <w:r>
              <w:rPr>
                <w:rFonts w:hint="eastAsia" w:ascii="宋体" w:hAnsi="宋体" w:cs="宋体"/>
                <w:color w:val="000000"/>
                <w:kern w:val="0"/>
                <w:sz w:val="24"/>
                <w:highlight w:val="none"/>
                <w:lang w:eastAsia="zh-CN"/>
              </w:rPr>
              <w:t>北京时间）</w:t>
            </w:r>
          </w:p>
        </w:tc>
      </w:tr>
      <w:tr w14:paraId="4FD6CC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0496556B">
            <w:pPr>
              <w:widowControl/>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vAlign w:val="center"/>
          </w:tcPr>
          <w:p w14:paraId="183759D1">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湖南省郴州市北湖区燕泉南路36号A栋808室</w:t>
            </w:r>
          </w:p>
        </w:tc>
      </w:tr>
      <w:tr w14:paraId="3933E7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14:paraId="6041CA63">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14:paraId="51BCDC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0474C47D">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比选文件购买时间</w:t>
            </w:r>
          </w:p>
        </w:tc>
        <w:tc>
          <w:tcPr>
            <w:tcW w:w="7025" w:type="dxa"/>
            <w:gridSpan w:val="3"/>
            <w:vAlign w:val="center"/>
          </w:tcPr>
          <w:p w14:paraId="5C95F4A6">
            <w:pPr>
              <w:widowControl/>
              <w:jc w:val="center"/>
              <w:rPr>
                <w:rFonts w:hint="eastAsia" w:ascii="宋体" w:hAnsi="宋体" w:cs="宋体"/>
                <w:color w:val="000000"/>
                <w:kern w:val="0"/>
                <w:sz w:val="24"/>
                <w:lang w:eastAsia="zh-CN"/>
              </w:rPr>
            </w:pPr>
          </w:p>
        </w:tc>
      </w:tr>
      <w:tr w14:paraId="54E35A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66310A83">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vAlign w:val="center"/>
          </w:tcPr>
          <w:p w14:paraId="50D6945E">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14:paraId="3AB0AD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1C6EB963">
            <w:pPr>
              <w:widowControl/>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14:paraId="17DCF445">
            <w:pPr>
              <w:widowControl/>
              <w:jc w:val="center"/>
              <w:rPr>
                <w:color w:val="000000"/>
                <w:kern w:val="0"/>
                <w:sz w:val="24"/>
                <w:highlight w:val="lightGray"/>
              </w:rPr>
            </w:pPr>
          </w:p>
        </w:tc>
      </w:tr>
      <w:tr w14:paraId="628A0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14:paraId="1854C882">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14:paraId="61DD915E">
            <w:pPr>
              <w:widowControl/>
              <w:jc w:val="center"/>
              <w:rPr>
                <w:color w:val="000000"/>
                <w:kern w:val="0"/>
                <w:sz w:val="24"/>
                <w:highlight w:val="lightGray"/>
              </w:rPr>
            </w:pPr>
          </w:p>
        </w:tc>
        <w:tc>
          <w:tcPr>
            <w:tcW w:w="2500" w:type="dxa"/>
            <w:vAlign w:val="center"/>
          </w:tcPr>
          <w:p w14:paraId="7B1983F9">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14:paraId="7B950DC8">
            <w:pPr>
              <w:widowControl/>
              <w:jc w:val="center"/>
              <w:rPr>
                <w:color w:val="000000"/>
                <w:kern w:val="0"/>
                <w:sz w:val="24"/>
                <w:highlight w:val="lightGray"/>
              </w:rPr>
            </w:pPr>
          </w:p>
        </w:tc>
      </w:tr>
      <w:tr w14:paraId="274BFF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14:paraId="64664A47">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14:paraId="130F0DD9">
            <w:pPr>
              <w:widowControl/>
              <w:jc w:val="center"/>
              <w:rPr>
                <w:color w:val="000000"/>
                <w:kern w:val="0"/>
                <w:sz w:val="24"/>
                <w:highlight w:val="lightGray"/>
              </w:rPr>
            </w:pPr>
          </w:p>
        </w:tc>
      </w:tr>
      <w:tr w14:paraId="121F8B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14:paraId="6F407339">
            <w:pPr>
              <w:widowControl/>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14:paraId="1937BF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14:paraId="123C7B7A">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14:paraId="12A0EEFC">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14:paraId="73518580">
            <w:pPr>
              <w:widowControl/>
              <w:jc w:val="center"/>
              <w:rPr>
                <w:color w:val="000000"/>
                <w:kern w:val="0"/>
                <w:sz w:val="24"/>
              </w:rPr>
            </w:pPr>
          </w:p>
        </w:tc>
      </w:tr>
      <w:tr w14:paraId="698DAB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194F84FD">
            <w:pPr>
              <w:widowControl/>
              <w:jc w:val="left"/>
              <w:rPr>
                <w:rFonts w:ascii="宋体" w:hAnsi="宋体" w:cs="宋体"/>
                <w:color w:val="000000"/>
                <w:kern w:val="0"/>
                <w:sz w:val="24"/>
              </w:rPr>
            </w:pPr>
          </w:p>
        </w:tc>
        <w:tc>
          <w:tcPr>
            <w:tcW w:w="2213" w:type="dxa"/>
            <w:vAlign w:val="center"/>
          </w:tcPr>
          <w:p w14:paraId="481A04D4">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14:paraId="56242A72">
            <w:pPr>
              <w:widowControl/>
              <w:jc w:val="center"/>
              <w:rPr>
                <w:color w:val="000000"/>
                <w:kern w:val="0"/>
                <w:sz w:val="24"/>
              </w:rPr>
            </w:pPr>
          </w:p>
        </w:tc>
      </w:tr>
      <w:tr w14:paraId="64277D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6643F637">
            <w:pPr>
              <w:widowControl/>
              <w:jc w:val="left"/>
              <w:rPr>
                <w:rFonts w:ascii="宋体" w:hAnsi="宋体" w:cs="宋体"/>
                <w:color w:val="000000"/>
                <w:kern w:val="0"/>
                <w:sz w:val="24"/>
              </w:rPr>
            </w:pPr>
          </w:p>
        </w:tc>
        <w:tc>
          <w:tcPr>
            <w:tcW w:w="2213" w:type="dxa"/>
            <w:vAlign w:val="center"/>
          </w:tcPr>
          <w:p w14:paraId="555F8C60">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14:paraId="0A206964">
            <w:pPr>
              <w:widowControl/>
              <w:jc w:val="center"/>
              <w:rPr>
                <w:color w:val="000000"/>
                <w:kern w:val="0"/>
                <w:sz w:val="24"/>
              </w:rPr>
            </w:pPr>
          </w:p>
        </w:tc>
      </w:tr>
      <w:tr w14:paraId="0B315D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5AE909DA">
            <w:pPr>
              <w:widowControl/>
              <w:jc w:val="left"/>
              <w:rPr>
                <w:rFonts w:ascii="宋体" w:hAnsi="宋体" w:cs="宋体"/>
                <w:color w:val="000000"/>
                <w:kern w:val="0"/>
                <w:sz w:val="24"/>
              </w:rPr>
            </w:pPr>
          </w:p>
        </w:tc>
        <w:tc>
          <w:tcPr>
            <w:tcW w:w="2213" w:type="dxa"/>
            <w:vAlign w:val="center"/>
          </w:tcPr>
          <w:p w14:paraId="0EDA7A86">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14:paraId="70B7D0B4">
            <w:pPr>
              <w:widowControl/>
              <w:jc w:val="center"/>
              <w:rPr>
                <w:color w:val="000000"/>
                <w:kern w:val="0"/>
                <w:sz w:val="24"/>
              </w:rPr>
            </w:pPr>
          </w:p>
        </w:tc>
      </w:tr>
      <w:tr w14:paraId="625B13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13B521FB">
            <w:pPr>
              <w:widowControl/>
              <w:jc w:val="left"/>
              <w:rPr>
                <w:rFonts w:ascii="宋体" w:hAnsi="宋体" w:cs="宋体"/>
                <w:color w:val="000000"/>
                <w:kern w:val="0"/>
                <w:sz w:val="24"/>
              </w:rPr>
            </w:pPr>
          </w:p>
        </w:tc>
        <w:tc>
          <w:tcPr>
            <w:tcW w:w="2213" w:type="dxa"/>
            <w:vAlign w:val="center"/>
          </w:tcPr>
          <w:p w14:paraId="1403FD29">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14:paraId="15FB9EF6">
            <w:pPr>
              <w:widowControl/>
              <w:jc w:val="center"/>
              <w:rPr>
                <w:rFonts w:ascii="宋体" w:hAnsi="宋体" w:cs="宋体"/>
                <w:color w:val="000000"/>
                <w:kern w:val="0"/>
                <w:sz w:val="24"/>
              </w:rPr>
            </w:pPr>
          </w:p>
        </w:tc>
      </w:tr>
      <w:tr w14:paraId="565783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14:paraId="6A722A50">
            <w:pPr>
              <w:jc w:val="center"/>
              <w:rPr>
                <w:sz w:val="24"/>
              </w:rPr>
            </w:pPr>
            <w:r>
              <w:rPr>
                <w:rFonts w:hint="eastAsia" w:ascii="宋体" w:hAnsi="宋体"/>
                <w:sz w:val="24"/>
              </w:rPr>
              <w:t>如因参选人提供税务信息错误而导致的开票错误所造成的全部损失由参选人承担。</w:t>
            </w:r>
          </w:p>
        </w:tc>
      </w:tr>
      <w:tr w14:paraId="505BF7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14:paraId="7593ECA3">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vAlign w:val="center"/>
          </w:tcPr>
          <w:p w14:paraId="3894D8C4">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14:paraId="79048B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14:paraId="5D3C5EF3">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vAlign w:val="center"/>
          </w:tcPr>
          <w:p w14:paraId="65C6E3A1">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14:paraId="582FCE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64E713EC"/>
    <w:rsid w:val="64E7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2024-07-22T08:46:00Z</dcterms:created>
  <dc:creator>king</dc:creator>
  <cp:lastModifiedBy>king</cp:lastModifiedBy>
  <dcterms:modified xsi:type="dcterms:W3CDTF">2024-07-22T08:47:00Z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228597E0F66E449A9FB38B88CF9CC662_11</vt:lpwstr>
  </property>
</Properties>
</file>