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Theme="minorEastAsia" w:hAnsiTheme="minorEastAsia" w:eastAsiaTheme="minorEastAsia"/>
        </w:rPr>
      </w:pPr>
      <w:bookmarkStart w:id="0" w:name="_Toc103902111"/>
      <w:r>
        <w:rPr>
          <w:rFonts w:hint="eastAsia" w:asciiTheme="minorEastAsia" w:hAnsiTheme="minorEastAsia" w:eastAsiaTheme="minorEastAsia"/>
          <w:lang w:eastAsia="zh-CN"/>
        </w:rPr>
        <w:t>中国铁塔股份有限公司龙岩市分公司</w:t>
      </w:r>
      <w:bookmarkStart w:id="21" w:name="_GoBack"/>
      <w:r>
        <w:rPr>
          <w:rFonts w:hint="eastAsia" w:asciiTheme="minorEastAsia" w:hAnsiTheme="minorEastAsia" w:eastAsiaTheme="minorEastAsia"/>
          <w:lang w:eastAsia="zh-CN"/>
        </w:rPr>
        <w:t>新罗区金融街用电改造货物类项目</w:t>
      </w:r>
      <w:r>
        <w:rPr>
          <w:rFonts w:hint="eastAsia" w:asciiTheme="minorEastAsia" w:hAnsiTheme="minorEastAsia" w:eastAsiaTheme="minorEastAsia"/>
        </w:rPr>
        <w:t>比选公告</w:t>
      </w:r>
      <w:bookmarkEnd w:id="21"/>
      <w:bookmarkEnd w:id="0"/>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lang w:eastAsia="zh-CN"/>
        </w:rPr>
        <w:t>中国铁塔股份有限公司龙岩市分公司新罗区金融街用电改造货物类项目</w:t>
      </w:r>
      <w:r>
        <w:rPr>
          <w:rFonts w:hint="eastAsia" w:asciiTheme="minorEastAsia" w:hAnsiTheme="minorEastAsia" w:eastAsiaTheme="minorEastAsia"/>
          <w:szCs w:val="21"/>
        </w:rPr>
        <w:t>已具备采购条件，现公开邀请有意向的单位参加比选采购活动。</w:t>
      </w:r>
    </w:p>
    <w:p>
      <w:pPr>
        <w:pStyle w:val="4"/>
        <w:spacing w:line="360" w:lineRule="auto"/>
        <w:ind w:left="158" w:hanging="158"/>
        <w:rPr>
          <w:rFonts w:asciiTheme="minorEastAsia" w:hAnsiTheme="minorEastAsia" w:eastAsiaTheme="minorEastAsia"/>
        </w:rPr>
      </w:pPr>
      <w:bookmarkStart w:id="1" w:name="_Toc103902112"/>
      <w:r>
        <w:rPr>
          <w:rFonts w:asciiTheme="minorEastAsia" w:hAnsiTheme="minorEastAsia" w:eastAsiaTheme="minorEastAsia"/>
        </w:rPr>
        <w:t>1.</w:t>
      </w:r>
      <w:r>
        <w:rPr>
          <w:rFonts w:hint="eastAsia" w:asciiTheme="minorEastAsia" w:hAnsiTheme="minorEastAsia" w:eastAsiaTheme="minorEastAsia"/>
        </w:rPr>
        <w:t>采购项目简介</w:t>
      </w:r>
      <w:bookmarkEnd w:id="1"/>
    </w:p>
    <w:p>
      <w:pPr>
        <w:adjustRightInd w:val="0"/>
        <w:snapToGrid w:val="0"/>
        <w:spacing w:line="360" w:lineRule="auto"/>
        <w:ind w:left="420"/>
        <w:rPr>
          <w:rFonts w:asciiTheme="minorEastAsia" w:hAnsiTheme="minorEastAsia" w:eastAsiaTheme="minorEastAsia"/>
          <w:szCs w:val="21"/>
          <w:u w:val="single"/>
        </w:rPr>
      </w:pPr>
      <w:r>
        <w:rPr>
          <w:rFonts w:hint="eastAsia" w:asciiTheme="minorEastAsia" w:hAnsiTheme="minorEastAsia" w:eastAsiaTheme="minorEastAsia"/>
          <w:szCs w:val="21"/>
        </w:rPr>
        <w:t>1.1采购项目名称及项目编号：</w:t>
      </w:r>
      <w:r>
        <w:rPr>
          <w:rFonts w:hint="eastAsia" w:asciiTheme="minorEastAsia" w:hAnsiTheme="minorEastAsia" w:eastAsiaTheme="minorEastAsia"/>
          <w:szCs w:val="21"/>
          <w:u w:val="single"/>
          <w:lang w:eastAsia="zh-CN"/>
        </w:rPr>
        <w:t>中国铁塔股份有限公司龙岩市分公司新罗区金融街用电改造货物类项目</w:t>
      </w:r>
      <w:r>
        <w:rPr>
          <w:rFonts w:hint="eastAsia" w:asciiTheme="minorEastAsia" w:hAnsiTheme="minorEastAsia" w:eastAsiaTheme="minorEastAsia"/>
          <w:szCs w:val="21"/>
          <w:u w:val="single"/>
        </w:rPr>
        <w:t>（</w:t>
      </w:r>
      <w:r>
        <w:rPr>
          <w:rFonts w:hint="eastAsia" w:asciiTheme="minorEastAsia" w:hAnsiTheme="minorEastAsia" w:eastAsiaTheme="minorEastAsia"/>
          <w:szCs w:val="21"/>
          <w:u w:val="single"/>
          <w:lang w:eastAsia="zh-CN"/>
        </w:rPr>
        <w:t>FJZT-2022-10897</w:t>
      </w:r>
      <w:r>
        <w:rPr>
          <w:rFonts w:hint="eastAsia" w:asciiTheme="minorEastAsia" w:hAnsiTheme="minorEastAsia" w:eastAsiaTheme="minorEastAsia"/>
          <w:szCs w:val="21"/>
          <w:u w:val="single"/>
        </w:rPr>
        <w:t>）</w:t>
      </w:r>
    </w:p>
    <w:p>
      <w:pPr>
        <w:adjustRightInd w:val="0"/>
        <w:snapToGrid w:val="0"/>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1.2采购人：</w:t>
      </w:r>
      <w:r>
        <w:rPr>
          <w:rFonts w:hint="eastAsia" w:asciiTheme="minorEastAsia" w:hAnsiTheme="minorEastAsia" w:eastAsiaTheme="minorEastAsia"/>
          <w:szCs w:val="21"/>
          <w:u w:val="single"/>
        </w:rPr>
        <w:t>中国铁塔股份有限公司龙岩市分公司</w:t>
      </w:r>
    </w:p>
    <w:p>
      <w:pPr>
        <w:adjustRightInd w:val="0"/>
        <w:snapToGrid w:val="0"/>
        <w:spacing w:line="360" w:lineRule="auto"/>
        <w:ind w:left="420"/>
        <w:rPr>
          <w:rFonts w:hint="eastAsia" w:asciiTheme="minorEastAsia" w:hAnsiTheme="minorEastAsia" w:eastAsiaTheme="minorEastAsia"/>
          <w:szCs w:val="21"/>
        </w:rPr>
      </w:pPr>
      <w:r>
        <w:rPr>
          <w:rFonts w:hint="eastAsia" w:asciiTheme="minorEastAsia" w:hAnsiTheme="minorEastAsia" w:eastAsiaTheme="minorEastAsia"/>
          <w:szCs w:val="21"/>
        </w:rPr>
        <w:t>1.3</w:t>
      </w:r>
      <w:r>
        <w:rPr>
          <w:rFonts w:hint="eastAsia" w:asciiTheme="minorEastAsia" w:hAnsiTheme="minorEastAsia" w:eastAsiaTheme="minorEastAsia"/>
          <w:szCs w:val="21"/>
          <w:highlight w:val="none"/>
        </w:rPr>
        <w:t>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采购项目资金落实情况：</w:t>
      </w:r>
      <w:r>
        <w:rPr>
          <w:rFonts w:hint="eastAsia" w:asciiTheme="minorEastAsia" w:hAnsiTheme="minorEastAsia" w:eastAsiaTheme="minorEastAsia"/>
          <w:szCs w:val="21"/>
          <w:u w:val="single"/>
        </w:rPr>
        <w:t>项目资金由采购人自筹，并已落实。</w:t>
      </w:r>
    </w:p>
    <w:p>
      <w:pPr>
        <w:adjustRightInd w:val="0"/>
        <w:snapToGrid w:val="0"/>
        <w:spacing w:line="360" w:lineRule="auto"/>
        <w:ind w:left="425"/>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采购项目概况：本项目的采购内容为智慧用电设备、网络摄像机等设备及系统软件及集成服务（含安装调试、技术服务等）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预估采购金额为</w:t>
      </w:r>
      <w:r>
        <w:rPr>
          <w:rFonts w:hint="eastAsia" w:asciiTheme="minorEastAsia" w:hAnsiTheme="minorEastAsia" w:eastAsiaTheme="minorEastAsia"/>
          <w:szCs w:val="21"/>
          <w:lang w:val="en-US" w:eastAsia="zh-CN"/>
        </w:rPr>
        <w:t>33.53</w:t>
      </w:r>
      <w:r>
        <w:rPr>
          <w:rFonts w:hint="eastAsia" w:asciiTheme="minorEastAsia" w:hAnsiTheme="minorEastAsia" w:eastAsiaTheme="minorEastAsia"/>
          <w:szCs w:val="21"/>
        </w:rPr>
        <w:t>万元（含税）。</w:t>
      </w:r>
    </w:p>
    <w:p>
      <w:pPr>
        <w:adjustRightInd w:val="0"/>
        <w:snapToGrid w:val="0"/>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1.6标段划分：</w:t>
      </w:r>
    </w:p>
    <w:p>
      <w:pPr>
        <w:pStyle w:val="9"/>
        <w:adjustRightInd w:val="0"/>
        <w:snapToGrid w:val="0"/>
        <w:spacing w:line="360" w:lineRule="auto"/>
        <w:ind w:left="420"/>
        <w:rPr>
          <w:rFonts w:asciiTheme="minorEastAsia" w:hAnsiTheme="minorEastAsia" w:eastAsiaTheme="minorEastAsia"/>
          <w:szCs w:val="21"/>
        </w:rPr>
      </w:pPr>
      <w:bookmarkStart w:id="2" w:name="OLE_LINK3"/>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不划分</w:t>
      </w:r>
    </w:p>
    <w:p>
      <w:pPr>
        <w:pStyle w:val="9"/>
        <w:adjustRightInd w:val="0"/>
        <w:snapToGrid w:val="0"/>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□划分： 标段一：</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；标段二：</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left="420"/>
        <w:rPr>
          <w:rFonts w:asciiTheme="minorEastAsia" w:hAnsiTheme="minorEastAsia" w:eastAsiaTheme="minorEastAsia"/>
          <w:szCs w:val="21"/>
        </w:rPr>
      </w:pPr>
      <w:r>
        <w:rPr>
          <w:rFonts w:hint="eastAsia" w:asciiTheme="minorEastAsia" w:hAnsiTheme="minorEastAsia" w:eastAsiaTheme="minorEastAsia"/>
          <w:szCs w:val="21"/>
        </w:rPr>
        <w:t>1.7中选单位数量及中选份额：</w:t>
      </w:r>
    </w:p>
    <w:p>
      <w:pPr>
        <w:adjustRightInd w:val="0"/>
        <w:snapToGrid w:val="0"/>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√一家，</w:t>
      </w:r>
      <w:r>
        <w:rPr>
          <w:rFonts w:asciiTheme="minorEastAsia" w:hAnsiTheme="minorEastAsia" w:eastAsiaTheme="minorEastAsia"/>
          <w:szCs w:val="21"/>
        </w:rPr>
        <w:t>中选</w:t>
      </w:r>
      <w:r>
        <w:rPr>
          <w:rFonts w:hint="eastAsia" w:asciiTheme="minorEastAsia" w:hAnsiTheme="minorEastAsia" w:eastAsiaTheme="minorEastAsia"/>
          <w:szCs w:val="21"/>
        </w:rPr>
        <w:t>份额100%</w:t>
      </w:r>
    </w:p>
    <w:p>
      <w:pPr>
        <w:adjustRightInd w:val="0"/>
        <w:snapToGrid w:val="0"/>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□二家，中选份额：第一名：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；第二名：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adjustRightInd w:val="0"/>
        <w:snapToGrid w:val="0"/>
        <w:spacing w:line="360" w:lineRule="auto"/>
        <w:ind w:left="425"/>
        <w:rPr>
          <w:rFonts w:asciiTheme="minorEastAsia" w:hAnsiTheme="minorEastAsia" w:eastAsiaTheme="minorEastAsia"/>
          <w:szCs w:val="21"/>
        </w:rPr>
      </w:pPr>
      <w:r>
        <w:rPr>
          <w:rFonts w:asciiTheme="minorEastAsia" w:hAnsiTheme="minorEastAsia" w:eastAsiaTheme="minorEastAsia"/>
          <w:szCs w:val="21"/>
        </w:rPr>
        <w:t>1.8</w:t>
      </w:r>
      <w:r>
        <w:rPr>
          <w:rFonts w:hint="eastAsia" w:asciiTheme="minorEastAsia" w:hAnsiTheme="minorEastAsia" w:eastAsiaTheme="minorEastAsia"/>
          <w:szCs w:val="21"/>
        </w:rPr>
        <w:t>本项目最高限价</w:t>
      </w:r>
    </w:p>
    <w:p>
      <w:pPr>
        <w:adjustRightInd w:val="0"/>
        <w:snapToGrid w:val="0"/>
        <w:spacing w:line="360" w:lineRule="auto"/>
        <w:ind w:left="425" w:firstLine="420" w:firstLineChars="200"/>
        <w:rPr>
          <w:rFonts w:asciiTheme="minorEastAsia" w:hAnsiTheme="minorEastAsia" w:eastAsiaTheme="minorEastAsia"/>
          <w:szCs w:val="21"/>
        </w:rPr>
      </w:pPr>
      <w:r>
        <w:rPr>
          <w:rFonts w:hint="eastAsia" w:asciiTheme="minorEastAsia" w:hAnsiTheme="minorEastAsia" w:eastAsiaTheme="minorEastAsia"/>
          <w:szCs w:val="21"/>
        </w:rPr>
        <w:t>□不设置最高限价</w:t>
      </w:r>
    </w:p>
    <w:p>
      <w:pPr>
        <w:adjustRightInd w:val="0"/>
        <w:snapToGrid w:val="0"/>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√设置最高限价：本项目设置最高参选限价，最高参选限价为</w:t>
      </w:r>
      <w:r>
        <w:rPr>
          <w:rFonts w:hint="eastAsia" w:asciiTheme="minorEastAsia" w:hAnsiTheme="minorEastAsia" w:eastAsiaTheme="minorEastAsia"/>
          <w:szCs w:val="21"/>
          <w:lang w:val="en-US" w:eastAsia="zh-CN"/>
        </w:rPr>
        <w:t>33.53</w:t>
      </w:r>
      <w:r>
        <w:rPr>
          <w:rFonts w:hint="eastAsia" w:asciiTheme="minorEastAsia" w:hAnsiTheme="minorEastAsia" w:eastAsiaTheme="minorEastAsia"/>
          <w:szCs w:val="21"/>
        </w:rPr>
        <w:t>万元（含税）。参选报价超过最高参选限价的，其参选将否决。</w:t>
      </w:r>
    </w:p>
    <w:p>
      <w:pPr>
        <w:pStyle w:val="4"/>
        <w:spacing w:line="360" w:lineRule="auto"/>
        <w:ind w:left="158" w:hanging="158"/>
        <w:rPr>
          <w:rFonts w:asciiTheme="minorEastAsia" w:hAnsiTheme="minorEastAsia" w:eastAsiaTheme="minorEastAsia"/>
        </w:rPr>
      </w:pPr>
      <w:bookmarkStart w:id="3" w:name="_Toc57278946"/>
      <w:bookmarkStart w:id="4" w:name="_Toc103902113"/>
      <w:r>
        <w:rPr>
          <w:rFonts w:asciiTheme="minorEastAsia" w:hAnsiTheme="minorEastAsia" w:eastAsiaTheme="minorEastAsia"/>
        </w:rPr>
        <w:t>2.</w:t>
      </w:r>
      <w:r>
        <w:rPr>
          <w:rFonts w:hint="eastAsia" w:asciiTheme="minorEastAsia" w:hAnsiTheme="minorEastAsia" w:eastAsiaTheme="minorEastAsia"/>
        </w:rPr>
        <w:t>采购范围及相关要求</w:t>
      </w:r>
      <w:bookmarkEnd w:id="3"/>
      <w:bookmarkEnd w:id="4"/>
    </w:p>
    <w:p>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采购范围：</w:t>
      </w:r>
      <w:bookmarkStart w:id="5" w:name="_Toc319769473"/>
      <w:bookmarkStart w:id="6" w:name="_Toc319394714"/>
      <w:bookmarkStart w:id="7" w:name="_Toc184704555"/>
      <w:r>
        <w:rPr>
          <w:rFonts w:hint="eastAsia" w:asciiTheme="minorEastAsia" w:hAnsiTheme="minorEastAsia" w:eastAsiaTheme="minorEastAsia" w:cstheme="minorEastAsia"/>
          <w:szCs w:val="21"/>
        </w:rPr>
        <w:t>本项目的采购内容为智慧用电设备、网络摄像机等设备及系统软件及集成服务（含安装调试、技术服务等）</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具体如下：</w:t>
      </w:r>
    </w:p>
    <w:tbl>
      <w:tblPr>
        <w:tblStyle w:val="7"/>
        <w:tblW w:w="5000" w:type="pct"/>
        <w:jc w:val="center"/>
        <w:tblLayout w:type="autofit"/>
        <w:tblCellMar>
          <w:top w:w="0" w:type="dxa"/>
          <w:left w:w="108" w:type="dxa"/>
          <w:bottom w:w="0" w:type="dxa"/>
          <w:right w:w="108" w:type="dxa"/>
        </w:tblCellMar>
      </w:tblPr>
      <w:tblGrid>
        <w:gridCol w:w="1113"/>
        <w:gridCol w:w="5182"/>
        <w:gridCol w:w="1113"/>
        <w:gridCol w:w="1114"/>
      </w:tblGrid>
      <w:tr>
        <w:tblPrEx>
          <w:tblCellMar>
            <w:top w:w="0" w:type="dxa"/>
            <w:left w:w="108" w:type="dxa"/>
            <w:bottom w:w="0" w:type="dxa"/>
            <w:right w:w="108" w:type="dxa"/>
          </w:tblCellMar>
        </w:tblPrEx>
        <w:trPr>
          <w:trHeight w:val="285" w:hRule="atLeast"/>
          <w:jc w:val="center"/>
        </w:trPr>
        <w:tc>
          <w:tcPr>
            <w:tcW w:w="24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1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采购内容</w:t>
            </w:r>
          </w:p>
        </w:tc>
        <w:tc>
          <w:tcPr>
            <w:tcW w:w="240"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240"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单相1P 20A智慧微断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单相1P 32A智慧微断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单相2P 32A智慧微断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单相2P 63A智慧微断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三相3P 32A智慧微断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三相3P 63A智慧微断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三相3P 80A智慧微断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三相4P 63A带漏保智慧微断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单相2P 32A带漏保智慧微断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236</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单相2P 63A带漏保智慧微断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单相2P 80A带漏保智慧微断</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电源及防浪涌模组</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电源及防浪涌模组-带显示屏</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4G通讯模组</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导轨夹</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高精度智慧塑壳断路器</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塑壳配套转换模组</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塑壳配套4G通讯模组</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只</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通讯延长线</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通讯延长线</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物联网卡</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网络摄像机</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动力环境监控系统设备</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65英寸触控显示屏</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电脑主机</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用电改造监控系统</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5" w:hRule="atLeast"/>
          <w:jc w:val="center"/>
        </w:trPr>
        <w:tc>
          <w:tcPr>
            <w:tcW w:w="240"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111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系统集成</w:t>
            </w:r>
          </w:p>
        </w:tc>
        <w:tc>
          <w:tcPr>
            <w:tcW w:w="240"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24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bl>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合同有效期：自合同签订生效之日起</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.3</w:t>
      </w:r>
      <w:r>
        <w:rPr>
          <w:rFonts w:hint="eastAsia" w:ascii="宋体" w:hAnsi="宋体"/>
          <w:sz w:val="24"/>
        </w:rPr>
        <w:t>★</w:t>
      </w:r>
      <w:r>
        <w:rPr>
          <w:rFonts w:hint="eastAsia" w:cs="宋体" w:asciiTheme="minorEastAsia" w:hAnsiTheme="minorEastAsia" w:eastAsiaTheme="minorEastAsia"/>
          <w:szCs w:val="21"/>
        </w:rPr>
        <w:t>到货期限：接到正式订单后，90个日历日内完成设备安装及到货。</w:t>
      </w:r>
    </w:p>
    <w:p>
      <w:pPr>
        <w:spacing w:line="360" w:lineRule="auto"/>
        <w:ind w:firstLine="420" w:firstLineChars="200"/>
        <w:rPr>
          <w:rFonts w:asciiTheme="minorEastAsia" w:hAnsiTheme="minorEastAsia" w:eastAsiaTheme="minorEastAsia" w:cstheme="minorEastAsia"/>
          <w:szCs w:val="21"/>
        </w:rPr>
      </w:pPr>
      <w:r>
        <w:rPr>
          <w:rFonts w:hint="eastAsia" w:cs="宋体" w:asciiTheme="minorEastAsia" w:hAnsiTheme="minorEastAsia" w:eastAsiaTheme="minorEastAsia"/>
          <w:szCs w:val="21"/>
        </w:rPr>
        <w:t>2.4</w:t>
      </w:r>
      <w:r>
        <w:rPr>
          <w:rFonts w:hint="eastAsia" w:ascii="宋体" w:hAnsi="宋体"/>
          <w:sz w:val="24"/>
        </w:rPr>
        <w:t>★</w:t>
      </w:r>
      <w:r>
        <w:rPr>
          <w:rFonts w:hint="eastAsia" w:cs="宋体" w:asciiTheme="minorEastAsia" w:hAnsiTheme="minorEastAsia" w:eastAsiaTheme="minorEastAsia"/>
          <w:szCs w:val="21"/>
        </w:rPr>
        <w:t>交货地点：福建省龙岩市。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5</w:t>
      </w:r>
      <w:r>
        <w:rPr>
          <w:rFonts w:hint="eastAsia" w:ascii="宋体" w:hAnsi="宋体"/>
          <w:sz w:val="24"/>
        </w:rPr>
        <w:t>★</w:t>
      </w:r>
      <w:r>
        <w:rPr>
          <w:rFonts w:hint="eastAsia" w:asciiTheme="minorEastAsia" w:hAnsiTheme="minorEastAsia" w:eastAsiaTheme="minorEastAsia" w:cstheme="minorEastAsia"/>
          <w:szCs w:val="21"/>
        </w:rPr>
        <w:t>免费保修期：自验收合格次日起3年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2.6主要技术指标：具体详见第五章采购需求</w:t>
      </w:r>
    </w:p>
    <w:p>
      <w:pPr>
        <w:spacing w:line="360" w:lineRule="auto"/>
        <w:ind w:firstLine="420" w:firstLineChars="200"/>
        <w:rPr>
          <w:rFonts w:asciiTheme="minorEastAsia" w:hAnsiTheme="minorEastAsia" w:eastAsiaTheme="minorEastAsia" w:cstheme="minorEastAsia"/>
          <w:szCs w:val="21"/>
        </w:rPr>
      </w:pPr>
      <w:r>
        <w:rPr>
          <w:rFonts w:asciiTheme="minorEastAsia" w:hAnsiTheme="minorEastAsia" w:eastAsiaTheme="minorEastAsia"/>
          <w:bCs/>
          <w:szCs w:val="21"/>
        </w:rPr>
        <w:t>2.</w:t>
      </w:r>
      <w:r>
        <w:rPr>
          <w:rFonts w:hint="eastAsia" w:asciiTheme="minorEastAsia" w:hAnsiTheme="minorEastAsia" w:eastAsiaTheme="minorEastAsia"/>
          <w:bCs/>
          <w:szCs w:val="21"/>
        </w:rPr>
        <w:t>7项目</w:t>
      </w:r>
      <w:r>
        <w:rPr>
          <w:rFonts w:asciiTheme="minorEastAsia" w:hAnsiTheme="minorEastAsia" w:eastAsiaTheme="minorEastAsia"/>
          <w:bCs/>
          <w:szCs w:val="21"/>
        </w:rPr>
        <w:t>类型：</w:t>
      </w:r>
      <w:r>
        <w:rPr>
          <w:rFonts w:hint="eastAsia" w:asciiTheme="minorEastAsia" w:hAnsiTheme="minorEastAsia" w:eastAsiaTheme="minorEastAsia"/>
          <w:bCs/>
          <w:szCs w:val="21"/>
        </w:rPr>
        <w:t>货物类</w:t>
      </w:r>
    </w:p>
    <w:p>
      <w:pPr>
        <w:pStyle w:val="4"/>
        <w:spacing w:line="360" w:lineRule="auto"/>
        <w:ind w:left="158" w:hanging="158"/>
        <w:rPr>
          <w:rFonts w:asciiTheme="minorEastAsia" w:hAnsiTheme="minorEastAsia" w:eastAsiaTheme="minorEastAsia"/>
        </w:rPr>
      </w:pPr>
      <w:bookmarkStart w:id="8" w:name="_Toc103902114"/>
      <w:r>
        <w:rPr>
          <w:rFonts w:asciiTheme="minorEastAsia" w:hAnsiTheme="minorEastAsia" w:eastAsiaTheme="minorEastAsia"/>
        </w:rPr>
        <w:t>3.</w:t>
      </w:r>
      <w:r>
        <w:rPr>
          <w:rFonts w:hint="eastAsia" w:asciiTheme="minorEastAsia" w:hAnsiTheme="minorEastAsia" w:eastAsiaTheme="minorEastAsia"/>
        </w:rPr>
        <w:t>参选人资格要求</w:t>
      </w:r>
      <w:bookmarkEnd w:id="5"/>
      <w:bookmarkEnd w:id="6"/>
      <w:bookmarkEnd w:id="7"/>
      <w:bookmarkEnd w:id="8"/>
    </w:p>
    <w:p>
      <w:pPr>
        <w:pStyle w:val="9"/>
        <w:numPr>
          <w:ilvl w:val="0"/>
          <w:numId w:val="1"/>
        </w:numPr>
        <w:adjustRightInd w:val="0"/>
        <w:snapToGrid w:val="0"/>
        <w:spacing w:line="360" w:lineRule="auto"/>
        <w:ind w:firstLineChars="0"/>
        <w:rPr>
          <w:rFonts w:asciiTheme="minorEastAsia" w:hAnsiTheme="minorEastAsia" w:eastAsiaTheme="minorEastAsia"/>
          <w:vanish/>
          <w:szCs w:val="21"/>
        </w:rPr>
      </w:pPr>
      <w:bookmarkStart w:id="9" w:name="_Toc184704556"/>
      <w:bookmarkStart w:id="10" w:name="_Toc319769474"/>
      <w:bookmarkStart w:id="11" w:name="_Toc319394715"/>
    </w:p>
    <w:p>
      <w:pPr>
        <w:pStyle w:val="9"/>
        <w:numPr>
          <w:ilvl w:val="0"/>
          <w:numId w:val="1"/>
        </w:numPr>
        <w:adjustRightInd w:val="0"/>
        <w:snapToGrid w:val="0"/>
        <w:spacing w:line="360" w:lineRule="auto"/>
        <w:ind w:firstLineChars="0"/>
        <w:rPr>
          <w:rFonts w:asciiTheme="minorEastAsia" w:hAnsiTheme="minorEastAsia" w:eastAsiaTheme="minorEastAsia"/>
          <w:vanish/>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w:t>
      </w:r>
      <w:r>
        <w:rPr>
          <w:rFonts w:hint="eastAsia" w:asciiTheme="minorEastAsia" w:hAnsiTheme="minorEastAsia" w:eastAsiaTheme="minorEastAsia"/>
          <w:szCs w:val="21"/>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6"/>
        <w:ind w:left="0" w:leftChars="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增值税发票要求：参选人承诺中选后为本项目提供增值税专用发票进行结算。【评审依据：提供承诺函。】</w:t>
      </w:r>
    </w:p>
    <w:p>
      <w:pPr>
        <w:pStyle w:val="6"/>
        <w:ind w:left="0" w:leftChars="0"/>
        <w:rPr>
          <w:rFonts w:asciiTheme="minorEastAsia" w:hAnsiTheme="minorEastAsia" w:eastAsiaTheme="minorEastAsia"/>
          <w:szCs w:val="21"/>
        </w:rPr>
      </w:pPr>
      <w:r>
        <w:rPr>
          <w:rFonts w:hint="eastAsia" w:asciiTheme="minorEastAsia" w:hAnsiTheme="minorEastAsia" w:eastAsiaTheme="minorEastAsia"/>
          <w:szCs w:val="21"/>
        </w:rPr>
        <w:t>3.4联合体：本项目不接受联合体参选。【评审依据：非联合体声明函】</w:t>
      </w:r>
    </w:p>
    <w:p>
      <w:pPr>
        <w:pStyle w:val="6"/>
        <w:ind w:left="0" w:leftChars="0"/>
        <w:rPr>
          <w:rFonts w:hint="eastAsia" w:asciiTheme="minorEastAsia" w:hAnsiTheme="minorEastAsia" w:eastAsiaTheme="minorEastAsia"/>
          <w:szCs w:val="21"/>
        </w:rPr>
      </w:pPr>
      <w:r>
        <w:rPr>
          <w:rFonts w:hint="eastAsia" w:asciiTheme="minorEastAsia" w:hAnsiTheme="minorEastAsia" w:eastAsiaTheme="minorEastAsia"/>
          <w:szCs w:val="21"/>
        </w:rPr>
        <w:t>3.5代理商：本项目所需的设备接受代理商参选；代理商参选的，应满足下列要求：</w:t>
      </w:r>
    </w:p>
    <w:p>
      <w:pPr>
        <w:pStyle w:val="6"/>
        <w:ind w:left="0" w:leftChars="0"/>
        <w:rPr>
          <w:rFonts w:hint="eastAsia" w:asciiTheme="minorEastAsia" w:hAnsiTheme="minorEastAsia" w:eastAsiaTheme="minorEastAsia"/>
          <w:szCs w:val="21"/>
        </w:rPr>
      </w:pPr>
      <w:r>
        <w:rPr>
          <w:rFonts w:hint="eastAsia" w:asciiTheme="minorEastAsia" w:hAnsiTheme="minorEastAsia" w:eastAsiaTheme="minorEastAsia"/>
          <w:szCs w:val="21"/>
        </w:rPr>
        <w:t>（1）参选人须提供本项目主要设备（智慧微断）制造商营业执照；</w:t>
      </w:r>
    </w:p>
    <w:p>
      <w:pPr>
        <w:pStyle w:val="6"/>
        <w:ind w:left="0" w:leftChars="0"/>
        <w:rPr>
          <w:rFonts w:hint="eastAsia" w:asciiTheme="minorEastAsia" w:hAnsiTheme="minorEastAsia" w:eastAsiaTheme="minorEastAsia"/>
          <w:szCs w:val="21"/>
        </w:rPr>
      </w:pPr>
      <w:r>
        <w:rPr>
          <w:rFonts w:hint="eastAsia" w:asciiTheme="minorEastAsia" w:hAnsiTheme="minorEastAsia" w:eastAsiaTheme="minorEastAsia"/>
          <w:szCs w:val="21"/>
        </w:rPr>
        <w:t>（2）若参选人为代理商，须提供制造商对本项目主要设备（智慧微断）出具的唯一授权代理证明，且一个制造商对同一品牌同一型号的货物，仅能委托一个代理商参加参选，设备制造商和其代理商不能同时参加本项目参选。</w:t>
      </w:r>
    </w:p>
    <w:p>
      <w:pPr>
        <w:pStyle w:val="6"/>
        <w:ind w:left="0" w:leftChars="0"/>
        <w:rPr>
          <w:rFonts w:hint="eastAsia" w:asciiTheme="minorEastAsia" w:hAnsiTheme="minorEastAsia" w:eastAsiaTheme="minorEastAsia"/>
          <w:szCs w:val="21"/>
        </w:rPr>
      </w:pPr>
      <w:r>
        <w:rPr>
          <w:rFonts w:hint="eastAsia" w:asciiTheme="minorEastAsia" w:hAnsiTheme="minorEastAsia" w:eastAsiaTheme="minorEastAsia"/>
          <w:szCs w:val="21"/>
        </w:rPr>
        <w:t>【评审依据：1、提供有效的设备制造商营业执照复印件/扫描件或其他行政主管机关出具的证明文件，必要时通过网络查询。2、设备制造商参选的提供制造商资格声明；代理商参选的提供设备制造商针对本项目的唯一授权代理证明。】</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3.6参选人不得存在下列情形之一：</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（2）被依法暂停或取消</w:t>
      </w:r>
      <w:r>
        <w:rPr>
          <w:rFonts w:hint="eastAsia" w:cs="宋体" w:asciiTheme="minorEastAsia" w:hAnsiTheme="minorEastAsia" w:eastAsiaTheme="minorEastAsia"/>
          <w:szCs w:val="21"/>
        </w:rPr>
        <w:t>应答</w:t>
      </w:r>
      <w:r>
        <w:rPr>
          <w:rFonts w:hint="eastAsia" w:asciiTheme="minorEastAsia" w:hAnsiTheme="minorEastAsia" w:eastAsiaTheme="minorEastAsia"/>
          <w:szCs w:val="21"/>
        </w:rPr>
        <w:t>资格的；</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【评审依据：提供承诺函】</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4"/>
        <w:spacing w:line="360" w:lineRule="auto"/>
        <w:ind w:left="158" w:hanging="158"/>
        <w:rPr>
          <w:rFonts w:asciiTheme="minorEastAsia" w:hAnsiTheme="minorEastAsia" w:eastAsiaTheme="minorEastAsia"/>
        </w:rPr>
      </w:pPr>
      <w:bookmarkStart w:id="12" w:name="_Toc103902115"/>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资格审查方法</w:t>
      </w:r>
      <w:bookmarkEnd w:id="9"/>
      <w:bookmarkEnd w:id="10"/>
      <w:bookmarkEnd w:id="11"/>
      <w:bookmarkEnd w:id="12"/>
    </w:p>
    <w:p>
      <w:pPr>
        <w:pStyle w:val="9"/>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本项目将进行资格后审，资格审查标准和内容见比选文件第三章“评审办法”，凡未通过资格后审的参选人，其应答文件将被否决。</w:t>
      </w:r>
    </w:p>
    <w:p>
      <w:pPr>
        <w:pStyle w:val="4"/>
        <w:spacing w:line="360" w:lineRule="auto"/>
        <w:ind w:left="158" w:hanging="158"/>
        <w:rPr>
          <w:rFonts w:asciiTheme="minorEastAsia" w:hAnsiTheme="minorEastAsia" w:eastAsiaTheme="minorEastAsia"/>
        </w:rPr>
      </w:pPr>
      <w:bookmarkStart w:id="13" w:name="_Toc319769475"/>
      <w:bookmarkStart w:id="14" w:name="_Toc184704557"/>
      <w:bookmarkStart w:id="15" w:name="_Toc103902116"/>
      <w:bookmarkStart w:id="16" w:name="_Toc319394716"/>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比选文件的获取</w:t>
      </w:r>
      <w:bookmarkEnd w:id="13"/>
      <w:bookmarkEnd w:id="14"/>
      <w:bookmarkEnd w:id="15"/>
      <w:bookmarkEnd w:id="16"/>
    </w:p>
    <w:p>
      <w:pPr>
        <w:pStyle w:val="9"/>
        <w:numPr>
          <w:ilvl w:val="0"/>
          <w:numId w:val="1"/>
        </w:numPr>
        <w:adjustRightInd w:val="0"/>
        <w:snapToGrid w:val="0"/>
        <w:spacing w:line="360" w:lineRule="auto"/>
        <w:ind w:firstLineChars="0"/>
        <w:rPr>
          <w:rFonts w:asciiTheme="minorEastAsia" w:hAnsiTheme="minorEastAsia" w:eastAsiaTheme="minorEastAsia"/>
          <w:vanish/>
        </w:rPr>
      </w:pPr>
    </w:p>
    <w:p>
      <w:pPr>
        <w:pStyle w:val="9"/>
        <w:numPr>
          <w:ilvl w:val="0"/>
          <w:numId w:val="1"/>
        </w:numPr>
        <w:adjustRightInd w:val="0"/>
        <w:snapToGrid w:val="0"/>
        <w:spacing w:line="360" w:lineRule="auto"/>
        <w:ind w:firstLineChars="0"/>
        <w:rPr>
          <w:rFonts w:asciiTheme="minorEastAsia" w:hAnsiTheme="minorEastAsia" w:eastAsiaTheme="minorEastAsia"/>
          <w:vanish/>
        </w:rPr>
      </w:pP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22</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shd w:val="clea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shd w:val="clea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shd w:val="clea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shd w:val="clea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4"/>
        <w:shd w:val="clear"/>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9"/>
        <w:numPr>
          <w:ilvl w:val="0"/>
          <w:numId w:val="2"/>
        </w:numPr>
        <w:shd w:val="clear"/>
        <w:adjustRightInd w:val="0"/>
        <w:snapToGrid w:val="0"/>
        <w:spacing w:line="360" w:lineRule="auto"/>
        <w:ind w:firstLineChars="0"/>
        <w:rPr>
          <w:rFonts w:asciiTheme="minorEastAsia" w:hAnsiTheme="minorEastAsia" w:eastAsiaTheme="minorEastAsia"/>
          <w:vanish/>
          <w:highlight w:val="none"/>
        </w:rPr>
      </w:pP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26</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14</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。唱价地址：福建省龙岩市新罗区商务板块国资大厦1906会议室（供应商可远程登入比德电子采购平台）。</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shd w:val="clea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4"/>
        <w:spacing w:line="360" w:lineRule="auto"/>
        <w:ind w:left="158" w:hanging="158"/>
        <w:rPr>
          <w:rFonts w:asciiTheme="minorEastAsia" w:hAnsiTheme="minorEastAsia" w:eastAsiaTheme="minorEastAsia"/>
        </w:rPr>
      </w:pPr>
      <w:bookmarkStart w:id="18" w:name="_Toc103902118"/>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p>
    <w:p>
      <w:pPr>
        <w:pStyle w:val="4"/>
        <w:spacing w:line="360" w:lineRule="auto"/>
        <w:ind w:left="158" w:hanging="158"/>
        <w:rPr>
          <w:rFonts w:asciiTheme="minorEastAsia" w:hAnsiTheme="minorEastAsia" w:eastAsiaTheme="minorEastAsia"/>
        </w:rPr>
      </w:pPr>
      <w:bookmarkStart w:id="19" w:name="_Toc103902119"/>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发布公告的媒介</w:t>
      </w:r>
      <w:bookmarkEnd w:id="19"/>
    </w:p>
    <w:p>
      <w:pPr>
        <w:pStyle w:val="9"/>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本比选公告同时在中国招标投标公共服务平台（http://www.cebpubservice.com/）、中国铁塔在线商务平台（www.tower.com.cn）、比德电子采购平台（https://www.bdebid.com/）上发布，其他媒介转载无效。</w:t>
      </w:r>
    </w:p>
    <w:p>
      <w:pPr>
        <w:pStyle w:val="4"/>
        <w:spacing w:line="360" w:lineRule="auto"/>
        <w:ind w:left="158" w:hanging="158"/>
        <w:rPr>
          <w:rFonts w:asciiTheme="minorEastAsia" w:hAnsiTheme="minorEastAsia" w:eastAsiaTheme="minorEastAsia"/>
        </w:rPr>
      </w:pPr>
      <w:bookmarkStart w:id="20" w:name="_Toc103902120"/>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联系方式</w:t>
      </w:r>
      <w:bookmarkEnd w:id="20"/>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采购人名称：中国铁塔股份有限公司龙岩市分公司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采购人地址：福建省龙岩市新罗区商务板块国资大厦18-19层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邮    编：350003</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shd w:val="clea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shd w:val="clea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19</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490C71B7"/>
    <w:rsid w:val="490C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28"/>
      <w:szCs w:val="44"/>
    </w:rPr>
  </w:style>
  <w:style w:type="paragraph" w:styleId="4">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5">
    <w:name w:val="Body Text Indent"/>
    <w:basedOn w:val="1"/>
    <w:next w:val="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6">
    <w:name w:val="Body Text First Indent 2"/>
    <w:basedOn w:val="5"/>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2022-09-19T10:02:00Z</dcterms:created>
  <dc:creator>Administrator</dc:creator>
  <cp:lastModifiedBy>Administrator</cp:lastModifiedBy>
  <dcterms:modified xsi:type="dcterms:W3CDTF">2022-09-19T10:03:18Z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D69798E08A53471DA869D46B76A20933</vt:lpwstr>
  </property>
</Properties>
</file>