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opLinePunct/>
        <w:spacing w:before="280" w:after="290" w:line="415" w:lineRule="auto"/>
        <w:jc w:val="center"/>
        <w:outlineLvl w:val="0"/>
        <w:rPr>
          <w:rFonts w:ascii="方正黑体简体" w:hAnsi="Times New Roman" w:eastAsia="方正黑体简体" w:cs="Times New Roman"/>
          <w:b/>
          <w:kern w:val="0"/>
          <w:sz w:val="28"/>
          <w:szCs w:val="28"/>
          <w:lang w:val="zh-CN" w:eastAsia="zh-CN"/>
        </w:rPr>
      </w:pPr>
      <w:r>
        <w:rPr>
          <w:rFonts w:ascii="方正黑体简体" w:hAnsi="Times New Roman" w:eastAsia="方正黑体简体" w:cs="Times New Roman"/>
          <w:b/>
          <w:kern w:val="0"/>
          <w:sz w:val="28"/>
          <w:szCs w:val="28"/>
          <w:lang w:val="zh-CN" w:eastAsia="zh-CN"/>
        </w:rPr>
        <w:t>2021年中国电信股份有限公司泉州分公司全区变压器扩容集中采购项目（第</w:t>
      </w:r>
      <w:r>
        <w:rPr>
          <w:rFonts w:hint="eastAsia" w:ascii="方正黑体简体" w:hAnsi="Times New Roman" w:eastAsia="方正黑体简体" w:cs="Times New Roman"/>
          <w:b/>
          <w:kern w:val="0"/>
          <w:sz w:val="28"/>
          <w:szCs w:val="28"/>
          <w:lang w:val="en-US" w:eastAsia="zh-CN"/>
        </w:rPr>
        <w:t>三</w:t>
      </w:r>
      <w:r>
        <w:rPr>
          <w:rFonts w:ascii="方正黑体简体" w:hAnsi="Times New Roman" w:eastAsia="方正黑体简体" w:cs="Times New Roman"/>
          <w:b/>
          <w:kern w:val="0"/>
          <w:sz w:val="28"/>
          <w:szCs w:val="28"/>
          <w:lang w:val="zh-CN" w:eastAsia="zh-CN"/>
        </w:rPr>
        <w:t>次）</w:t>
      </w:r>
      <w:r>
        <w:rPr>
          <w:rFonts w:hint="eastAsia" w:ascii="方正黑体简体" w:hAnsi="Times New Roman" w:eastAsia="方正黑体简体" w:cs="Times New Roman"/>
          <w:b/>
          <w:kern w:val="0"/>
          <w:sz w:val="28"/>
          <w:szCs w:val="28"/>
          <w:lang w:val="zh-CN" w:eastAsia="zh-CN"/>
        </w:rPr>
        <w:t>招标公告</w:t>
      </w:r>
    </w:p>
    <w:p>
      <w:pPr>
        <w:pStyle w:val="158"/>
        <w:ind w:firstLine="420"/>
        <w:rPr>
          <w:rFonts w:ascii="宋体" w:hAnsi="宋体"/>
          <w:sz w:val="21"/>
        </w:rPr>
      </w:pPr>
      <w:r>
        <w:rPr>
          <w:rFonts w:hint="eastAsia" w:ascii="宋体" w:hAnsi="宋体"/>
          <w:sz w:val="21"/>
        </w:rPr>
        <w:t>本招标项目为（集中招标项目名称：</w:t>
      </w:r>
      <w:r>
        <w:rPr>
          <w:rFonts w:hint="eastAsia" w:ascii="宋体" w:hAnsi="宋体"/>
          <w:sz w:val="21"/>
          <w:lang w:eastAsia="zh-CN"/>
        </w:rPr>
        <w:t>2021年中国电信股份有限公司泉州分公司全区变压器扩容集中采购项目（第三次）</w:t>
      </w:r>
      <w:r>
        <w:rPr>
          <w:rFonts w:hint="eastAsia" w:ascii="宋体" w:hAnsi="宋体"/>
          <w:sz w:val="21"/>
        </w:rPr>
        <w:t>、招标编号：【</w:t>
      </w:r>
      <w:r>
        <w:rPr>
          <w:rFonts w:hint="eastAsia" w:ascii="宋体" w:hAnsi="宋体"/>
          <w:sz w:val="21"/>
          <w:lang w:eastAsia="zh-CN"/>
        </w:rPr>
        <w:t>FJZT-2021-10393</w:t>
      </w:r>
      <w:r>
        <w:rPr>
          <w:rFonts w:hint="eastAsia" w:ascii="宋体" w:hAnsi="宋体"/>
          <w:sz w:val="21"/>
        </w:rPr>
        <w:t>】），招标人为</w:t>
      </w:r>
      <w:r>
        <w:rPr>
          <w:rFonts w:hint="eastAsia" w:ascii="宋体" w:hAnsi="宋体"/>
          <w:sz w:val="21"/>
          <w:u w:val="single"/>
        </w:rPr>
        <w:t>中国电信股份有限公司泉州分公司</w:t>
      </w:r>
      <w:r>
        <w:rPr>
          <w:rFonts w:hint="eastAsia" w:ascii="宋体" w:hAnsi="宋体"/>
          <w:sz w:val="21"/>
        </w:rPr>
        <w:t>，招标代理机构为</w:t>
      </w:r>
      <w:r>
        <w:rPr>
          <w:rFonts w:hint="eastAsia" w:ascii="宋体" w:hAnsi="宋体"/>
          <w:sz w:val="21"/>
          <w:u w:val="single"/>
        </w:rPr>
        <w:t>福建省中通通信物流有限公司</w:t>
      </w:r>
      <w:r>
        <w:rPr>
          <w:rFonts w:hint="eastAsia" w:ascii="宋体" w:hAnsi="宋体"/>
          <w:sz w:val="21"/>
        </w:rPr>
        <w:t>。项目资金由</w:t>
      </w:r>
      <w:r>
        <w:rPr>
          <w:rFonts w:hint="eastAsia" w:ascii="宋体" w:hAnsi="宋体"/>
          <w:sz w:val="21"/>
          <w:u w:val="single"/>
        </w:rPr>
        <w:t>招标人自筹</w:t>
      </w:r>
      <w:r>
        <w:rPr>
          <w:rFonts w:hint="eastAsia" w:ascii="宋体" w:hAnsi="宋体"/>
          <w:sz w:val="21"/>
        </w:rPr>
        <w:t>，资金已落实。项目已具备招标条件，现进行公开招标，有意向的潜在投标人（以下简称投标人）可前来投标。</w:t>
      </w:r>
    </w:p>
    <w:p>
      <w:pPr>
        <w:pStyle w:val="5"/>
        <w:rPr>
          <w:rFonts w:ascii="宋体" w:hAnsi="宋体" w:eastAsia="宋体"/>
          <w:sz w:val="21"/>
          <w:szCs w:val="21"/>
        </w:rPr>
      </w:pPr>
      <w:bookmarkStart w:id="0" w:name="_Toc69994020"/>
      <w:r>
        <w:rPr>
          <w:rFonts w:hint="eastAsia" w:ascii="宋体" w:hAnsi="宋体" w:eastAsia="宋体"/>
          <w:sz w:val="21"/>
          <w:szCs w:val="21"/>
        </w:rPr>
        <w:t>1．招标范围</w:t>
      </w:r>
      <w:bookmarkEnd w:id="0"/>
    </w:p>
    <w:p>
      <w:pPr>
        <w:pStyle w:val="158"/>
        <w:ind w:firstLine="428"/>
        <w:rPr>
          <w:rFonts w:ascii="宋体" w:hAnsi="宋体"/>
          <w:sz w:val="21"/>
          <w:u w:val="single"/>
        </w:rPr>
      </w:pPr>
      <w:r>
        <w:rPr>
          <w:rFonts w:hint="eastAsia" w:ascii="宋体" w:hAnsi="宋体"/>
          <w:bCs/>
          <w:spacing w:val="2"/>
          <w:sz w:val="21"/>
        </w:rPr>
        <w:t xml:space="preserve">1.1  招标范围: </w:t>
      </w:r>
      <w:r>
        <w:rPr>
          <w:rFonts w:hint="eastAsia" w:ascii="宋体" w:hAnsi="宋体"/>
          <w:sz w:val="21"/>
        </w:rPr>
        <w:t>本项目为集中招标项目。</w:t>
      </w:r>
    </w:p>
    <w:p>
      <w:pPr>
        <w:pStyle w:val="105"/>
        <w:spacing w:line="440" w:lineRule="exact"/>
        <w:rPr>
          <w:rFonts w:ascii="宋体" w:hAnsi="宋体"/>
          <w:sz w:val="21"/>
          <w:szCs w:val="21"/>
          <w:lang w:val="en-US" w:eastAsia="zh-CN"/>
        </w:rPr>
      </w:pPr>
      <w:r>
        <w:rPr>
          <w:rFonts w:hint="eastAsia" w:ascii="宋体" w:hAnsi="宋体"/>
          <w:sz w:val="21"/>
          <w:szCs w:val="21"/>
        </w:rPr>
        <w:t>本次集中招标的预估规模</w:t>
      </w:r>
      <w:r>
        <w:rPr>
          <w:rFonts w:hint="eastAsia" w:ascii="宋体" w:hAnsi="宋体"/>
          <w:sz w:val="21"/>
          <w:szCs w:val="21"/>
          <w:lang w:val="en-US" w:eastAsia="zh-CN"/>
        </w:rPr>
        <w:t>本项目预估金额为</w:t>
      </w:r>
      <w:r>
        <w:rPr>
          <w:rFonts w:ascii="宋体" w:hAnsi="宋体"/>
          <w:sz w:val="21"/>
          <w:szCs w:val="21"/>
          <w:lang w:val="en-US" w:eastAsia="zh-CN"/>
        </w:rPr>
        <w:t>850</w:t>
      </w:r>
      <w:r>
        <w:rPr>
          <w:rFonts w:hint="eastAsia" w:ascii="宋体" w:hAnsi="宋体"/>
          <w:sz w:val="21"/>
          <w:szCs w:val="21"/>
          <w:lang w:val="en-US" w:eastAsia="zh-CN"/>
        </w:rPr>
        <w:t>万元人民币（不含税），本项目为包干项目，投标人报价包含项目相关所有过程一切可预见和不可预见的所有费用，</w:t>
      </w:r>
      <w:r>
        <w:rPr>
          <w:rFonts w:ascii="宋体" w:hAnsi="宋体"/>
          <w:sz w:val="21"/>
          <w:szCs w:val="21"/>
          <w:lang w:val="en-US" w:eastAsia="zh-CN"/>
        </w:rPr>
        <w:t>包</w:t>
      </w:r>
      <w:r>
        <w:rPr>
          <w:rFonts w:hint="eastAsia" w:ascii="宋体" w:hAnsi="宋体"/>
          <w:sz w:val="21"/>
          <w:szCs w:val="21"/>
          <w:lang w:val="en-US" w:eastAsia="zh-CN"/>
        </w:rPr>
        <w:t>施工、</w:t>
      </w:r>
      <w:r>
        <w:rPr>
          <w:rFonts w:ascii="宋体" w:hAnsi="宋体"/>
          <w:sz w:val="21"/>
          <w:szCs w:val="21"/>
          <w:lang w:val="en-US" w:eastAsia="zh-CN"/>
        </w:rPr>
        <w:t>设计</w:t>
      </w:r>
      <w:r>
        <w:rPr>
          <w:rFonts w:hint="eastAsia" w:ascii="宋体" w:hAnsi="宋体"/>
          <w:sz w:val="21"/>
          <w:szCs w:val="21"/>
          <w:lang w:val="en-US" w:eastAsia="zh-CN"/>
        </w:rPr>
        <w:t>（含电气部分、土建管道部分）、</w:t>
      </w:r>
      <w:r>
        <w:rPr>
          <w:rFonts w:ascii="宋体" w:hAnsi="宋体"/>
          <w:sz w:val="21"/>
          <w:szCs w:val="21"/>
          <w:lang w:val="en-US" w:eastAsia="zh-CN"/>
        </w:rPr>
        <w:t>包</w:t>
      </w:r>
      <w:r>
        <w:rPr>
          <w:rFonts w:hint="eastAsia" w:ascii="宋体" w:hAnsi="宋体"/>
          <w:sz w:val="21"/>
          <w:szCs w:val="21"/>
          <w:lang w:val="en-US" w:eastAsia="zh-CN"/>
        </w:rPr>
        <w:t>设备</w:t>
      </w:r>
      <w:r>
        <w:rPr>
          <w:rFonts w:ascii="宋体" w:hAnsi="宋体"/>
          <w:sz w:val="21"/>
          <w:szCs w:val="21"/>
          <w:lang w:val="en-US" w:eastAsia="zh-CN"/>
        </w:rPr>
        <w:t>采购</w:t>
      </w:r>
      <w:r>
        <w:rPr>
          <w:rFonts w:hint="eastAsia" w:ascii="宋体" w:hAnsi="宋体"/>
          <w:sz w:val="21"/>
          <w:szCs w:val="21"/>
          <w:lang w:val="en-US" w:eastAsia="zh-CN"/>
        </w:rPr>
        <w:t>、</w:t>
      </w:r>
      <w:r>
        <w:rPr>
          <w:rFonts w:ascii="宋体" w:hAnsi="宋体"/>
          <w:sz w:val="21"/>
          <w:szCs w:val="21"/>
          <w:lang w:val="en-US" w:eastAsia="zh-CN"/>
        </w:rPr>
        <w:t>包安装调试</w:t>
      </w:r>
      <w:r>
        <w:rPr>
          <w:rFonts w:hint="eastAsia" w:ascii="宋体" w:hAnsi="宋体"/>
          <w:sz w:val="21"/>
          <w:szCs w:val="21"/>
          <w:lang w:val="en-US" w:eastAsia="zh-CN"/>
        </w:rPr>
        <w:t>、</w:t>
      </w:r>
      <w:r>
        <w:rPr>
          <w:rFonts w:ascii="宋体" w:hAnsi="宋体"/>
          <w:sz w:val="21"/>
          <w:szCs w:val="21"/>
          <w:lang w:val="en-US" w:eastAsia="zh-CN"/>
        </w:rPr>
        <w:t>包加电</w:t>
      </w:r>
      <w:r>
        <w:rPr>
          <w:rFonts w:hint="eastAsia" w:ascii="宋体" w:hAnsi="宋体"/>
          <w:sz w:val="21"/>
          <w:szCs w:val="21"/>
          <w:lang w:val="en-US" w:eastAsia="zh-CN"/>
        </w:rPr>
        <w:t>，投标时报价应含施工费、设计费、设备费、安装调试费及辅材费用等一切费用。</w:t>
      </w:r>
    </w:p>
    <w:p>
      <w:pPr>
        <w:pStyle w:val="105"/>
        <w:spacing w:line="440" w:lineRule="exact"/>
        <w:rPr>
          <w:rFonts w:ascii="宋体" w:hAnsi="宋体"/>
          <w:sz w:val="21"/>
          <w:szCs w:val="21"/>
        </w:rPr>
      </w:pPr>
      <w:r>
        <w:rPr>
          <w:rFonts w:hint="eastAsia" w:ascii="宋体" w:hAnsi="宋体"/>
          <w:sz w:val="21"/>
          <w:szCs w:val="21"/>
          <w:lang w:val="en-US" w:eastAsia="zh-CN"/>
        </w:rPr>
        <w:t>实施地域：</w:t>
      </w:r>
      <w:r>
        <w:rPr>
          <w:rFonts w:hint="eastAsia" w:ascii="宋体" w:hAnsi="宋体"/>
          <w:sz w:val="21"/>
          <w:szCs w:val="21"/>
        </w:rPr>
        <w:t>福建省泉州市全区。</w:t>
      </w:r>
    </w:p>
    <w:p>
      <w:pPr>
        <w:pStyle w:val="105"/>
        <w:spacing w:line="440" w:lineRule="exact"/>
        <w:rPr>
          <w:rFonts w:ascii="宋体" w:hAnsi="宋体"/>
          <w:sz w:val="21"/>
          <w:szCs w:val="21"/>
          <w:lang w:eastAsia="zh-CN"/>
        </w:rPr>
      </w:pPr>
      <w:r>
        <w:rPr>
          <w:rFonts w:hint="eastAsia" w:ascii="宋体" w:hAnsi="宋体"/>
          <w:sz w:val="21"/>
          <w:szCs w:val="21"/>
          <w:lang w:eastAsia="zh-CN"/>
        </w:rPr>
        <w:t>★计划工期：中标人自收到招标人采购订单之日起50个日历日内全部到货、完成设备安装，并通过电力部门的验收、加电。（投标人有更优承诺的，以投标人更优承诺为准）</w:t>
      </w:r>
    </w:p>
    <w:p>
      <w:pPr>
        <w:pStyle w:val="105"/>
        <w:spacing w:line="440" w:lineRule="exact"/>
        <w:rPr>
          <w:rFonts w:hint="eastAsia" w:ascii="宋体" w:hAnsi="宋体"/>
          <w:sz w:val="21"/>
          <w:szCs w:val="21"/>
          <w:lang w:eastAsia="zh-CN"/>
        </w:rPr>
      </w:pPr>
      <w:r>
        <w:rPr>
          <w:rFonts w:hint="eastAsia" w:ascii="宋体" w:hAnsi="宋体"/>
          <w:sz w:val="21"/>
          <w:szCs w:val="21"/>
          <w:lang w:eastAsia="zh-CN"/>
        </w:rPr>
        <w:t>★设备免费保修期：自验收合格之日起12个月。（投标人有更优承诺的，以投标人更优承诺为准）</w:t>
      </w:r>
    </w:p>
    <w:p>
      <w:pPr>
        <w:pStyle w:val="105"/>
        <w:spacing w:line="440" w:lineRule="exact"/>
        <w:rPr>
          <w:rFonts w:ascii="宋体" w:hAnsi="宋体"/>
          <w:sz w:val="21"/>
          <w:szCs w:val="21"/>
        </w:rPr>
      </w:pPr>
      <w:r>
        <w:rPr>
          <w:rFonts w:hint="eastAsia" w:ascii="宋体" w:hAnsi="宋体"/>
          <w:sz w:val="21"/>
          <w:szCs w:val="21"/>
          <w:lang w:eastAsia="zh-CN"/>
        </w:rPr>
        <w:t>★</w:t>
      </w:r>
      <w:r>
        <w:rPr>
          <w:rFonts w:hint="eastAsia" w:ascii="宋体" w:hAnsi="宋体"/>
          <w:sz w:val="21"/>
          <w:szCs w:val="21"/>
        </w:rPr>
        <w:t>质量标准要求</w:t>
      </w:r>
      <w:r>
        <w:rPr>
          <w:rFonts w:hint="eastAsia" w:ascii="宋体" w:hAnsi="宋体"/>
          <w:sz w:val="21"/>
          <w:szCs w:val="21"/>
          <w:lang w:eastAsia="zh-CN"/>
        </w:rPr>
        <w:t>：</w:t>
      </w:r>
      <w:bookmarkStart w:id="1" w:name="_Hlk67563101"/>
      <w:r>
        <w:rPr>
          <w:rFonts w:hint="eastAsia" w:ascii="宋体" w:hAnsi="宋体"/>
          <w:sz w:val="21"/>
          <w:szCs w:val="21"/>
          <w:lang w:eastAsia="zh-CN"/>
        </w:rPr>
        <w:t>验收合格，达到国家、行业、中国电信相关技术规范标准要求。</w:t>
      </w:r>
      <w:bookmarkEnd w:id="1"/>
    </w:p>
    <w:p>
      <w:pPr>
        <w:pStyle w:val="105"/>
        <w:spacing w:line="440" w:lineRule="exact"/>
        <w:rPr>
          <w:rFonts w:ascii="宋体" w:hAnsi="宋体"/>
          <w:sz w:val="21"/>
          <w:szCs w:val="21"/>
          <w:lang w:eastAsia="zh-CN"/>
        </w:rPr>
      </w:pPr>
      <w:r>
        <w:rPr>
          <w:rFonts w:hint="eastAsia" w:ascii="宋体" w:hAnsi="宋体"/>
          <w:sz w:val="21"/>
          <w:szCs w:val="21"/>
        </w:rPr>
        <w:t>技术标准要求</w:t>
      </w:r>
      <w:r>
        <w:rPr>
          <w:rFonts w:hint="eastAsia" w:ascii="宋体" w:hAnsi="宋体"/>
          <w:sz w:val="21"/>
          <w:szCs w:val="21"/>
          <w:lang w:eastAsia="zh-CN"/>
        </w:rPr>
        <w:t>：详见第六章</w:t>
      </w:r>
      <w:r>
        <w:rPr>
          <w:rFonts w:ascii="宋体" w:hAnsi="宋体"/>
          <w:sz w:val="21"/>
          <w:szCs w:val="21"/>
          <w:lang w:eastAsia="zh-CN"/>
        </w:rPr>
        <w:t>技术标准和要求</w:t>
      </w:r>
      <w:r>
        <w:rPr>
          <w:rFonts w:hint="eastAsia" w:ascii="宋体" w:hAnsi="宋体"/>
          <w:sz w:val="21"/>
          <w:szCs w:val="21"/>
          <w:lang w:eastAsia="zh-CN"/>
        </w:rPr>
        <w:t>。</w:t>
      </w:r>
    </w:p>
    <w:p>
      <w:pPr>
        <w:topLinePunct w:val="0"/>
        <w:spacing w:line="440" w:lineRule="exact"/>
        <w:ind w:firstLine="420" w:firstLineChars="200"/>
        <w:rPr>
          <w:rFonts w:ascii="宋体" w:hAnsi="宋体"/>
          <w:sz w:val="21"/>
          <w:szCs w:val="21"/>
          <w:u w:val="single"/>
        </w:rPr>
      </w:pPr>
      <w:r>
        <w:rPr>
          <w:rFonts w:hint="eastAsia" w:ascii="宋体" w:hAnsi="宋体"/>
          <w:sz w:val="21"/>
          <w:szCs w:val="21"/>
        </w:rPr>
        <w:t>本次集中招标合同有效期为：</w:t>
      </w:r>
      <w:r>
        <w:rPr>
          <w:rFonts w:hint="eastAsia" w:ascii="宋体" w:hAnsi="宋体"/>
          <w:sz w:val="21"/>
          <w:szCs w:val="21"/>
          <w:u w:val="single"/>
        </w:rPr>
        <w:t>【自合同签订生效之日起2年】。</w:t>
      </w:r>
    </w:p>
    <w:tbl>
      <w:tblPr>
        <w:tblStyle w:val="83"/>
        <w:tblW w:w="4997" w:type="pct"/>
        <w:tblInd w:w="0" w:type="dxa"/>
        <w:tblLayout w:type="autofit"/>
        <w:tblCellMar>
          <w:top w:w="0" w:type="dxa"/>
          <w:left w:w="108" w:type="dxa"/>
          <w:bottom w:w="0" w:type="dxa"/>
          <w:right w:w="108" w:type="dxa"/>
        </w:tblCellMar>
      </w:tblPr>
      <w:tblGrid>
        <w:gridCol w:w="510"/>
        <w:gridCol w:w="2128"/>
        <w:gridCol w:w="2348"/>
        <w:gridCol w:w="1638"/>
        <w:gridCol w:w="510"/>
        <w:gridCol w:w="510"/>
        <w:gridCol w:w="878"/>
      </w:tblGrid>
      <w:tr>
        <w:tblPrEx>
          <w:tblCellMar>
            <w:top w:w="0" w:type="dxa"/>
            <w:left w:w="108" w:type="dxa"/>
            <w:bottom w:w="0" w:type="dxa"/>
            <w:right w:w="108" w:type="dxa"/>
          </w:tblCellMar>
        </w:tblPrEx>
        <w:trPr>
          <w:trHeight w:val="570" w:hRule="atLeast"/>
        </w:trPr>
        <w:tc>
          <w:tcPr>
            <w:tcW w:w="2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jc w:val="center"/>
              <w:rPr>
                <w:rFonts w:ascii="宋体" w:hAnsi="宋体" w:cs="宋体"/>
                <w:kern w:val="0"/>
                <w:sz w:val="16"/>
                <w:szCs w:val="16"/>
              </w:rPr>
            </w:pPr>
            <w:r>
              <w:rPr>
                <w:rFonts w:hint="eastAsia" w:ascii="宋体" w:hAnsi="宋体" w:cs="宋体"/>
                <w:kern w:val="0"/>
                <w:sz w:val="16"/>
                <w:szCs w:val="16"/>
              </w:rPr>
              <w:t>序号</w:t>
            </w:r>
          </w:p>
        </w:tc>
        <w:tc>
          <w:tcPr>
            <w:tcW w:w="1249" w:type="pct"/>
            <w:tcBorders>
              <w:top w:val="single" w:color="auto" w:sz="4" w:space="0"/>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【涉及的主要评估产品品类】</w:t>
            </w:r>
          </w:p>
        </w:tc>
        <w:tc>
          <w:tcPr>
            <w:tcW w:w="1380" w:type="pct"/>
            <w:tcBorders>
              <w:top w:val="single" w:color="auto" w:sz="4" w:space="0"/>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产品名称</w:t>
            </w:r>
          </w:p>
        </w:tc>
        <w:tc>
          <w:tcPr>
            <w:tcW w:w="988" w:type="pct"/>
            <w:tcBorders>
              <w:top w:val="single" w:color="auto" w:sz="4" w:space="0"/>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规格型号</w:t>
            </w:r>
          </w:p>
        </w:tc>
        <w:tc>
          <w:tcPr>
            <w:tcW w:w="291" w:type="pct"/>
            <w:tcBorders>
              <w:top w:val="single" w:color="auto" w:sz="4" w:space="0"/>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单位</w:t>
            </w:r>
          </w:p>
        </w:tc>
        <w:tc>
          <w:tcPr>
            <w:tcW w:w="291" w:type="pct"/>
            <w:tcBorders>
              <w:top w:val="single" w:color="auto" w:sz="4" w:space="0"/>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数量</w:t>
            </w:r>
          </w:p>
        </w:tc>
        <w:tc>
          <w:tcPr>
            <w:tcW w:w="508" w:type="pct"/>
            <w:tcBorders>
              <w:top w:val="single" w:color="auto" w:sz="4" w:space="0"/>
              <w:left w:val="nil"/>
              <w:bottom w:val="single" w:color="auto" w:sz="4" w:space="0"/>
              <w:right w:val="single" w:color="auto" w:sz="4" w:space="0"/>
            </w:tcBorders>
            <w:noWrap w:val="0"/>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最高限价：不含税单价（元人民币）</w:t>
            </w:r>
          </w:p>
        </w:tc>
      </w:tr>
      <w:tr>
        <w:tblPrEx>
          <w:tblCellMar>
            <w:top w:w="0" w:type="dxa"/>
            <w:left w:w="108" w:type="dxa"/>
            <w:bottom w:w="0" w:type="dxa"/>
            <w:right w:w="108" w:type="dxa"/>
          </w:tblCellMar>
        </w:tblPrEx>
        <w:trPr>
          <w:trHeight w:val="33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w:t>
            </w:r>
          </w:p>
        </w:tc>
        <w:tc>
          <w:tcPr>
            <w:tcW w:w="1249"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CP00968 变压器</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SCB10-100干式变压器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SCB10-100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40828.00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SCB10-160KVA干式变压器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SCB10-160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45864.00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SCB10-200KVA干式变压器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SCB10-200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50128.00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SCB10-250KVA干式变压器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SCB10-250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56373.00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SCB10-315KVA干式变压器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SCB10-315</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67704.00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SCB10-400KVA干式变压器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SCB10-400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75690.00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7</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SCB10-500KVA干式变压器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SCB10-500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84796.00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SCB10-630KVA干式变压器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SCB10-630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101004.00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9</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SCB10-800KVA干式变压器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SCB10-800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118227.00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SCB10-1000KVA干式变压器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SCB10-1000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140872.00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11</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S13-100KVA油浸式变压器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S13-100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25241.00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12</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S13-160KVA油浸式变压器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S13-160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30677.00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13</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S13-200KVA油浸式变压器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S13-200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33797.00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14</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S13-250KVA油浸式变压器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S13-250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37870.00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15</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S13-315KVA油浸式变压器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S13-315</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51110.00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16</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S13-400KVA油浸式变压器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S13-400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57067.00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17</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S13-500KVA油浸式变压器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S13-500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64400.00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18</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S13-630KVA油浸式变压器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S13-630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77519.00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19</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S13-800KVA油浸式变压器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S13-800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90485.00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20</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100KVA欧式箱式变压器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100KVA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139681.00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21</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160KVA欧式箱式变压器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160KVA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147887.00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22</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200KVA欧式箱式变压器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200KVA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150557.00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23</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250KVA欧式箱式变压器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250KVA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157214.00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24</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315KVA欧式箱式变压器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315KVA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174919.00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25</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400KVA欧式箱式变压器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400KVA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185458.00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26</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500KVA欧式箱式变压器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500KVA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225636.00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27</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630KVA欧式箱式变压器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630KVA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236140.00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28</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800KVA欧式箱式变压器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800KVA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262205.00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29</w:t>
            </w:r>
          </w:p>
        </w:tc>
        <w:tc>
          <w:tcPr>
            <w:tcW w:w="1249"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CP00978 高压配电柜</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高压进线柜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KYN28型</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45000.00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30</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高压计量柜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KYN28型</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33512.00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31</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高压PT柜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KYN28型</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38519.00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32</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高压出线柜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KYN28型</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38912.00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33</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高压进线柜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HXGN型</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24367.00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34</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高压计量柜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HXGN型</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17949.00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35</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高压出线柜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HXGN型</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19249.00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36</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CP01044 室外UPS电源</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1KVAUPS（含电池)</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1KV</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7173.00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37</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CP00978 高压配电柜</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高压操作电源柜（含电池）</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36804.00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38</w:t>
            </w:r>
          </w:p>
        </w:tc>
        <w:tc>
          <w:tcPr>
            <w:tcW w:w="1249" w:type="pct"/>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CP00988 低压配电柜</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300KVar无功补偿柜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300KVar</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22512.00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39</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250KVar无功补偿柜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250KVar</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20266.00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40</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200KVar无功补偿柜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200KVar</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18091.00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41</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150KVar无功补偿柜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150KVar</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17408.00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42</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100KVar无功补偿柜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100KVar</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16076.00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43</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50KVar无功补偿柜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50KVar</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14745.00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44</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30KVar无功补偿柜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30KVar</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14079.00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45</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低压计量柜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23847.00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46</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计量箱</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2890.00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47</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2000A低压进线柜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2000A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58558.00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48</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1600A低压进线柜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1600A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51768.00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49</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1250A低压进线柜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1250A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44296.00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50</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1000A低压进线柜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41490.00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51</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800A低压进线柜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37567.00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52</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630A低压进线柜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630A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36138.00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53</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400A低压进线柜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36138.00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54</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400A低压进线柜（兼计量柜）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23847.00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55</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2000A低压开关柜（GCK抽屉柜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2000A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37508.00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56</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1600A低压开关柜（GCK抽屉柜）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1600A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35537.00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57</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1250A低压开关柜（GCK抽屉柜）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1250A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34490.00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58</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1000A低压开关柜（GCK抽屉柜）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33647.00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59</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800A低压开关柜（GCK抽屉柜）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24933.00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60</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630A低压开关柜（GCK抽屉柜）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630A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24933.00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61</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400A低压开关柜（GCK抽屉柜）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400A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24862.00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62</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2000A低压开关柜（GGD固定柜）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2000A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33470.00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63</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1600A低压开关柜（GGD固定柜）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1600A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24026.00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64</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1250A低压开关柜（GGD固定柜）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1250A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22198.00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65</w:t>
            </w:r>
          </w:p>
        </w:tc>
        <w:tc>
          <w:tcPr>
            <w:tcW w:w="1249" w:type="pct"/>
            <w:vMerge w:val="continue"/>
            <w:tcBorders>
              <w:top w:val="nil"/>
              <w:left w:val="single" w:color="auto" w:sz="4" w:space="0"/>
              <w:bottom w:val="single" w:color="auto" w:sz="4" w:space="0"/>
              <w:right w:val="single" w:color="auto" w:sz="4" w:space="0"/>
            </w:tcBorders>
            <w:noWrap w:val="0"/>
            <w:vAlign w:val="center"/>
          </w:tcPr>
          <w:p>
            <w:pPr>
              <w:widowControl/>
              <w:topLinePunct w:val="0"/>
              <w:jc w:val="left"/>
              <w:rPr>
                <w:rFonts w:ascii="宋体" w:hAnsi="宋体" w:cs="宋体"/>
                <w:kern w:val="0"/>
                <w:sz w:val="16"/>
                <w:szCs w:val="16"/>
              </w:rPr>
            </w:pP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1000A低压开关柜（GGD固定柜）</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1000A</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20929.00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66</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CP00968 变压器</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进线部分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环网柜引接</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套</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16870.00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67</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CP00968 变压器</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进线部分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杆上引接</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套</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10533.00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68</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CP00917 杆路</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12米水泥杆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根</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8850.00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69</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CP00917 杆路</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15米水泥杆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根</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10619.00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70</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CP00917 杆路</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18米水泥杆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根</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13274.00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71</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CP00965镀锌钢管</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镀锌钢管</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265.00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72</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CP00968 变压器</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杆式变压器台架</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架</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13274.00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73</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CP00831 10KV电力电缆</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YJV22-10-3*70高压电缆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YJV22-10-3*70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227.00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74</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CP00831 10KV电力电缆</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ZRYJV22-10-3*70高压电缆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ZRYJV22-10-3*70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227.00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75</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CP00835 1KV以下电力电缆</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ZRYJV-0.6/1kv-4×240低压电缆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ZRYJV-0.6/1kv-4×240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742.00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76</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CP00835 1KV以下电力电缆</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ZRYJV-0.6/1kv-4×185低压电缆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ZRYJV-0.6/1kv-4×185</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573.00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77</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CP00835 1KV以下电力电缆</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ZRYJV-0.6/1kv-4×150低压电缆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ZRYJV-0.6/1kv-4×150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468.00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78</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CP00835 1KV以下电力电缆</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ZRYJV-0.6/1kv-4×120低压电缆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ZRYJV-0.6/1kv-4×120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381.00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79</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CP00835 1KV以下电力电缆</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ZRYJV-0.6/1kv-4×95低压电缆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ZRYJV-0.6/1kv-4×95</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344.00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80</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CP00835 1KV以下电力电缆</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ZRYJV-0.6/1kv-4×70低压电缆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ZRYJV-0.6/1kv-4×70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276.00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81</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CP00968 变压器</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拆除容量250KVA以下变压器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4425.00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82</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CP00968 变压器</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拆除容量315KVA以上变压器</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台</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2</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11504.00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83</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CP00835 1KV以下电力电缆</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柜间连接电缆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ZCYJV-10-3*70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50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214.00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84</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CP00835 1KV以下电力电缆</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柜间连接电缆</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ZCYJV-10-3*50</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30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167.00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86</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CP01610 手套</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高压绝缘手套</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付</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58.00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87</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CP01618 其他劳保和杂项用品</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高压测试笔</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只</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159.00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88</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CP01609 鞋</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高压绝缘鞋</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双</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128.00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89</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CP01618 其他劳保和杂项用品</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绝缘垫</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米</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159.00 </w:t>
            </w:r>
          </w:p>
        </w:tc>
      </w:tr>
      <w:tr>
        <w:tblPrEx>
          <w:tblCellMar>
            <w:top w:w="0" w:type="dxa"/>
            <w:left w:w="108" w:type="dxa"/>
            <w:bottom w:w="0" w:type="dxa"/>
            <w:right w:w="108" w:type="dxa"/>
          </w:tblCellMar>
        </w:tblPrEx>
        <w:trPr>
          <w:trHeight w:val="300" w:hRule="atLeast"/>
        </w:trPr>
        <w:tc>
          <w:tcPr>
            <w:tcW w:w="291" w:type="pct"/>
            <w:tcBorders>
              <w:top w:val="nil"/>
              <w:left w:val="single" w:color="auto" w:sz="4" w:space="0"/>
              <w:bottom w:val="single" w:color="auto" w:sz="4" w:space="0"/>
              <w:right w:val="single" w:color="auto" w:sz="4" w:space="0"/>
            </w:tcBorders>
            <w:shd w:val="clear" w:color="auto" w:fill="auto"/>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90</w:t>
            </w:r>
          </w:p>
        </w:tc>
        <w:tc>
          <w:tcPr>
            <w:tcW w:w="1249" w:type="pct"/>
            <w:tcBorders>
              <w:top w:val="nil"/>
              <w:left w:val="nil"/>
              <w:bottom w:val="single" w:color="auto" w:sz="4" w:space="0"/>
              <w:right w:val="single" w:color="auto" w:sz="4" w:space="0"/>
            </w:tcBorders>
            <w:shd w:val="clear" w:color="000000" w:fill="FFFFFF"/>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CP00968 变压器</w:t>
            </w:r>
          </w:p>
        </w:tc>
        <w:tc>
          <w:tcPr>
            <w:tcW w:w="1380"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模拟图版</w:t>
            </w:r>
          </w:p>
        </w:tc>
        <w:tc>
          <w:tcPr>
            <w:tcW w:w="98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套</w:t>
            </w:r>
          </w:p>
        </w:tc>
        <w:tc>
          <w:tcPr>
            <w:tcW w:w="291"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10</w:t>
            </w:r>
          </w:p>
        </w:tc>
        <w:tc>
          <w:tcPr>
            <w:tcW w:w="508" w:type="pct"/>
            <w:tcBorders>
              <w:top w:val="nil"/>
              <w:left w:val="nil"/>
              <w:bottom w:val="single" w:color="auto" w:sz="4" w:space="0"/>
              <w:right w:val="single" w:color="auto" w:sz="4" w:space="0"/>
            </w:tcBorders>
            <w:noWrap/>
            <w:vAlign w:val="center"/>
          </w:tcPr>
          <w:p>
            <w:pPr>
              <w:widowControl/>
              <w:topLinePunct w:val="0"/>
              <w:jc w:val="center"/>
              <w:rPr>
                <w:rFonts w:hint="eastAsia" w:ascii="宋体" w:hAnsi="宋体" w:cs="宋体"/>
                <w:kern w:val="0"/>
                <w:sz w:val="16"/>
                <w:szCs w:val="16"/>
              </w:rPr>
            </w:pPr>
            <w:r>
              <w:rPr>
                <w:rFonts w:hint="eastAsia" w:ascii="宋体" w:hAnsi="宋体" w:cs="宋体"/>
                <w:kern w:val="0"/>
                <w:sz w:val="16"/>
                <w:szCs w:val="16"/>
              </w:rPr>
              <w:t xml:space="preserve">2389.00 </w:t>
            </w:r>
          </w:p>
        </w:tc>
      </w:tr>
      <w:tr>
        <w:tblPrEx>
          <w:tblCellMar>
            <w:top w:w="0" w:type="dxa"/>
            <w:left w:w="108" w:type="dxa"/>
            <w:bottom w:w="0" w:type="dxa"/>
            <w:right w:w="108" w:type="dxa"/>
          </w:tblCellMar>
        </w:tblPrEx>
        <w:trPr>
          <w:trHeight w:val="380" w:hRule="atLeast"/>
        </w:trPr>
        <w:tc>
          <w:tcPr>
            <w:tcW w:w="5000" w:type="pct"/>
            <w:gridSpan w:val="7"/>
            <w:tcBorders>
              <w:top w:val="nil"/>
              <w:left w:val="single" w:color="auto" w:sz="8" w:space="0"/>
              <w:bottom w:val="nil"/>
              <w:right w:val="single" w:color="000000" w:sz="8" w:space="0"/>
            </w:tcBorders>
            <w:noWrap/>
            <w:vAlign w:val="center"/>
          </w:tcPr>
          <w:p>
            <w:pPr>
              <w:widowControl/>
              <w:topLinePunct w:val="0"/>
              <w:rPr>
                <w:rFonts w:hint="eastAsia" w:ascii="宋体" w:hAnsi="宋体" w:cs="宋体"/>
                <w:kern w:val="0"/>
                <w:sz w:val="16"/>
                <w:szCs w:val="16"/>
              </w:rPr>
            </w:pPr>
            <w:r>
              <w:rPr>
                <w:rFonts w:hint="eastAsia" w:ascii="宋体" w:hAnsi="宋体" w:cs="宋体"/>
                <w:kern w:val="0"/>
                <w:sz w:val="16"/>
                <w:szCs w:val="16"/>
              </w:rPr>
              <w:t>备注：1以上数量仅为预估数量，实际数量以招标人下达的订单数量为准，结算单价以中标人中标单价进行结算；</w:t>
            </w:r>
          </w:p>
        </w:tc>
      </w:tr>
      <w:tr>
        <w:tblPrEx>
          <w:tblCellMar>
            <w:top w:w="0" w:type="dxa"/>
            <w:left w:w="108" w:type="dxa"/>
            <w:bottom w:w="0" w:type="dxa"/>
            <w:right w:w="108" w:type="dxa"/>
          </w:tblCellMar>
        </w:tblPrEx>
        <w:trPr>
          <w:trHeight w:val="330" w:hRule="atLeast"/>
        </w:trPr>
        <w:tc>
          <w:tcPr>
            <w:tcW w:w="5000" w:type="pct"/>
            <w:gridSpan w:val="7"/>
            <w:tcBorders>
              <w:top w:val="nil"/>
              <w:left w:val="single" w:color="auto" w:sz="8" w:space="0"/>
              <w:bottom w:val="single" w:color="auto" w:sz="8" w:space="0"/>
              <w:right w:val="single" w:color="000000" w:sz="8" w:space="0"/>
            </w:tcBorders>
            <w:noWrap/>
            <w:vAlign w:val="center"/>
          </w:tcPr>
          <w:p>
            <w:pPr>
              <w:widowControl/>
              <w:topLinePunct w:val="0"/>
              <w:rPr>
                <w:rFonts w:hint="eastAsia" w:ascii="宋体" w:hAnsi="宋体" w:cs="宋体"/>
                <w:kern w:val="0"/>
                <w:sz w:val="16"/>
                <w:szCs w:val="16"/>
              </w:rPr>
            </w:pPr>
            <w:r>
              <w:rPr>
                <w:rFonts w:hint="eastAsia" w:ascii="宋体" w:hAnsi="宋体" w:cs="宋体"/>
                <w:kern w:val="0"/>
                <w:sz w:val="16"/>
                <w:szCs w:val="16"/>
              </w:rPr>
              <w:t>2.上述所有电缆（上述序号73至80、83、84）结算单价调整规则详见第六章技术标准和要求。</w:t>
            </w:r>
          </w:p>
        </w:tc>
      </w:tr>
    </w:tbl>
    <w:p>
      <w:pPr>
        <w:pStyle w:val="105"/>
        <w:spacing w:line="440" w:lineRule="exact"/>
        <w:jc w:val="left"/>
        <w:rPr>
          <w:rFonts w:ascii="宋体" w:hAnsi="宋体"/>
          <w:sz w:val="21"/>
          <w:szCs w:val="21"/>
        </w:rPr>
      </w:pPr>
      <w:r>
        <w:rPr>
          <w:rFonts w:hint="eastAsia" w:ascii="宋体" w:hAnsi="宋体"/>
          <w:sz w:val="21"/>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 w:val="21"/>
          <w:szCs w:val="21"/>
        </w:rPr>
        <w:t>无涉及的评估产品品类的，针对具体产品品类的处理结果均不适用，仅适用针对供应商的处理结果</w:t>
      </w:r>
      <w:r>
        <w:rPr>
          <w:rFonts w:hint="eastAsia" w:ascii="宋体" w:hAnsi="宋体"/>
          <w:sz w:val="21"/>
          <w:szCs w:val="21"/>
        </w:rPr>
        <w:t>。请务必登录中国电信阳光采购网查阅《中国电信供应商不良行为管理规则》（具体网址链接：</w:t>
      </w:r>
      <w:r>
        <w:rPr>
          <w:rFonts w:ascii="宋体" w:hAnsi="宋体"/>
          <w:sz w:val="21"/>
          <w:szCs w:val="21"/>
        </w:rPr>
        <w:fldChar w:fldCharType="begin"/>
      </w:r>
      <w:r>
        <w:rPr>
          <w:rFonts w:ascii="宋体" w:hAnsi="宋体"/>
          <w:sz w:val="21"/>
          <w:szCs w:val="21"/>
        </w:rPr>
        <w:instrText xml:space="preserve">HYPERLINK "https://caigou.chinatelecom.com.cn/MSS-PORTAL/news/displayNews.do?id=97010&amp;enString=a0af62f1b5009c69b3bd1b2253e1538f"</w:instrText>
      </w:r>
      <w:r>
        <w:rPr>
          <w:rFonts w:ascii="宋体" w:hAnsi="宋体"/>
          <w:sz w:val="21"/>
          <w:szCs w:val="21"/>
        </w:rPr>
        <w:fldChar w:fldCharType="separate"/>
      </w:r>
      <w:r>
        <w:rPr>
          <w:rFonts w:ascii="宋体" w:hAnsi="宋体"/>
          <w:sz w:val="21"/>
          <w:szCs w:val="21"/>
        </w:rPr>
        <w:t>https://caigou.chinatelecom.com.cn/MSS-PORTAL/news/displayNews.do?id=97010&amp;enString=a0af62f1b5009c69b3bd1b2253e1538f</w:t>
      </w:r>
      <w:r>
        <w:rPr>
          <w:rFonts w:ascii="宋体" w:hAnsi="宋体"/>
          <w:sz w:val="21"/>
          <w:szCs w:val="21"/>
        </w:rPr>
        <w:fldChar w:fldCharType="end"/>
      </w:r>
      <w:r>
        <w:rPr>
          <w:rFonts w:hint="eastAsia" w:ascii="宋体" w:hAnsi="宋体"/>
          <w:sz w:val="21"/>
          <w:szCs w:val="21"/>
        </w:rPr>
        <w:t>）。</w:t>
      </w:r>
    </w:p>
    <w:p>
      <w:pPr>
        <w:pStyle w:val="158"/>
        <w:ind w:firstLine="420"/>
        <w:rPr>
          <w:rFonts w:ascii="宋体" w:hAnsi="宋体"/>
          <w:sz w:val="21"/>
        </w:rPr>
      </w:pPr>
      <w:r>
        <w:rPr>
          <w:rFonts w:hint="eastAsia" w:ascii="宋体" w:hAnsi="宋体"/>
          <w:sz w:val="21"/>
        </w:rPr>
        <w:t xml:space="preserve">1.2  </w:t>
      </w:r>
      <w:r>
        <w:rPr>
          <w:rFonts w:ascii="宋体" w:hAnsi="宋体"/>
          <w:sz w:val="21"/>
        </w:rPr>
        <w:t>承包方式：</w:t>
      </w:r>
      <w:r>
        <w:rPr>
          <w:rFonts w:hint="eastAsia" w:ascii="宋体" w:hAnsi="宋体"/>
          <w:sz w:val="21"/>
        </w:rPr>
        <w:t>包工包料</w:t>
      </w:r>
    </w:p>
    <w:p>
      <w:pPr>
        <w:pStyle w:val="158"/>
        <w:ind w:firstLine="420"/>
        <w:rPr>
          <w:rFonts w:ascii="宋体" w:hAnsi="宋体"/>
          <w:sz w:val="21"/>
        </w:rPr>
      </w:pPr>
      <w:r>
        <w:rPr>
          <w:rFonts w:hint="eastAsia" w:ascii="宋体" w:hAnsi="宋体"/>
          <w:sz w:val="21"/>
        </w:rPr>
        <w:t>1.</w:t>
      </w:r>
      <w:r>
        <w:rPr>
          <w:rFonts w:ascii="宋体" w:hAnsi="宋体"/>
          <w:sz w:val="21"/>
        </w:rPr>
        <w:t>3</w:t>
      </w:r>
      <w:r>
        <w:rPr>
          <w:rFonts w:hint="eastAsia" w:ascii="宋体" w:hAnsi="宋体"/>
          <w:sz w:val="21"/>
        </w:rPr>
        <w:t xml:space="preserve">  本项目不划分标段。</w:t>
      </w:r>
    </w:p>
    <w:p>
      <w:pPr>
        <w:pStyle w:val="158"/>
        <w:ind w:firstLine="420"/>
        <w:rPr>
          <w:rStyle w:val="91"/>
          <w:rFonts w:ascii="宋体" w:hAnsi="宋体"/>
        </w:rPr>
      </w:pPr>
      <w:r>
        <w:rPr>
          <w:rFonts w:hint="eastAsia" w:ascii="宋体" w:hAnsi="宋体"/>
          <w:sz w:val="21"/>
        </w:rPr>
        <w:t>1.</w:t>
      </w:r>
      <w:r>
        <w:rPr>
          <w:rFonts w:ascii="宋体" w:hAnsi="宋体"/>
          <w:sz w:val="21"/>
        </w:rPr>
        <w:t>4</w:t>
      </w:r>
      <w:r>
        <w:rPr>
          <w:rFonts w:hint="eastAsia" w:ascii="宋体" w:hAnsi="宋体"/>
          <w:sz w:val="21"/>
        </w:rPr>
        <w:t xml:space="preserve">  本项目中标人数量为</w:t>
      </w:r>
      <w:r>
        <w:rPr>
          <w:rFonts w:hint="eastAsia" w:ascii="宋体" w:hAnsi="宋体"/>
          <w:sz w:val="21"/>
          <w:u w:val="single"/>
        </w:rPr>
        <w:t xml:space="preserve"> </w:t>
      </w:r>
      <w:r>
        <w:rPr>
          <w:rFonts w:ascii="宋体" w:hAnsi="宋体"/>
          <w:sz w:val="21"/>
          <w:u w:val="single"/>
        </w:rPr>
        <w:t>1</w:t>
      </w:r>
      <w:r>
        <w:rPr>
          <w:rFonts w:hint="eastAsia" w:ascii="宋体" w:hAnsi="宋体"/>
          <w:sz w:val="21"/>
        </w:rPr>
        <w:t>个，每个中标人对应的份额如</w:t>
      </w:r>
      <w:r>
        <w:rPr>
          <w:rStyle w:val="91"/>
          <w:rFonts w:hint="eastAsia" w:ascii="宋体" w:hAnsi="宋体"/>
        </w:rPr>
        <w:t>下：</w:t>
      </w:r>
      <w:r>
        <w:rPr>
          <w:rStyle w:val="91"/>
          <w:rFonts w:ascii="宋体" w:hAnsi="宋体"/>
        </w:rPr>
        <w:t xml:space="preserve"> </w:t>
      </w:r>
    </w:p>
    <w:tbl>
      <w:tblPr>
        <w:tblStyle w:val="83"/>
        <w:tblW w:w="8363" w:type="dxa"/>
        <w:tblInd w:w="108" w:type="dxa"/>
        <w:tblLayout w:type="autofit"/>
        <w:tblCellMar>
          <w:top w:w="0" w:type="dxa"/>
          <w:left w:w="108" w:type="dxa"/>
          <w:bottom w:w="0" w:type="dxa"/>
          <w:right w:w="108" w:type="dxa"/>
        </w:tblCellMar>
      </w:tblPr>
      <w:tblGrid>
        <w:gridCol w:w="851"/>
        <w:gridCol w:w="1276"/>
        <w:gridCol w:w="3402"/>
        <w:gridCol w:w="2834"/>
      </w:tblGrid>
      <w:tr>
        <w:tblPrEx>
          <w:tblCellMar>
            <w:top w:w="0" w:type="dxa"/>
            <w:left w:w="108" w:type="dxa"/>
            <w:bottom w:w="0" w:type="dxa"/>
            <w:right w:w="108" w:type="dxa"/>
          </w:tblCellMar>
        </w:tblPrEx>
        <w:trPr>
          <w:trHeight w:val="270" w:hRule="atLeast"/>
          <w:tblHeader/>
        </w:trPr>
        <w:tc>
          <w:tcPr>
            <w:tcW w:w="851" w:type="dxa"/>
            <w:tcBorders>
              <w:top w:val="single" w:color="auto" w:sz="4" w:space="0"/>
              <w:left w:val="single" w:color="auto" w:sz="4" w:space="0"/>
              <w:bottom w:val="single" w:color="auto" w:sz="4" w:space="0"/>
              <w:right w:val="single" w:color="auto" w:sz="4" w:space="0"/>
            </w:tcBorders>
            <w:shd w:val="clear" w:color="000000" w:fill="F2F2F2"/>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序号</w:t>
            </w:r>
          </w:p>
        </w:tc>
        <w:tc>
          <w:tcPr>
            <w:tcW w:w="1276" w:type="dxa"/>
            <w:tcBorders>
              <w:top w:val="single" w:color="auto" w:sz="4" w:space="0"/>
              <w:left w:val="nil"/>
              <w:bottom w:val="single" w:color="auto" w:sz="4" w:space="0"/>
              <w:right w:val="single" w:color="auto" w:sz="4" w:space="0"/>
            </w:tcBorders>
            <w:shd w:val="clear" w:color="000000" w:fill="F2F2F2"/>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综合排名</w:t>
            </w:r>
          </w:p>
        </w:tc>
        <w:tc>
          <w:tcPr>
            <w:tcW w:w="3402" w:type="dxa"/>
            <w:tcBorders>
              <w:top w:val="single" w:color="auto" w:sz="4" w:space="0"/>
              <w:left w:val="nil"/>
              <w:bottom w:val="single" w:color="auto" w:sz="4" w:space="0"/>
              <w:right w:val="single" w:color="auto" w:sz="4" w:space="0"/>
            </w:tcBorders>
            <w:shd w:val="clear" w:color="000000" w:fill="F2F2F2"/>
            <w:noWrap w:val="0"/>
            <w:vAlign w:val="top"/>
          </w:tcPr>
          <w:p>
            <w:pPr>
              <w:widowControl/>
              <w:topLinePunct w:val="0"/>
              <w:jc w:val="center"/>
              <w:rPr>
                <w:rFonts w:ascii="宋体" w:hAnsi="宋体" w:cs="宋体"/>
                <w:kern w:val="0"/>
                <w:sz w:val="21"/>
                <w:szCs w:val="21"/>
              </w:rPr>
            </w:pPr>
            <w:r>
              <w:rPr>
                <w:rFonts w:hint="eastAsia" w:ascii="宋体" w:hAnsi="宋体" w:cs="宋体"/>
                <w:kern w:val="0"/>
                <w:sz w:val="21"/>
                <w:szCs w:val="21"/>
              </w:rPr>
              <w:t>中标份额</w:t>
            </w:r>
          </w:p>
        </w:tc>
        <w:tc>
          <w:tcPr>
            <w:tcW w:w="2834" w:type="dxa"/>
            <w:tcBorders>
              <w:top w:val="single" w:color="auto" w:sz="4" w:space="0"/>
              <w:left w:val="nil"/>
              <w:bottom w:val="single" w:color="auto" w:sz="4" w:space="0"/>
              <w:right w:val="single" w:color="auto" w:sz="4" w:space="0"/>
            </w:tcBorders>
            <w:shd w:val="clear" w:color="000000" w:fill="F2F2F2"/>
            <w:noWrap w:val="0"/>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备注</w:t>
            </w: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1</w:t>
            </w:r>
          </w:p>
        </w:tc>
        <w:tc>
          <w:tcPr>
            <w:tcW w:w="1276" w:type="dxa"/>
            <w:tcBorders>
              <w:top w:val="nil"/>
              <w:left w:val="nil"/>
              <w:bottom w:val="single" w:color="auto" w:sz="4" w:space="0"/>
              <w:right w:val="single" w:color="auto" w:sz="4" w:space="0"/>
            </w:tcBorders>
            <w:noWrap/>
            <w:vAlign w:val="bottom"/>
          </w:tcPr>
          <w:p>
            <w:pPr>
              <w:widowControl/>
              <w:topLinePunct w:val="0"/>
              <w:jc w:val="center"/>
              <w:rPr>
                <w:rFonts w:ascii="宋体" w:hAnsi="宋体" w:cs="宋体"/>
                <w:kern w:val="0"/>
                <w:sz w:val="21"/>
                <w:szCs w:val="21"/>
              </w:rPr>
            </w:pPr>
            <w:r>
              <w:rPr>
                <w:rFonts w:hint="eastAsia" w:ascii="宋体" w:hAnsi="宋体" w:cs="宋体"/>
                <w:kern w:val="0"/>
                <w:sz w:val="21"/>
                <w:szCs w:val="21"/>
              </w:rPr>
              <w:t>第一名</w:t>
            </w:r>
          </w:p>
        </w:tc>
        <w:tc>
          <w:tcPr>
            <w:tcW w:w="3402" w:type="dxa"/>
            <w:tcBorders>
              <w:top w:val="single" w:color="auto" w:sz="4" w:space="0"/>
              <w:left w:val="nil"/>
              <w:bottom w:val="single" w:color="auto" w:sz="4" w:space="0"/>
              <w:right w:val="single" w:color="auto" w:sz="4" w:space="0"/>
            </w:tcBorders>
            <w:noWrap w:val="0"/>
            <w:vAlign w:val="top"/>
          </w:tcPr>
          <w:p>
            <w:pPr>
              <w:widowControl/>
              <w:topLinePunct w:val="0"/>
              <w:jc w:val="left"/>
              <w:rPr>
                <w:rFonts w:ascii="宋体" w:hAnsi="宋体" w:cs="宋体"/>
                <w:kern w:val="0"/>
                <w:sz w:val="21"/>
                <w:szCs w:val="21"/>
              </w:rPr>
            </w:pPr>
            <w:r>
              <w:rPr>
                <w:rFonts w:hint="eastAsia" w:ascii="宋体" w:hAnsi="宋体" w:cs="宋体"/>
                <w:kern w:val="0"/>
                <w:sz w:val="21"/>
                <w:szCs w:val="21"/>
              </w:rPr>
              <w:t>1</w:t>
            </w:r>
            <w:r>
              <w:rPr>
                <w:rFonts w:ascii="宋体" w:hAnsi="宋体" w:cs="宋体"/>
                <w:kern w:val="0"/>
                <w:sz w:val="21"/>
                <w:szCs w:val="21"/>
              </w:rPr>
              <w:t>00</w:t>
            </w:r>
            <w:r>
              <w:rPr>
                <w:rFonts w:hint="eastAsia" w:ascii="宋体" w:hAnsi="宋体" w:cs="宋体"/>
                <w:kern w:val="0"/>
                <w:sz w:val="21"/>
                <w:szCs w:val="21"/>
              </w:rPr>
              <w:t>%【</w:t>
            </w:r>
            <w:r>
              <w:rPr>
                <w:rFonts w:ascii="宋体" w:hAnsi="宋体" w:cs="宋体"/>
                <w:kern w:val="0"/>
                <w:sz w:val="21"/>
                <w:szCs w:val="21"/>
              </w:rPr>
              <w:t>850</w:t>
            </w:r>
            <w:r>
              <w:rPr>
                <w:rFonts w:hint="eastAsia" w:ascii="宋体" w:hAnsi="宋体" w:cs="宋体"/>
                <w:kern w:val="0"/>
                <w:sz w:val="21"/>
                <w:szCs w:val="21"/>
              </w:rPr>
              <w:t>万元（不含税）】</w:t>
            </w:r>
          </w:p>
        </w:tc>
        <w:tc>
          <w:tcPr>
            <w:tcW w:w="2834" w:type="dxa"/>
            <w:tcBorders>
              <w:top w:val="nil"/>
              <w:left w:val="nil"/>
              <w:bottom w:val="single" w:color="auto" w:sz="4" w:space="0"/>
              <w:right w:val="single" w:color="auto" w:sz="4" w:space="0"/>
            </w:tcBorders>
            <w:noWrap w:val="0"/>
            <w:vAlign w:val="bottom"/>
          </w:tcPr>
          <w:p>
            <w:pPr>
              <w:widowControl/>
              <w:topLinePunct w:val="0"/>
              <w:jc w:val="left"/>
              <w:rPr>
                <w:rFonts w:ascii="宋体" w:hAnsi="宋体" w:cs="宋体"/>
                <w:kern w:val="0"/>
                <w:sz w:val="21"/>
                <w:szCs w:val="21"/>
              </w:rPr>
            </w:pPr>
            <w:r>
              <w:rPr>
                <w:rFonts w:hint="eastAsia" w:ascii="宋体" w:hAnsi="宋体"/>
                <w:sz w:val="21"/>
                <w:szCs w:val="21"/>
              </w:rPr>
              <w:t>福建省泉州市全区</w:t>
            </w:r>
          </w:p>
        </w:tc>
      </w:tr>
    </w:tbl>
    <w:p>
      <w:pPr>
        <w:pStyle w:val="158"/>
        <w:ind w:firstLine="420"/>
        <w:rPr>
          <w:rFonts w:ascii="宋体" w:hAnsi="宋体"/>
          <w:sz w:val="21"/>
        </w:rPr>
      </w:pPr>
      <w:r>
        <w:rPr>
          <w:rFonts w:hint="eastAsia" w:ascii="宋体" w:hAnsi="宋体"/>
          <w:sz w:val="21"/>
        </w:rPr>
        <w:t>1.</w:t>
      </w:r>
      <w:r>
        <w:rPr>
          <w:rFonts w:ascii="宋体" w:hAnsi="宋体"/>
          <w:sz w:val="21"/>
        </w:rPr>
        <w:t>5</w:t>
      </w:r>
      <w:r>
        <w:rPr>
          <w:rFonts w:hint="eastAsia" w:ascii="宋体" w:hAnsi="宋体"/>
          <w:sz w:val="21"/>
        </w:rPr>
        <w:t xml:space="preserve">  本项目设置最高投标限价，最高投标限价详见公告1</w:t>
      </w:r>
      <w:r>
        <w:rPr>
          <w:rFonts w:ascii="宋体" w:hAnsi="宋体"/>
          <w:sz w:val="21"/>
        </w:rPr>
        <w:t>.1</w:t>
      </w:r>
      <w:r>
        <w:rPr>
          <w:rFonts w:hint="eastAsia" w:ascii="宋体" w:hAnsi="宋体"/>
          <w:sz w:val="21"/>
        </w:rPr>
        <w:t>，投标人投标报价任一项高于最高投标限价的，其投标将被否决。</w:t>
      </w:r>
    </w:p>
    <w:p>
      <w:pPr>
        <w:pStyle w:val="5"/>
        <w:rPr>
          <w:rFonts w:ascii="宋体" w:hAnsi="宋体" w:eastAsia="宋体"/>
          <w:sz w:val="21"/>
          <w:szCs w:val="21"/>
        </w:rPr>
      </w:pPr>
      <w:bookmarkStart w:id="2" w:name="_Toc69994021"/>
      <w:r>
        <w:rPr>
          <w:rFonts w:hint="eastAsia" w:ascii="宋体" w:hAnsi="宋体" w:eastAsia="宋体"/>
          <w:sz w:val="21"/>
          <w:szCs w:val="21"/>
        </w:rPr>
        <w:t>2．投标人资格要求</w:t>
      </w:r>
      <w:bookmarkEnd w:id="2"/>
    </w:p>
    <w:p>
      <w:pPr>
        <w:tabs>
          <w:tab w:val="left" w:pos="993"/>
        </w:tabs>
        <w:topLinePunct w:val="0"/>
        <w:adjustRightInd w:val="0"/>
        <w:snapToGrid w:val="0"/>
        <w:spacing w:line="440" w:lineRule="exact"/>
        <w:ind w:firstLine="420" w:firstLineChars="200"/>
        <w:rPr>
          <w:rFonts w:ascii="宋体" w:hAnsi="宋体"/>
          <w:sz w:val="21"/>
          <w:szCs w:val="21"/>
        </w:rPr>
      </w:pPr>
      <w:r>
        <w:rPr>
          <w:rFonts w:hint="eastAsia" w:ascii="宋体" w:hAnsi="宋体"/>
          <w:sz w:val="21"/>
          <w:szCs w:val="21"/>
        </w:rPr>
        <w:t>2.1  投标人应为中华人民共和国境内（不含香港、澳门、台湾地区）法律上和财务上独立的法人，合法运作并独立于招标人和招标代理机构</w:t>
      </w:r>
      <w:r>
        <w:rPr>
          <w:rFonts w:ascii="宋体" w:hAnsi="宋体"/>
          <w:sz w:val="21"/>
          <w:szCs w:val="21"/>
        </w:rPr>
        <w:t>。</w:t>
      </w:r>
    </w:p>
    <w:p>
      <w:pPr>
        <w:tabs>
          <w:tab w:val="left" w:pos="993"/>
        </w:tabs>
        <w:topLinePunct w:val="0"/>
        <w:adjustRightInd w:val="0"/>
        <w:snapToGrid w:val="0"/>
        <w:spacing w:line="440" w:lineRule="exact"/>
        <w:ind w:firstLine="420" w:firstLineChars="200"/>
        <w:rPr>
          <w:rFonts w:hint="eastAsia" w:ascii="宋体" w:hAnsi="宋体"/>
          <w:sz w:val="21"/>
          <w:szCs w:val="21"/>
        </w:rPr>
      </w:pPr>
      <w:r>
        <w:rPr>
          <w:rFonts w:hint="eastAsia" w:ascii="宋体" w:hAnsi="宋体"/>
          <w:sz w:val="21"/>
          <w:szCs w:val="21"/>
        </w:rPr>
        <w:t>2</w:t>
      </w:r>
      <w:r>
        <w:rPr>
          <w:rFonts w:ascii="宋体" w:hAnsi="宋体"/>
          <w:sz w:val="21"/>
          <w:szCs w:val="21"/>
        </w:rPr>
        <w:t>.2</w:t>
      </w:r>
      <w:r>
        <w:rPr>
          <w:rFonts w:hint="eastAsia" w:ascii="宋体" w:hAnsi="宋体"/>
          <w:sz w:val="21"/>
          <w:szCs w:val="21"/>
        </w:rPr>
        <w:t>投标人的法定代表人或负责人为同一人或者存在控股、管理关系的不同投标人，不得参加同一标段投标或者未划分标段的同一招标项目投标。</w:t>
      </w:r>
    </w:p>
    <w:p>
      <w:pPr>
        <w:tabs>
          <w:tab w:val="left" w:pos="993"/>
        </w:tabs>
        <w:topLinePunct w:val="0"/>
        <w:adjustRightInd w:val="0"/>
        <w:snapToGrid w:val="0"/>
        <w:spacing w:line="440" w:lineRule="exact"/>
        <w:ind w:firstLine="420" w:firstLineChars="200"/>
        <w:rPr>
          <w:rFonts w:ascii="宋体" w:hAnsi="宋体"/>
          <w:sz w:val="21"/>
          <w:szCs w:val="21"/>
        </w:rPr>
      </w:pPr>
      <w:r>
        <w:rPr>
          <w:rFonts w:hint="eastAsia" w:ascii="宋体" w:hAnsi="宋体"/>
          <w:sz w:val="21"/>
          <w:szCs w:val="21"/>
        </w:rPr>
        <w:t>2</w:t>
      </w:r>
      <w:r>
        <w:rPr>
          <w:rFonts w:ascii="宋体" w:hAnsi="宋体"/>
          <w:sz w:val="21"/>
          <w:szCs w:val="21"/>
        </w:rPr>
        <w:t>.3</w:t>
      </w:r>
      <w:r>
        <w:rPr>
          <w:rFonts w:hint="eastAsia" w:ascii="宋体" w:hAnsi="宋体"/>
          <w:sz w:val="21"/>
          <w:szCs w:val="21"/>
        </w:rPr>
        <w:t>本次招标不接受联合体投标。</w:t>
      </w:r>
    </w:p>
    <w:p>
      <w:pPr>
        <w:tabs>
          <w:tab w:val="left" w:pos="993"/>
        </w:tabs>
        <w:topLinePunct w:val="0"/>
        <w:adjustRightInd w:val="0"/>
        <w:snapToGrid w:val="0"/>
        <w:spacing w:line="440" w:lineRule="exact"/>
        <w:ind w:firstLine="420" w:firstLineChars="200"/>
        <w:rPr>
          <w:rFonts w:ascii="宋体" w:hAnsi="宋体"/>
          <w:sz w:val="21"/>
          <w:szCs w:val="21"/>
        </w:rPr>
      </w:pPr>
      <w:r>
        <w:rPr>
          <w:rFonts w:ascii="宋体" w:hAnsi="宋体"/>
          <w:sz w:val="21"/>
          <w:szCs w:val="21"/>
        </w:rPr>
        <w:t>2.4</w:t>
      </w:r>
      <w:r>
        <w:rPr>
          <w:rFonts w:hint="eastAsia" w:ascii="宋体" w:hAnsi="宋体"/>
          <w:sz w:val="21"/>
          <w:szCs w:val="21"/>
        </w:rPr>
        <w:t>本次招标设备（除干式变压器、油浸式变压器、U</w:t>
      </w:r>
      <w:r>
        <w:rPr>
          <w:rFonts w:ascii="宋体" w:hAnsi="宋体"/>
          <w:sz w:val="21"/>
          <w:szCs w:val="21"/>
        </w:rPr>
        <w:t>PS</w:t>
      </w:r>
      <w:r>
        <w:rPr>
          <w:rFonts w:hint="eastAsia" w:ascii="宋体" w:hAnsi="宋体"/>
          <w:sz w:val="21"/>
          <w:szCs w:val="21"/>
        </w:rPr>
        <w:t>电源、高压操作电源柜外）不接受代理商投标。</w:t>
      </w:r>
    </w:p>
    <w:p>
      <w:pPr>
        <w:tabs>
          <w:tab w:val="left" w:pos="993"/>
        </w:tabs>
        <w:topLinePunct w:val="0"/>
        <w:adjustRightInd w:val="0"/>
        <w:snapToGrid w:val="0"/>
        <w:spacing w:line="440" w:lineRule="exact"/>
        <w:ind w:firstLine="420" w:firstLineChars="200"/>
        <w:rPr>
          <w:rFonts w:ascii="宋体" w:hAnsi="宋体"/>
          <w:sz w:val="21"/>
          <w:szCs w:val="21"/>
        </w:rPr>
      </w:pPr>
      <w:r>
        <w:rPr>
          <w:rFonts w:hint="eastAsia" w:ascii="宋体" w:hAnsi="宋体"/>
          <w:sz w:val="21"/>
          <w:szCs w:val="21"/>
        </w:rPr>
        <w:t>2</w:t>
      </w:r>
      <w:r>
        <w:rPr>
          <w:rFonts w:ascii="宋体" w:hAnsi="宋体"/>
          <w:sz w:val="21"/>
          <w:szCs w:val="21"/>
        </w:rPr>
        <w:t>.5</w:t>
      </w:r>
      <w:r>
        <w:rPr>
          <w:rFonts w:hint="eastAsia" w:ascii="宋体" w:hAnsi="宋体"/>
          <w:sz w:val="21"/>
          <w:szCs w:val="21"/>
        </w:rPr>
        <w:t>投标人须具备：建设行政主管部门核发有效的电力工程施工总承包企业三级以上（含三级）资质或输变电工程专业承包三级以上（含三级）资质【如投标人已按国家发布的《建设工程企业资质管理制度改革方案》进行换证，应具备建设行政主管部门核发有效的电力工程施工总承包企业乙级以上（含乙级）资质或输变电工程专业承包乙级以上（含乙级）资质】；</w:t>
      </w:r>
    </w:p>
    <w:p>
      <w:pPr>
        <w:tabs>
          <w:tab w:val="left" w:pos="993"/>
        </w:tabs>
        <w:topLinePunct w:val="0"/>
        <w:adjustRightInd w:val="0"/>
        <w:snapToGrid w:val="0"/>
        <w:spacing w:line="440" w:lineRule="exact"/>
        <w:ind w:firstLine="420" w:firstLineChars="200"/>
        <w:rPr>
          <w:rFonts w:ascii="宋体" w:hAnsi="宋体"/>
          <w:sz w:val="21"/>
          <w:szCs w:val="21"/>
        </w:rPr>
      </w:pPr>
      <w:r>
        <w:rPr>
          <w:rFonts w:ascii="宋体" w:hAnsi="宋体"/>
          <w:sz w:val="21"/>
          <w:szCs w:val="21"/>
        </w:rPr>
        <w:t>2.6</w:t>
      </w:r>
      <w:r>
        <w:rPr>
          <w:rFonts w:hint="eastAsia" w:ascii="宋体" w:hAnsi="宋体"/>
          <w:sz w:val="21"/>
          <w:szCs w:val="21"/>
        </w:rPr>
        <w:t>投标人须具备：行政主管部门颁发的有效的《中华人民共和国承装（修、试）电力设施许可证》：承装、承修、承试三级以上（含三级）资质；</w:t>
      </w:r>
    </w:p>
    <w:p>
      <w:pPr>
        <w:tabs>
          <w:tab w:val="left" w:pos="993"/>
        </w:tabs>
        <w:topLinePunct w:val="0"/>
        <w:adjustRightInd w:val="0"/>
        <w:snapToGrid w:val="0"/>
        <w:spacing w:line="440" w:lineRule="exact"/>
        <w:ind w:firstLine="420" w:firstLineChars="200"/>
        <w:rPr>
          <w:rFonts w:ascii="宋体" w:hAnsi="宋体"/>
          <w:sz w:val="21"/>
          <w:szCs w:val="21"/>
        </w:rPr>
      </w:pPr>
      <w:r>
        <w:rPr>
          <w:rFonts w:ascii="宋体" w:hAnsi="宋体"/>
          <w:sz w:val="21"/>
          <w:szCs w:val="21"/>
        </w:rPr>
        <w:t>2.7</w:t>
      </w:r>
      <w:r>
        <w:rPr>
          <w:rFonts w:hint="eastAsia" w:ascii="宋体" w:hAnsi="宋体"/>
          <w:sz w:val="21"/>
          <w:szCs w:val="21"/>
        </w:rPr>
        <w:t>投标人须具备：建设行政主管部门核发有效的《安全生产许可证》。</w:t>
      </w:r>
    </w:p>
    <w:p>
      <w:pPr>
        <w:pStyle w:val="158"/>
        <w:ind w:firstLine="420"/>
        <w:rPr>
          <w:rFonts w:ascii="宋体" w:hAnsi="宋体"/>
          <w:sz w:val="21"/>
        </w:rPr>
      </w:pPr>
      <w:r>
        <w:rPr>
          <w:rFonts w:hint="eastAsia" w:ascii="宋体" w:hAnsi="宋体"/>
          <w:sz w:val="21"/>
        </w:rPr>
        <w:t>2.</w:t>
      </w:r>
      <w:r>
        <w:rPr>
          <w:rFonts w:ascii="宋体" w:hAnsi="宋体"/>
          <w:sz w:val="21"/>
        </w:rPr>
        <w:t>8</w:t>
      </w:r>
      <w:r>
        <w:rPr>
          <w:rFonts w:hint="eastAsia" w:ascii="宋体" w:hAnsi="宋体"/>
          <w:sz w:val="21"/>
        </w:rPr>
        <w:t xml:space="preserve"> 本项目要求投标人具备以下人员要求：</w:t>
      </w:r>
    </w:p>
    <w:p>
      <w:pPr>
        <w:pStyle w:val="158"/>
        <w:ind w:firstLine="420"/>
        <w:rPr>
          <w:rFonts w:ascii="宋体" w:hAnsi="宋体"/>
          <w:sz w:val="21"/>
        </w:rPr>
      </w:pPr>
      <w:r>
        <w:rPr>
          <w:rFonts w:hint="eastAsia" w:ascii="宋体" w:hAnsi="宋体"/>
          <w:sz w:val="21"/>
        </w:rPr>
        <w:t>2.</w:t>
      </w:r>
      <w:r>
        <w:rPr>
          <w:rFonts w:ascii="宋体" w:hAnsi="宋体"/>
          <w:sz w:val="21"/>
        </w:rPr>
        <w:t>8</w:t>
      </w:r>
      <w:r>
        <w:rPr>
          <w:rFonts w:hint="eastAsia" w:ascii="宋体" w:hAnsi="宋体"/>
          <w:sz w:val="21"/>
        </w:rPr>
        <w:t>.1  企业主要负责人安全生产考核合格证书（A证）；</w:t>
      </w:r>
    </w:p>
    <w:p>
      <w:pPr>
        <w:pStyle w:val="158"/>
        <w:ind w:firstLine="420"/>
        <w:rPr>
          <w:rFonts w:ascii="宋体" w:hAnsi="宋体"/>
          <w:sz w:val="21"/>
        </w:rPr>
      </w:pPr>
      <w:r>
        <w:rPr>
          <w:rFonts w:hint="eastAsia" w:ascii="宋体" w:hAnsi="宋体"/>
          <w:sz w:val="21"/>
        </w:rPr>
        <w:t>2.</w:t>
      </w:r>
      <w:r>
        <w:rPr>
          <w:rFonts w:ascii="宋体" w:hAnsi="宋体"/>
          <w:sz w:val="21"/>
        </w:rPr>
        <w:t>8</w:t>
      </w:r>
      <w:r>
        <w:rPr>
          <w:rFonts w:hint="eastAsia" w:ascii="宋体" w:hAnsi="宋体"/>
          <w:sz w:val="21"/>
        </w:rPr>
        <w:t>.2  项目负责人安全生产考核合格证书（B证）</w:t>
      </w:r>
      <w:r>
        <w:rPr>
          <w:rFonts w:ascii="宋体" w:hAnsi="宋体"/>
          <w:sz w:val="21"/>
          <w:u w:val="single"/>
        </w:rPr>
        <w:t>1</w:t>
      </w:r>
      <w:r>
        <w:rPr>
          <w:rFonts w:hint="eastAsia" w:ascii="宋体" w:hAnsi="宋体"/>
          <w:sz w:val="21"/>
        </w:rPr>
        <w:t>人；</w:t>
      </w:r>
    </w:p>
    <w:p>
      <w:pPr>
        <w:pStyle w:val="158"/>
        <w:ind w:firstLine="420"/>
        <w:rPr>
          <w:rFonts w:ascii="宋体" w:hAnsi="宋体"/>
          <w:sz w:val="21"/>
        </w:rPr>
      </w:pPr>
      <w:r>
        <w:rPr>
          <w:rFonts w:hint="eastAsia" w:ascii="宋体" w:hAnsi="宋体"/>
          <w:sz w:val="21"/>
        </w:rPr>
        <w:t>2.</w:t>
      </w:r>
      <w:r>
        <w:rPr>
          <w:rFonts w:ascii="宋体" w:hAnsi="宋体"/>
          <w:sz w:val="21"/>
        </w:rPr>
        <w:t>8</w:t>
      </w:r>
      <w:r>
        <w:rPr>
          <w:rFonts w:hint="eastAsia" w:ascii="宋体" w:hAnsi="宋体"/>
          <w:sz w:val="21"/>
        </w:rPr>
        <w:t>.3  专职安全生产管理人员安全生产考核合格证书（C证）</w:t>
      </w:r>
      <w:r>
        <w:rPr>
          <w:rFonts w:ascii="宋体" w:hAnsi="宋体"/>
          <w:sz w:val="21"/>
          <w:u w:val="single"/>
        </w:rPr>
        <w:t>1</w:t>
      </w:r>
      <w:r>
        <w:rPr>
          <w:rFonts w:hint="eastAsia" w:ascii="宋体" w:hAnsi="宋体"/>
          <w:sz w:val="21"/>
        </w:rPr>
        <w:t>人；</w:t>
      </w:r>
    </w:p>
    <w:p>
      <w:pPr>
        <w:pStyle w:val="158"/>
        <w:ind w:firstLine="420"/>
        <w:rPr>
          <w:rFonts w:hint="eastAsia" w:ascii="宋体" w:hAnsi="宋体"/>
          <w:sz w:val="21"/>
        </w:rPr>
      </w:pPr>
      <w:r>
        <w:rPr>
          <w:rFonts w:hint="eastAsia" w:ascii="宋体" w:hAnsi="宋体"/>
          <w:sz w:val="21"/>
        </w:rPr>
        <w:t>2.9  投标人不得存在下列情形之一</w:t>
      </w:r>
    </w:p>
    <w:p>
      <w:pPr>
        <w:pStyle w:val="158"/>
        <w:ind w:left="277" w:leftChars="132" w:firstLine="0" w:firstLineChars="0"/>
        <w:rPr>
          <w:rFonts w:ascii="宋体" w:hAnsi="宋体"/>
          <w:sz w:val="21"/>
        </w:rPr>
      </w:pPr>
      <w:r>
        <w:rPr>
          <w:rFonts w:hint="eastAsia" w:ascii="宋体" w:hAnsi="宋体"/>
          <w:sz w:val="21"/>
        </w:rPr>
        <w:t>（1） 为招标人不具有独立法人资格的附属机构（单位）；</w:t>
      </w:r>
      <w:r>
        <w:rPr>
          <w:rFonts w:hint="eastAsia" w:ascii="宋体" w:hAnsi="宋体"/>
          <w:sz w:val="21"/>
        </w:rPr>
        <w:cr/>
      </w:r>
      <w:r>
        <w:rPr>
          <w:rFonts w:hint="eastAsia" w:ascii="宋体" w:hAnsi="宋体"/>
          <w:sz w:val="21"/>
        </w:rPr>
        <w:t>（2） 被依法暂停或取消投标资格的；</w:t>
      </w:r>
      <w:r>
        <w:rPr>
          <w:rFonts w:hint="eastAsia" w:ascii="宋体" w:hAnsi="宋体"/>
          <w:sz w:val="21"/>
        </w:rPr>
        <w:cr/>
      </w:r>
      <w:r>
        <w:rPr>
          <w:rFonts w:hint="eastAsia" w:ascii="宋体" w:hAnsi="宋体"/>
          <w:sz w:val="21"/>
        </w:rPr>
        <w:t xml:space="preserve">（3） 被责令停产停业、暂扣或者吊销许可证、暂扣或者吊销执照； </w:t>
      </w:r>
      <w:r>
        <w:rPr>
          <w:rFonts w:hint="eastAsia" w:ascii="宋体" w:hAnsi="宋体"/>
          <w:sz w:val="21"/>
        </w:rPr>
        <w:cr/>
      </w:r>
      <w:r>
        <w:rPr>
          <w:rFonts w:hint="eastAsia" w:ascii="宋体" w:hAnsi="宋体"/>
          <w:sz w:val="21"/>
        </w:rPr>
        <w:t xml:space="preserve">（4） 进入清算程序，或被宣告破产，或其他丧失履约能力的情形； </w:t>
      </w:r>
      <w:r>
        <w:rPr>
          <w:rFonts w:hint="eastAsia" w:ascii="宋体" w:hAnsi="宋体"/>
          <w:sz w:val="21"/>
        </w:rPr>
        <w:cr/>
      </w:r>
      <w:r>
        <w:rPr>
          <w:rFonts w:hint="eastAsia" w:ascii="宋体" w:hAnsi="宋体"/>
          <w:sz w:val="21"/>
        </w:rPr>
        <w:t>（5）在最近三年内</w:t>
      </w:r>
      <w:r>
        <w:rPr>
          <w:rFonts w:hint="eastAsia" w:ascii="宋体" w:hAnsi="宋体"/>
          <w:color w:val="FF0000"/>
          <w:sz w:val="21"/>
        </w:rPr>
        <w:t>（自2</w:t>
      </w:r>
      <w:r>
        <w:rPr>
          <w:rFonts w:ascii="宋体" w:hAnsi="宋体"/>
          <w:color w:val="FF0000"/>
          <w:sz w:val="21"/>
        </w:rPr>
        <w:t>018</w:t>
      </w:r>
      <w:r>
        <w:rPr>
          <w:rFonts w:hint="eastAsia" w:ascii="宋体" w:hAnsi="宋体"/>
          <w:color w:val="FF0000"/>
          <w:sz w:val="21"/>
        </w:rPr>
        <w:t>年4月</w:t>
      </w:r>
      <w:r>
        <w:rPr>
          <w:rFonts w:ascii="宋体" w:hAnsi="宋体"/>
          <w:color w:val="FF0000"/>
          <w:sz w:val="21"/>
        </w:rPr>
        <w:t>1</w:t>
      </w:r>
      <w:r>
        <w:rPr>
          <w:rFonts w:hint="eastAsia" w:ascii="宋体" w:hAnsi="宋体"/>
          <w:color w:val="FF0000"/>
          <w:sz w:val="21"/>
        </w:rPr>
        <w:t>日起至投标截止时间）</w:t>
      </w:r>
      <w:r>
        <w:rPr>
          <w:rFonts w:hint="eastAsia" w:ascii="宋体" w:hAnsi="宋体"/>
          <w:sz w:val="21"/>
        </w:rPr>
        <w:t>被相关行业主管部门或司法机关认定有骗取中标、严重违约、重大工程质量或者安全问题的；</w:t>
      </w:r>
      <w:r>
        <w:rPr>
          <w:rFonts w:hint="eastAsia" w:ascii="宋体" w:hAnsi="宋体"/>
          <w:sz w:val="21"/>
        </w:rPr>
        <w:cr/>
      </w:r>
      <w:r>
        <w:rPr>
          <w:rFonts w:hint="eastAsia" w:ascii="宋体" w:hAnsi="宋体"/>
          <w:sz w:val="21"/>
        </w:rPr>
        <w:t>（6）在最近五年内</w:t>
      </w:r>
      <w:r>
        <w:rPr>
          <w:rFonts w:hint="eastAsia" w:ascii="宋体" w:hAnsi="宋体"/>
          <w:color w:val="FF0000"/>
          <w:sz w:val="21"/>
        </w:rPr>
        <w:t>（自</w:t>
      </w:r>
      <w:r>
        <w:rPr>
          <w:rFonts w:ascii="宋体" w:hAnsi="宋体"/>
          <w:color w:val="FF0000"/>
          <w:sz w:val="21"/>
        </w:rPr>
        <w:t>2016</w:t>
      </w:r>
      <w:r>
        <w:rPr>
          <w:rFonts w:hint="eastAsia" w:ascii="宋体" w:hAnsi="宋体"/>
          <w:color w:val="FF0000"/>
          <w:sz w:val="21"/>
        </w:rPr>
        <w:t>年</w:t>
      </w:r>
      <w:r>
        <w:rPr>
          <w:rFonts w:ascii="宋体" w:hAnsi="宋体"/>
          <w:color w:val="FF0000"/>
          <w:sz w:val="21"/>
        </w:rPr>
        <w:t>4</w:t>
      </w:r>
      <w:r>
        <w:rPr>
          <w:rFonts w:hint="eastAsia" w:ascii="宋体" w:hAnsi="宋体"/>
          <w:color w:val="FF0000"/>
          <w:sz w:val="21"/>
        </w:rPr>
        <w:t>月</w:t>
      </w:r>
      <w:r>
        <w:rPr>
          <w:rFonts w:ascii="宋体" w:hAnsi="宋体"/>
          <w:color w:val="FF0000"/>
          <w:sz w:val="21"/>
        </w:rPr>
        <w:t>1</w:t>
      </w:r>
      <w:r>
        <w:rPr>
          <w:rFonts w:hint="eastAsia" w:ascii="宋体" w:hAnsi="宋体"/>
          <w:color w:val="FF0000"/>
          <w:sz w:val="21"/>
        </w:rPr>
        <w:t>日起至投标截止时间）</w:t>
      </w:r>
      <w:r>
        <w:rPr>
          <w:rFonts w:hint="eastAsia" w:ascii="宋体" w:hAnsi="宋体"/>
          <w:sz w:val="21"/>
        </w:rPr>
        <w:t>被判处单位行贿罪，且行贿行为与采购活动相关的（以“中国裁判文书网”的生效判决为准）；</w:t>
      </w:r>
      <w:r>
        <w:rPr>
          <w:rFonts w:hint="eastAsia" w:ascii="宋体" w:hAnsi="宋体"/>
          <w:sz w:val="21"/>
        </w:rPr>
        <w:cr/>
      </w:r>
      <w:r>
        <w:rPr>
          <w:rFonts w:hint="eastAsia" w:ascii="宋体" w:hAnsi="宋体"/>
          <w:sz w:val="21"/>
        </w:rPr>
        <w:t>（7）在最近五年内</w:t>
      </w:r>
      <w:r>
        <w:rPr>
          <w:rFonts w:hint="eastAsia" w:ascii="宋体" w:hAnsi="宋体"/>
          <w:color w:val="FF0000"/>
          <w:sz w:val="21"/>
        </w:rPr>
        <w:t>（自</w:t>
      </w:r>
      <w:r>
        <w:rPr>
          <w:rFonts w:ascii="宋体" w:hAnsi="宋体"/>
          <w:color w:val="FF0000"/>
          <w:sz w:val="21"/>
        </w:rPr>
        <w:t>2016</w:t>
      </w:r>
      <w:r>
        <w:rPr>
          <w:rFonts w:hint="eastAsia" w:ascii="宋体" w:hAnsi="宋体"/>
          <w:color w:val="FF0000"/>
          <w:sz w:val="21"/>
        </w:rPr>
        <w:t>年</w:t>
      </w:r>
      <w:r>
        <w:rPr>
          <w:rFonts w:ascii="宋体" w:hAnsi="宋体"/>
          <w:color w:val="FF0000"/>
          <w:sz w:val="21"/>
        </w:rPr>
        <w:t>4</w:t>
      </w:r>
      <w:r>
        <w:rPr>
          <w:rFonts w:hint="eastAsia" w:ascii="宋体" w:hAnsi="宋体"/>
          <w:color w:val="FF0000"/>
          <w:sz w:val="21"/>
        </w:rPr>
        <w:t>月</w:t>
      </w:r>
      <w:r>
        <w:rPr>
          <w:rFonts w:ascii="宋体" w:hAnsi="宋体"/>
          <w:color w:val="FF0000"/>
          <w:sz w:val="21"/>
        </w:rPr>
        <w:t>1</w:t>
      </w:r>
      <w:r>
        <w:rPr>
          <w:rFonts w:hint="eastAsia" w:ascii="宋体" w:hAnsi="宋体"/>
          <w:color w:val="FF0000"/>
          <w:sz w:val="21"/>
        </w:rPr>
        <w:t>日起至投标截止时间）</w:t>
      </w:r>
      <w:r>
        <w:rPr>
          <w:rFonts w:hint="eastAsia" w:ascii="宋体" w:hAnsi="宋体"/>
          <w:sz w:val="21"/>
        </w:rPr>
        <w:t>被判处合同诈骗罪的（以“中国裁判文书网”的生效判决为准）；</w:t>
      </w:r>
      <w:r>
        <w:rPr>
          <w:rFonts w:hint="eastAsia" w:ascii="宋体" w:hAnsi="宋体"/>
          <w:sz w:val="21"/>
        </w:rPr>
        <w:cr/>
      </w:r>
      <w:r>
        <w:rPr>
          <w:rFonts w:hint="eastAsia" w:ascii="宋体" w:hAnsi="宋体"/>
          <w:sz w:val="21"/>
        </w:rPr>
        <w:t>（8）被最高人民法院认定为失信被执行人的</w:t>
      </w:r>
      <w:r>
        <w:rPr>
          <w:rFonts w:ascii="宋体" w:hAnsi="宋体"/>
          <w:sz w:val="21"/>
        </w:rPr>
        <w:t>(以“信用中国”网站（www.creditchina.gov.cn）或各级信用信息共享平台</w:t>
      </w:r>
      <w:r>
        <w:rPr>
          <w:rFonts w:hint="eastAsia" w:ascii="宋体" w:hAnsi="宋体"/>
          <w:sz w:val="21"/>
        </w:rPr>
        <w:t>公布的</w:t>
      </w:r>
      <w:r>
        <w:rPr>
          <w:rFonts w:ascii="宋体" w:hAnsi="宋体"/>
          <w:sz w:val="21"/>
        </w:rPr>
        <w:t>失信被执行人名单</w:t>
      </w:r>
      <w:r>
        <w:rPr>
          <w:rFonts w:hint="eastAsia" w:ascii="宋体" w:hAnsi="宋体"/>
          <w:sz w:val="21"/>
        </w:rPr>
        <w:t>为准</w:t>
      </w:r>
      <w:r>
        <w:rPr>
          <w:rFonts w:ascii="宋体" w:hAnsi="宋体"/>
          <w:sz w:val="21"/>
        </w:rPr>
        <w:t>)</w:t>
      </w:r>
      <w:r>
        <w:rPr>
          <w:rFonts w:hint="eastAsia" w:ascii="宋体" w:hAnsi="宋体"/>
          <w:sz w:val="21"/>
        </w:rPr>
        <w:t>，已执行完毕或不再执行的除外；</w:t>
      </w:r>
      <w:r>
        <w:rPr>
          <w:rFonts w:hint="eastAsia" w:ascii="宋体" w:hAnsi="宋体"/>
          <w:sz w:val="21"/>
        </w:rPr>
        <w:cr/>
      </w:r>
      <w:r>
        <w:rPr>
          <w:rFonts w:hint="eastAsia" w:ascii="宋体" w:hAnsi="宋体"/>
          <w:sz w:val="21"/>
        </w:rPr>
        <w:t>（9） 【其他按照《中国电信供应商不良行为管理规则》及处理结果，应对投标人及其投标产品品类在本项目中执行禁止采购处理措施的。同一标段或未划分标段的同一招标项目涉及多个产品评估品类的，投标人及其任一投标产品品类涉及相关禁止采购处理结果的，该标段或招标项目应适用相关的禁止采购处理措施。】</w:t>
      </w:r>
    </w:p>
    <w:p>
      <w:pPr>
        <w:pStyle w:val="158"/>
        <w:ind w:firstLine="199" w:firstLineChars="95"/>
        <w:rPr>
          <w:rFonts w:ascii="宋体" w:hAnsi="宋体"/>
          <w:sz w:val="21"/>
        </w:rPr>
      </w:pPr>
      <w:r>
        <w:rPr>
          <w:rFonts w:hint="eastAsia" w:ascii="宋体" w:hAnsi="宋体"/>
          <w:sz w:val="21"/>
        </w:rPr>
        <w:t>（1</w:t>
      </w:r>
      <w:r>
        <w:rPr>
          <w:rFonts w:ascii="宋体" w:hAnsi="宋体"/>
          <w:sz w:val="21"/>
        </w:rPr>
        <w:t>0</w:t>
      </w:r>
      <w:r>
        <w:rPr>
          <w:rFonts w:hint="eastAsia" w:ascii="宋体" w:hAnsi="宋体"/>
          <w:sz w:val="21"/>
        </w:rPr>
        <w:t>）被列入经营异常名录或违法企业名录或司法拍卖尚未被移出的。（以通过“MSS智慧法务子系统-合同管理”模块中“信用管理”查询数据为准）。</w:t>
      </w:r>
    </w:p>
    <w:p>
      <w:pPr>
        <w:pStyle w:val="158"/>
        <w:ind w:firstLine="420"/>
        <w:jc w:val="left"/>
        <w:rPr>
          <w:rFonts w:ascii="宋体" w:hAnsi="宋体"/>
          <w:sz w:val="21"/>
        </w:rPr>
      </w:pPr>
      <w:r>
        <w:rPr>
          <w:rFonts w:hint="eastAsia" w:ascii="宋体" w:hAnsi="宋体"/>
          <w:sz w:val="21"/>
        </w:rPr>
        <w:t>代理商投标的，制造商及代理商均不得存在上述任一情形。</w:t>
      </w:r>
    </w:p>
    <w:p>
      <w:pPr>
        <w:pStyle w:val="5"/>
        <w:rPr>
          <w:rFonts w:ascii="宋体" w:hAnsi="宋体" w:eastAsia="宋体"/>
          <w:sz w:val="21"/>
          <w:szCs w:val="21"/>
        </w:rPr>
      </w:pPr>
      <w:bookmarkStart w:id="3" w:name="_Toc69994022"/>
      <w:r>
        <w:rPr>
          <w:rFonts w:hint="eastAsia" w:ascii="宋体" w:hAnsi="宋体" w:eastAsia="宋体"/>
          <w:sz w:val="21"/>
          <w:szCs w:val="21"/>
        </w:rPr>
        <w:t>3．资格审查方法</w:t>
      </w:r>
      <w:bookmarkEnd w:id="3"/>
    </w:p>
    <w:p>
      <w:pPr>
        <w:pStyle w:val="158"/>
        <w:ind w:firstLine="420"/>
        <w:rPr>
          <w:rFonts w:ascii="宋体" w:hAnsi="宋体"/>
          <w:sz w:val="21"/>
        </w:rPr>
      </w:pPr>
      <w:r>
        <w:rPr>
          <w:rFonts w:hint="eastAsia" w:ascii="宋体" w:hAnsi="宋体"/>
          <w:sz w:val="21"/>
        </w:rPr>
        <w:t>本项目将进行资格后审，资格审查标准和内容见招标文件第三章“评标办法”，凡未通过资格后审的投标人，其投标将被否决。</w:t>
      </w:r>
    </w:p>
    <w:p>
      <w:pPr>
        <w:pStyle w:val="5"/>
        <w:rPr>
          <w:rFonts w:ascii="宋体" w:hAnsi="宋体" w:eastAsia="宋体"/>
          <w:sz w:val="21"/>
          <w:szCs w:val="21"/>
        </w:rPr>
      </w:pPr>
      <w:bookmarkStart w:id="4" w:name="_Toc69994023"/>
      <w:r>
        <w:rPr>
          <w:rFonts w:hint="eastAsia" w:ascii="宋体" w:hAnsi="宋体" w:eastAsia="宋体"/>
          <w:sz w:val="21"/>
          <w:szCs w:val="21"/>
        </w:rPr>
        <w:t>4．招标文件的获取</w:t>
      </w:r>
      <w:bookmarkEnd w:id="4"/>
    </w:p>
    <w:p>
      <w:pPr>
        <w:pStyle w:val="105"/>
        <w:numPr>
          <w:ilvl w:val="1"/>
          <w:numId w:val="12"/>
        </w:numPr>
        <w:tabs>
          <w:tab w:val="left" w:pos="993"/>
          <w:tab w:val="left" w:pos="1134"/>
        </w:tabs>
        <w:topLinePunct w:val="0"/>
        <w:adjustRightInd w:val="0"/>
        <w:snapToGrid w:val="0"/>
        <w:spacing w:line="440" w:lineRule="exact"/>
        <w:ind w:left="0" w:firstLine="424" w:firstLineChars="202"/>
        <w:rPr>
          <w:rFonts w:ascii="宋体" w:hAnsi="宋体"/>
          <w:sz w:val="21"/>
          <w:szCs w:val="21"/>
        </w:rPr>
      </w:pPr>
      <w:r>
        <w:rPr>
          <w:rFonts w:hint="eastAsia" w:ascii="宋体" w:hAnsi="宋体"/>
          <w:sz w:val="21"/>
          <w:szCs w:val="21"/>
        </w:rPr>
        <w:t>招标文件获取时间:【</w:t>
      </w:r>
      <w:r>
        <w:rPr>
          <w:rFonts w:ascii="宋体" w:hAnsi="宋体"/>
          <w:color w:val="FF0000"/>
          <w:sz w:val="21"/>
          <w:szCs w:val="21"/>
        </w:rPr>
        <w:t>2021</w:t>
      </w:r>
      <w:r>
        <w:rPr>
          <w:rFonts w:hint="eastAsia" w:ascii="宋体" w:hAnsi="宋体"/>
          <w:color w:val="FF0000"/>
          <w:sz w:val="21"/>
          <w:szCs w:val="21"/>
        </w:rPr>
        <w:t>年</w:t>
      </w:r>
      <w:r>
        <w:rPr>
          <w:rFonts w:hint="eastAsia" w:ascii="宋体" w:hAnsi="宋体"/>
          <w:color w:val="FF0000"/>
          <w:sz w:val="21"/>
          <w:szCs w:val="21"/>
          <w:lang w:val="en-US" w:eastAsia="zh-CN"/>
        </w:rPr>
        <w:t>5</w:t>
      </w:r>
      <w:r>
        <w:rPr>
          <w:rFonts w:hint="eastAsia" w:ascii="宋体" w:hAnsi="宋体"/>
          <w:color w:val="FF0000"/>
          <w:sz w:val="21"/>
          <w:szCs w:val="21"/>
        </w:rPr>
        <w:t>月</w:t>
      </w:r>
      <w:r>
        <w:rPr>
          <w:rFonts w:hint="eastAsia" w:ascii="宋体" w:hAnsi="宋体"/>
          <w:color w:val="FF0000"/>
          <w:sz w:val="21"/>
          <w:szCs w:val="21"/>
          <w:lang w:val="en-US" w:eastAsia="zh-CN"/>
        </w:rPr>
        <w:t>28</w:t>
      </w:r>
      <w:r>
        <w:rPr>
          <w:rFonts w:hint="eastAsia" w:ascii="宋体" w:hAnsi="宋体"/>
          <w:color w:val="FF0000"/>
          <w:sz w:val="21"/>
          <w:szCs w:val="21"/>
        </w:rPr>
        <w:t>日</w:t>
      </w:r>
      <w:r>
        <w:rPr>
          <w:rFonts w:ascii="宋体" w:hAnsi="宋体"/>
          <w:color w:val="FF0000"/>
          <w:sz w:val="21"/>
          <w:szCs w:val="21"/>
        </w:rPr>
        <w:t>8</w:t>
      </w:r>
      <w:r>
        <w:rPr>
          <w:rFonts w:hint="eastAsia" w:ascii="宋体" w:hAnsi="宋体"/>
          <w:color w:val="FF0000"/>
          <w:sz w:val="21"/>
          <w:szCs w:val="21"/>
        </w:rPr>
        <w:t>时</w:t>
      </w:r>
      <w:r>
        <w:rPr>
          <w:rFonts w:ascii="宋体" w:hAnsi="宋体"/>
          <w:color w:val="FF0000"/>
          <w:sz w:val="21"/>
          <w:szCs w:val="21"/>
        </w:rPr>
        <w:t>30</w:t>
      </w:r>
      <w:r>
        <w:rPr>
          <w:rFonts w:hint="eastAsia" w:ascii="宋体" w:hAnsi="宋体"/>
          <w:color w:val="FF0000"/>
          <w:sz w:val="21"/>
          <w:szCs w:val="21"/>
        </w:rPr>
        <w:t>分至</w:t>
      </w:r>
      <w:r>
        <w:rPr>
          <w:rFonts w:ascii="宋体" w:hAnsi="宋体"/>
          <w:color w:val="FF0000"/>
          <w:sz w:val="21"/>
          <w:szCs w:val="21"/>
        </w:rPr>
        <w:t>2021</w:t>
      </w:r>
      <w:r>
        <w:rPr>
          <w:rFonts w:hint="eastAsia" w:ascii="宋体" w:hAnsi="宋体"/>
          <w:color w:val="FF0000"/>
          <w:sz w:val="21"/>
          <w:szCs w:val="21"/>
        </w:rPr>
        <w:t>年</w:t>
      </w:r>
      <w:r>
        <w:rPr>
          <w:rFonts w:hint="eastAsia" w:ascii="宋体" w:hAnsi="宋体"/>
          <w:color w:val="FF0000"/>
          <w:sz w:val="21"/>
          <w:szCs w:val="21"/>
          <w:lang w:val="en-US" w:eastAsia="zh-CN"/>
        </w:rPr>
        <w:t>6</w:t>
      </w:r>
      <w:r>
        <w:rPr>
          <w:rFonts w:hint="eastAsia" w:ascii="宋体" w:hAnsi="宋体"/>
          <w:color w:val="FF0000"/>
          <w:sz w:val="21"/>
          <w:szCs w:val="21"/>
        </w:rPr>
        <w:t>月</w:t>
      </w:r>
      <w:r>
        <w:rPr>
          <w:rFonts w:hint="eastAsia" w:ascii="宋体" w:hAnsi="宋体"/>
          <w:color w:val="FF0000"/>
          <w:sz w:val="21"/>
          <w:szCs w:val="21"/>
          <w:lang w:val="en-US" w:eastAsia="zh-CN"/>
        </w:rPr>
        <w:t>2</w:t>
      </w:r>
      <w:r>
        <w:rPr>
          <w:rFonts w:hint="eastAsia" w:ascii="宋体" w:hAnsi="宋体"/>
          <w:color w:val="FF0000"/>
          <w:sz w:val="21"/>
          <w:szCs w:val="21"/>
        </w:rPr>
        <w:t>日</w:t>
      </w:r>
      <w:r>
        <w:rPr>
          <w:rFonts w:ascii="宋体" w:hAnsi="宋体"/>
          <w:color w:val="FF0000"/>
          <w:sz w:val="21"/>
          <w:szCs w:val="21"/>
        </w:rPr>
        <w:t>17</w:t>
      </w:r>
      <w:r>
        <w:rPr>
          <w:rFonts w:hint="eastAsia" w:ascii="宋体" w:hAnsi="宋体"/>
          <w:color w:val="FF0000"/>
          <w:sz w:val="21"/>
          <w:szCs w:val="21"/>
        </w:rPr>
        <w:t>时</w:t>
      </w:r>
      <w:r>
        <w:rPr>
          <w:rFonts w:ascii="宋体" w:hAnsi="宋体"/>
          <w:color w:val="FF0000"/>
          <w:sz w:val="21"/>
          <w:szCs w:val="21"/>
        </w:rPr>
        <w:t>30</w:t>
      </w:r>
      <w:r>
        <w:rPr>
          <w:rFonts w:hint="eastAsia" w:ascii="宋体" w:hAnsi="宋体"/>
          <w:color w:val="FF0000"/>
          <w:sz w:val="21"/>
          <w:szCs w:val="21"/>
        </w:rPr>
        <w:t>分</w:t>
      </w:r>
      <w:r>
        <w:rPr>
          <w:rFonts w:hint="eastAsia" w:ascii="宋体" w:hAnsi="宋体"/>
          <w:sz w:val="21"/>
          <w:szCs w:val="21"/>
        </w:rPr>
        <w:t>】（北京时间，下同）。</w:t>
      </w:r>
    </w:p>
    <w:p>
      <w:pPr>
        <w:pStyle w:val="105"/>
        <w:numPr>
          <w:ilvl w:val="1"/>
          <w:numId w:val="12"/>
        </w:numPr>
        <w:tabs>
          <w:tab w:val="left" w:pos="993"/>
          <w:tab w:val="left" w:pos="1134"/>
        </w:tabs>
        <w:topLinePunct w:val="0"/>
        <w:adjustRightInd w:val="0"/>
        <w:snapToGrid w:val="0"/>
        <w:spacing w:line="440" w:lineRule="exact"/>
        <w:ind w:left="0" w:firstLine="424" w:firstLineChars="202"/>
        <w:rPr>
          <w:rFonts w:ascii="宋体" w:hAnsi="宋体"/>
          <w:sz w:val="21"/>
          <w:szCs w:val="21"/>
        </w:rPr>
      </w:pPr>
      <w:r>
        <w:rPr>
          <w:rFonts w:hint="eastAsia" w:ascii="宋体" w:hAnsi="宋体"/>
          <w:sz w:val="21"/>
          <w:szCs w:val="21"/>
        </w:rPr>
        <w:t>招标文件获取方式：凡有意参与投标的潜在投标人，请按以下步骤顺序进行操作，获取招标文件：</w:t>
      </w:r>
    </w:p>
    <w:p>
      <w:pPr>
        <w:pStyle w:val="105"/>
        <w:numPr>
          <w:ilvl w:val="2"/>
          <w:numId w:val="13"/>
        </w:numPr>
        <w:tabs>
          <w:tab w:val="left" w:pos="993"/>
          <w:tab w:val="left" w:pos="1134"/>
        </w:tabs>
        <w:topLinePunct w:val="0"/>
        <w:adjustRightInd w:val="0"/>
        <w:snapToGrid w:val="0"/>
        <w:spacing w:line="440" w:lineRule="exact"/>
        <w:ind w:left="0" w:firstLine="315" w:firstLineChars="150"/>
        <w:rPr>
          <w:rFonts w:ascii="宋体" w:hAnsi="宋体"/>
          <w:sz w:val="21"/>
          <w:szCs w:val="21"/>
        </w:rPr>
      </w:pPr>
      <w:r>
        <w:rPr>
          <w:rFonts w:hint="eastAsia" w:ascii="宋体" w:hAnsi="宋体"/>
          <w:sz w:val="21"/>
          <w:szCs w:val="21"/>
        </w:rPr>
        <w:t>登录【中国电信阳光采购网电子交易二期平台</w:t>
      </w:r>
      <w:r>
        <w:rPr>
          <w:rFonts w:ascii="宋体" w:hAnsi="宋体"/>
          <w:sz w:val="21"/>
          <w:szCs w:val="21"/>
        </w:rPr>
        <w:t>(http://trade.chinatelecom.com.cn/TPFrame)</w:t>
      </w:r>
      <w:r>
        <w:rPr>
          <w:rFonts w:hint="eastAsia" w:ascii="宋体" w:hAnsi="宋体"/>
          <w:sz w:val="21"/>
          <w:szCs w:val="21"/>
        </w:rPr>
        <w:t>】（以下简称“二期平台”）进行本项目招标文件的登记申领。已在平台注册过的投标人按照《中国电信电子交易平台投标人操作手册（二期）》(平台首页操作指南—投标人专区)进行登记申领。未在平台注册的投标人须先进行注册，注册方法详见本公告“</w:t>
      </w:r>
      <w:r>
        <w:rPr>
          <w:rFonts w:hint="eastAsia" w:ascii="宋体" w:hAnsi="宋体"/>
          <w:sz w:val="21"/>
          <w:szCs w:val="21"/>
          <w:lang w:eastAsia="zh-CN"/>
        </w:rPr>
        <w:t>6</w:t>
      </w:r>
      <w:r>
        <w:rPr>
          <w:rFonts w:hint="eastAsia" w:ascii="宋体" w:hAnsi="宋体"/>
          <w:sz w:val="21"/>
          <w:szCs w:val="21"/>
        </w:rPr>
        <w:t>投标人注册”。</w:t>
      </w:r>
      <w:r>
        <w:rPr>
          <w:rFonts w:ascii="宋体" w:hAnsi="宋体"/>
          <w:color w:val="CC00FF"/>
          <w:sz w:val="21"/>
          <w:szCs w:val="21"/>
        </w:rPr>
        <w:t>请务必在标书售卖截止时间前</w:t>
      </w:r>
      <w:r>
        <w:rPr>
          <w:rFonts w:hint="eastAsia" w:ascii="宋体" w:hAnsi="宋体" w:cs="宋体"/>
          <w:color w:val="CC00FF"/>
          <w:kern w:val="0"/>
          <w:sz w:val="21"/>
          <w:szCs w:val="21"/>
        </w:rPr>
        <w:t>下载招标文件</w:t>
      </w:r>
      <w:r>
        <w:rPr>
          <w:rFonts w:hint="eastAsia" w:ascii="宋体" w:hAnsi="宋体"/>
          <w:color w:val="CC00FF"/>
          <w:sz w:val="21"/>
          <w:szCs w:val="21"/>
        </w:rPr>
        <w:t>，</w:t>
      </w:r>
      <w:r>
        <w:rPr>
          <w:rFonts w:ascii="宋体" w:hAnsi="宋体"/>
          <w:color w:val="CC00FF"/>
          <w:sz w:val="21"/>
          <w:szCs w:val="21"/>
        </w:rPr>
        <w:t>否则将无法正常投标。</w:t>
      </w:r>
    </w:p>
    <w:p>
      <w:pPr>
        <w:pStyle w:val="105"/>
        <w:tabs>
          <w:tab w:val="left" w:pos="993"/>
          <w:tab w:val="left" w:pos="1134"/>
        </w:tabs>
        <w:adjustRightInd w:val="0"/>
        <w:snapToGrid w:val="0"/>
        <w:spacing w:line="440" w:lineRule="exact"/>
        <w:ind w:firstLine="426" w:firstLineChars="202"/>
        <w:rPr>
          <w:rFonts w:ascii="宋体" w:hAnsi="宋体"/>
          <w:sz w:val="21"/>
          <w:szCs w:val="21"/>
        </w:rPr>
      </w:pPr>
      <w:r>
        <w:rPr>
          <w:rFonts w:hint="eastAsia" w:ascii="宋体" w:hAnsi="宋体" w:cs="宋体"/>
          <w:b/>
          <w:bCs/>
          <w:color w:val="0000FF"/>
          <w:kern w:val="0"/>
          <w:sz w:val="21"/>
          <w:szCs w:val="21"/>
        </w:rPr>
        <w:t>注意：招标文件以“</w:t>
      </w:r>
      <w:r>
        <w:rPr>
          <w:rFonts w:hint="eastAsia" w:ascii="宋体" w:hAnsi="宋体"/>
          <w:sz w:val="21"/>
          <w:szCs w:val="21"/>
        </w:rPr>
        <w:t>中国电信阳光采购网电子交易二期平</w:t>
      </w:r>
      <w:r>
        <w:rPr>
          <w:rFonts w:hint="eastAsia" w:ascii="宋体" w:hAnsi="宋体"/>
          <w:sz w:val="21"/>
          <w:szCs w:val="21"/>
          <w:lang w:eastAsia="zh-CN"/>
        </w:rPr>
        <w:t>台</w:t>
      </w:r>
      <w:r>
        <w:rPr>
          <w:rFonts w:hint="eastAsia" w:ascii="宋体" w:hAnsi="宋体" w:cs="宋体"/>
          <w:b/>
          <w:bCs/>
          <w:color w:val="0000FF"/>
          <w:kern w:val="0"/>
          <w:sz w:val="21"/>
          <w:szCs w:val="21"/>
        </w:rPr>
        <w:t>”登记申领下载的为准，如无法登记申领的，请及时与招标代理机构的项目联系人联系。</w:t>
      </w:r>
    </w:p>
    <w:p>
      <w:pPr>
        <w:pStyle w:val="105"/>
        <w:numPr>
          <w:ilvl w:val="2"/>
          <w:numId w:val="13"/>
        </w:numPr>
        <w:tabs>
          <w:tab w:val="left" w:pos="993"/>
          <w:tab w:val="left" w:pos="1134"/>
        </w:tabs>
        <w:topLinePunct w:val="0"/>
        <w:adjustRightInd w:val="0"/>
        <w:snapToGrid w:val="0"/>
        <w:spacing w:before="60" w:after="60" w:line="460" w:lineRule="atLeast"/>
        <w:ind w:left="0" w:firstLine="432" w:firstLineChars="202"/>
        <w:rPr>
          <w:rFonts w:ascii="宋体" w:hAnsi="宋体"/>
          <w:color w:val="0000FF"/>
          <w:sz w:val="21"/>
          <w:szCs w:val="21"/>
        </w:rPr>
      </w:pPr>
      <w:r>
        <w:rPr>
          <w:rFonts w:hint="eastAsia" w:ascii="宋体" w:hAnsi="宋体"/>
          <w:spacing w:val="2"/>
          <w:sz w:val="21"/>
          <w:szCs w:val="21"/>
        </w:rPr>
        <w:t>招标文件费用：每套售价【</w:t>
      </w:r>
      <w:r>
        <w:rPr>
          <w:rFonts w:ascii="宋体" w:hAnsi="宋体"/>
          <w:spacing w:val="2"/>
          <w:sz w:val="21"/>
          <w:szCs w:val="21"/>
        </w:rPr>
        <w:t>300</w:t>
      </w:r>
      <w:r>
        <w:rPr>
          <w:rFonts w:hint="eastAsia" w:ascii="宋体" w:hAnsi="宋体"/>
          <w:spacing w:val="2"/>
          <w:sz w:val="21"/>
          <w:szCs w:val="21"/>
        </w:rPr>
        <w:t>】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color w:val="0000FF"/>
          <w:spacing w:val="2"/>
          <w:sz w:val="21"/>
          <w:szCs w:val="21"/>
        </w:rPr>
        <w:t>。</w:t>
      </w:r>
      <w:r>
        <w:rPr>
          <w:rFonts w:hint="eastAsia" w:ascii="宋体" w:hAnsi="宋体"/>
          <w:spacing w:val="2"/>
          <w:sz w:val="21"/>
          <w:szCs w:val="21"/>
        </w:rPr>
        <w:t>（公众号注册审核联系商务专员</w:t>
      </w:r>
      <w:bookmarkStart w:id="8" w:name="_GoBack"/>
      <w:bookmarkEnd w:id="8"/>
      <w:r>
        <w:rPr>
          <w:rFonts w:hint="eastAsia" w:ascii="宋体" w:hAnsi="宋体" w:cs="宋体"/>
          <w:spacing w:val="2"/>
          <w:sz w:val="21"/>
          <w:szCs w:val="21"/>
        </w:rPr>
        <w:t>，电话：</w:t>
      </w:r>
      <w:r>
        <w:rPr>
          <w:rFonts w:ascii="宋体" w:hAnsi="宋体"/>
          <w:spacing w:val="2"/>
          <w:sz w:val="21"/>
          <w:szCs w:val="21"/>
        </w:rPr>
        <w:t>180 6075 3032</w:t>
      </w:r>
      <w:r>
        <w:rPr>
          <w:rFonts w:hint="eastAsia" w:ascii="宋体" w:hAnsi="宋体"/>
          <w:spacing w:val="2"/>
          <w:sz w:val="21"/>
          <w:szCs w:val="21"/>
        </w:rPr>
        <w:t>）</w:t>
      </w:r>
    </w:p>
    <w:p>
      <w:pPr>
        <w:tabs>
          <w:tab w:val="left" w:pos="993"/>
          <w:tab w:val="left" w:pos="1134"/>
        </w:tabs>
        <w:adjustRightInd w:val="0"/>
        <w:snapToGrid w:val="0"/>
        <w:spacing w:line="440" w:lineRule="exact"/>
        <w:ind w:firstLine="424" w:firstLineChars="202"/>
        <w:rPr>
          <w:rFonts w:ascii="宋体" w:hAnsi="宋体"/>
          <w:color w:val="0000FF"/>
          <w:spacing w:val="2"/>
          <w:sz w:val="21"/>
          <w:szCs w:val="21"/>
        </w:rPr>
      </w:pPr>
      <w:r>
        <w:rPr>
          <w:rFonts w:hint="eastAsia" w:ascii="宋体" w:hAnsi="宋体"/>
          <w:color w:val="0000FF"/>
          <w:sz w:val="21"/>
          <w:szCs w:val="21"/>
        </w:rPr>
        <w:t>注意：登录“链捷招”微信公众号完成招标文件网上登记购买，请务必在支付成功后保存支付凭证，并登陆“</w:t>
      </w:r>
      <w:r>
        <w:rPr>
          <w:rFonts w:hint="eastAsia" w:ascii="宋体" w:hAnsi="宋体"/>
          <w:sz w:val="21"/>
          <w:szCs w:val="21"/>
        </w:rPr>
        <w:t>中国电信阳光采购网电子交易二期平台</w:t>
      </w:r>
      <w:r>
        <w:rPr>
          <w:rFonts w:hint="eastAsia" w:ascii="宋体" w:hAnsi="宋体"/>
          <w:color w:val="0000FF"/>
          <w:sz w:val="21"/>
          <w:szCs w:val="21"/>
        </w:rPr>
        <w:t>”进行招标文件的登记申领</w:t>
      </w:r>
      <w:r>
        <w:rPr>
          <w:rFonts w:hint="eastAsia" w:ascii="宋体" w:hAnsi="宋体"/>
          <w:color w:val="0000FF"/>
          <w:spacing w:val="2"/>
          <w:sz w:val="21"/>
          <w:szCs w:val="21"/>
        </w:rPr>
        <w:t>。</w:t>
      </w:r>
    </w:p>
    <w:p>
      <w:pPr>
        <w:pStyle w:val="5"/>
        <w:rPr>
          <w:rFonts w:ascii="宋体" w:hAnsi="宋体" w:eastAsia="宋体"/>
          <w:sz w:val="21"/>
          <w:szCs w:val="21"/>
        </w:rPr>
      </w:pPr>
      <w:bookmarkStart w:id="5" w:name="_Toc69994024"/>
      <w:r>
        <w:rPr>
          <w:rFonts w:hint="eastAsia" w:ascii="宋体" w:hAnsi="宋体" w:eastAsia="宋体"/>
          <w:sz w:val="21"/>
          <w:szCs w:val="21"/>
        </w:rPr>
        <w:t>5．投标文件的递交</w:t>
      </w:r>
      <w:bookmarkEnd w:id="5"/>
    </w:p>
    <w:p>
      <w:pPr>
        <w:pStyle w:val="105"/>
        <w:numPr>
          <w:ilvl w:val="1"/>
          <w:numId w:val="14"/>
        </w:numPr>
        <w:topLinePunct w:val="0"/>
        <w:adjustRightInd w:val="0"/>
        <w:snapToGrid w:val="0"/>
        <w:spacing w:line="440" w:lineRule="exact"/>
        <w:ind w:left="0" w:firstLine="426" w:firstLineChars="0"/>
        <w:rPr>
          <w:rFonts w:ascii="宋体" w:hAnsi="宋体"/>
          <w:sz w:val="21"/>
          <w:szCs w:val="21"/>
        </w:rPr>
      </w:pPr>
      <w:r>
        <w:rPr>
          <w:rFonts w:hint="eastAsia" w:ascii="宋体" w:hAnsi="宋体"/>
          <w:sz w:val="21"/>
          <w:szCs w:val="21"/>
        </w:rPr>
        <w:t>投标文件递交截止时间（即投标截止时间）为：【</w:t>
      </w:r>
      <w:r>
        <w:rPr>
          <w:rFonts w:ascii="宋体" w:hAnsi="宋体"/>
          <w:color w:val="FF0000"/>
          <w:sz w:val="21"/>
          <w:szCs w:val="21"/>
        </w:rPr>
        <w:t>2021</w:t>
      </w:r>
      <w:r>
        <w:rPr>
          <w:rFonts w:hint="eastAsia" w:ascii="宋体" w:hAnsi="宋体"/>
          <w:color w:val="FF0000"/>
          <w:sz w:val="21"/>
          <w:szCs w:val="21"/>
        </w:rPr>
        <w:t>年</w:t>
      </w:r>
      <w:r>
        <w:rPr>
          <w:rFonts w:hint="eastAsia" w:ascii="宋体" w:hAnsi="宋体"/>
          <w:color w:val="FF0000"/>
          <w:sz w:val="21"/>
          <w:szCs w:val="21"/>
          <w:lang w:val="en-US" w:eastAsia="zh-CN"/>
        </w:rPr>
        <w:t>6</w:t>
      </w:r>
      <w:r>
        <w:rPr>
          <w:rFonts w:hint="eastAsia" w:ascii="宋体" w:hAnsi="宋体"/>
          <w:color w:val="FF0000"/>
          <w:sz w:val="21"/>
          <w:szCs w:val="21"/>
        </w:rPr>
        <w:t>月</w:t>
      </w:r>
      <w:r>
        <w:rPr>
          <w:rFonts w:hint="eastAsia" w:ascii="宋体" w:hAnsi="宋体"/>
          <w:color w:val="FF0000"/>
          <w:sz w:val="21"/>
          <w:szCs w:val="21"/>
          <w:lang w:val="en-US" w:eastAsia="zh-CN"/>
        </w:rPr>
        <w:t>17</w:t>
      </w:r>
      <w:r>
        <w:rPr>
          <w:rFonts w:hint="eastAsia" w:ascii="宋体" w:hAnsi="宋体"/>
          <w:color w:val="FF0000"/>
          <w:sz w:val="21"/>
          <w:szCs w:val="21"/>
        </w:rPr>
        <w:t>日</w:t>
      </w:r>
      <w:r>
        <w:rPr>
          <w:rFonts w:ascii="宋体" w:hAnsi="宋体"/>
          <w:color w:val="FF0000"/>
          <w:sz w:val="21"/>
          <w:szCs w:val="21"/>
        </w:rPr>
        <w:t>9</w:t>
      </w:r>
      <w:r>
        <w:rPr>
          <w:rFonts w:hint="eastAsia" w:ascii="宋体" w:hAnsi="宋体"/>
          <w:color w:val="FF0000"/>
          <w:sz w:val="21"/>
          <w:szCs w:val="21"/>
        </w:rPr>
        <w:t>时</w:t>
      </w:r>
      <w:r>
        <w:rPr>
          <w:rFonts w:ascii="宋体" w:hAnsi="宋体"/>
          <w:color w:val="FF0000"/>
          <w:sz w:val="21"/>
          <w:szCs w:val="21"/>
        </w:rPr>
        <w:t>00</w:t>
      </w:r>
      <w:r>
        <w:rPr>
          <w:rFonts w:hint="eastAsia" w:ascii="宋体" w:hAnsi="宋体"/>
          <w:color w:val="FF0000"/>
          <w:sz w:val="21"/>
          <w:szCs w:val="21"/>
        </w:rPr>
        <w:t>分</w:t>
      </w:r>
      <w:r>
        <w:rPr>
          <w:rFonts w:hint="eastAsia" w:ascii="宋体" w:hAnsi="宋体"/>
          <w:sz w:val="21"/>
          <w:szCs w:val="21"/>
        </w:rPr>
        <w:t>】。</w:t>
      </w:r>
    </w:p>
    <w:p>
      <w:pPr>
        <w:pStyle w:val="105"/>
        <w:numPr>
          <w:ilvl w:val="1"/>
          <w:numId w:val="14"/>
        </w:numPr>
        <w:topLinePunct w:val="0"/>
        <w:adjustRightInd w:val="0"/>
        <w:snapToGrid w:val="0"/>
        <w:spacing w:line="440" w:lineRule="exact"/>
        <w:ind w:left="0" w:firstLine="425" w:firstLineChars="0"/>
        <w:rPr>
          <w:rFonts w:hint="eastAsia" w:ascii="宋体" w:hAnsi="宋体"/>
          <w:sz w:val="21"/>
          <w:szCs w:val="21"/>
        </w:rPr>
      </w:pPr>
      <w:r>
        <w:rPr>
          <w:rFonts w:hint="eastAsia" w:ascii="宋体" w:hAnsi="宋体"/>
          <w:sz w:val="21"/>
          <w:szCs w:val="21"/>
        </w:rPr>
        <w:t>纸质投标文件递交地点：【</w:t>
      </w:r>
      <w:r>
        <w:rPr>
          <w:rFonts w:hint="eastAsia" w:ascii="宋体" w:hAnsi="宋体"/>
          <w:color w:val="FF0000"/>
          <w:sz w:val="21"/>
          <w:szCs w:val="21"/>
          <w:lang w:eastAsia="zh-CN"/>
        </w:rPr>
        <w:t>福建省福州市仓山区信平路1</w:t>
      </w:r>
      <w:r>
        <w:rPr>
          <w:rFonts w:ascii="宋体" w:hAnsi="宋体"/>
          <w:color w:val="FF0000"/>
          <w:sz w:val="21"/>
          <w:szCs w:val="21"/>
          <w:lang w:eastAsia="zh-CN"/>
        </w:rPr>
        <w:t>0</w:t>
      </w:r>
      <w:r>
        <w:rPr>
          <w:rFonts w:hint="eastAsia" w:ascii="宋体" w:hAnsi="宋体"/>
          <w:color w:val="FF0000"/>
          <w:sz w:val="21"/>
          <w:szCs w:val="21"/>
          <w:lang w:eastAsia="zh-CN"/>
        </w:rPr>
        <w:t>号福建省中通通信物流有限公司6楼第二会议室</w:t>
      </w:r>
      <w:r>
        <w:rPr>
          <w:rFonts w:hint="eastAsia" w:ascii="宋体" w:hAnsi="宋体"/>
          <w:sz w:val="21"/>
          <w:szCs w:val="21"/>
        </w:rPr>
        <w:t>】。</w:t>
      </w:r>
    </w:p>
    <w:p>
      <w:pPr>
        <w:pStyle w:val="105"/>
        <w:topLinePunct w:val="0"/>
        <w:adjustRightInd w:val="0"/>
        <w:snapToGrid w:val="0"/>
        <w:spacing w:line="440" w:lineRule="exact"/>
        <w:ind w:firstLine="525" w:firstLineChars="250"/>
        <w:rPr>
          <w:rFonts w:hint="eastAsia" w:ascii="宋体" w:hAnsi="宋体"/>
          <w:sz w:val="21"/>
          <w:szCs w:val="21"/>
          <w:lang w:eastAsia="zh-CN"/>
        </w:rPr>
      </w:pPr>
      <w:r>
        <w:rPr>
          <w:rFonts w:hint="eastAsia" w:ascii="宋体" w:hAnsi="宋体"/>
          <w:sz w:val="21"/>
          <w:szCs w:val="21"/>
          <w:highlight w:val="yellow"/>
        </w:rPr>
        <w:t>本项目不强制投标人递交不加密的投标文件和纸质投标文件，但投标人在投标截止时间前未递交不加密投标文件、纸质投标文件的，将会失去补救机会（补救规则详见公告5.3）</w:t>
      </w:r>
    </w:p>
    <w:p>
      <w:pPr>
        <w:pStyle w:val="105"/>
        <w:topLinePunct w:val="0"/>
        <w:adjustRightInd w:val="0"/>
        <w:snapToGrid w:val="0"/>
        <w:spacing w:line="440" w:lineRule="exact"/>
        <w:ind w:firstLine="525" w:firstLineChars="250"/>
        <w:rPr>
          <w:rFonts w:hint="eastAsia" w:ascii="宋体" w:hAnsi="宋体"/>
          <w:sz w:val="21"/>
          <w:szCs w:val="21"/>
          <w:lang w:eastAsia="zh-CN"/>
        </w:rPr>
      </w:pPr>
      <w:r>
        <w:rPr>
          <w:rFonts w:hint="eastAsia" w:ascii="宋体" w:hAnsi="宋体"/>
          <w:sz w:val="21"/>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91"/>
          <w:rFonts w:hint="eastAsia" w:ascii="宋体" w:hAnsi="宋体"/>
        </w:rPr>
        <w:t>【文件寄出后第一时间将邮寄、快递凭证通过邮件方式发送招标代理机构邮箱】</w:t>
      </w:r>
    </w:p>
    <w:p>
      <w:pPr>
        <w:pStyle w:val="105"/>
        <w:numPr>
          <w:ilvl w:val="1"/>
          <w:numId w:val="14"/>
        </w:numPr>
        <w:topLinePunct w:val="0"/>
        <w:adjustRightInd w:val="0"/>
        <w:snapToGrid w:val="0"/>
        <w:spacing w:line="440" w:lineRule="exact"/>
        <w:ind w:left="0" w:firstLine="425" w:firstLineChars="0"/>
        <w:rPr>
          <w:rFonts w:ascii="宋体" w:hAnsi="宋体"/>
          <w:sz w:val="21"/>
          <w:szCs w:val="21"/>
        </w:rPr>
      </w:pPr>
      <w:r>
        <w:rPr>
          <w:rFonts w:hint="eastAsia" w:ascii="宋体" w:hAnsi="宋体"/>
          <w:sz w:val="21"/>
          <w:szCs w:val="21"/>
        </w:rPr>
        <w:t>电子投标文件的递交：投标人应在投标文件递交截止时间之前通过“投标文件制作软件（中国电信）”生成电子投标文件的加密版本和不加密版本，加密版本通过中国电信阳光采购网电子交易二期平台(</w:t>
      </w:r>
      <w:r>
        <w:rPr>
          <w:rFonts w:ascii="宋体" w:hAnsi="宋体"/>
          <w:sz w:val="21"/>
          <w:szCs w:val="21"/>
        </w:rPr>
        <w:fldChar w:fldCharType="begin"/>
      </w:r>
      <w:r>
        <w:rPr>
          <w:rFonts w:ascii="宋体" w:hAnsi="宋体"/>
          <w:sz w:val="21"/>
          <w:szCs w:val="21"/>
        </w:rPr>
        <w:instrText xml:space="preserve">HYPERLINK "http://trade.chinatelecom.com.cn/TPFrame"</w:instrText>
      </w:r>
      <w:r>
        <w:rPr>
          <w:rFonts w:ascii="宋体" w:hAnsi="宋体"/>
          <w:sz w:val="21"/>
          <w:szCs w:val="21"/>
        </w:rPr>
        <w:fldChar w:fldCharType="separate"/>
      </w:r>
      <w:r>
        <w:rPr>
          <w:rFonts w:ascii="宋体" w:hAnsi="宋体"/>
          <w:sz w:val="21"/>
          <w:szCs w:val="21"/>
        </w:rPr>
        <w:t>http://trade.chinatelecom.com.cn/TPFrame</w:t>
      </w:r>
      <w:r>
        <w:rPr>
          <w:rFonts w:ascii="宋体" w:hAnsi="宋体"/>
          <w:sz w:val="21"/>
          <w:szCs w:val="21"/>
        </w:rPr>
        <w:fldChar w:fldCharType="end"/>
      </w:r>
      <w:r>
        <w:rPr>
          <w:rFonts w:hint="eastAsia" w:ascii="宋体" w:hAnsi="宋体"/>
          <w:sz w:val="21"/>
          <w:szCs w:val="21"/>
        </w:rPr>
        <w:t>)提交，不加密版本随纸质投标文件一并提交。投标人未在交易平台进行招标文件申领登记或电子投标文件未按照要求加密的，将无法通过交易平台提交电子投标文件。</w:t>
      </w:r>
    </w:p>
    <w:p>
      <w:pPr>
        <w:pStyle w:val="105"/>
        <w:adjustRightInd w:val="0"/>
        <w:snapToGrid w:val="0"/>
        <w:spacing w:line="440" w:lineRule="exact"/>
        <w:rPr>
          <w:rFonts w:ascii="宋体" w:hAnsi="宋体"/>
          <w:sz w:val="21"/>
          <w:szCs w:val="21"/>
        </w:rPr>
      </w:pPr>
      <w:r>
        <w:rPr>
          <w:rFonts w:hint="eastAsia" w:ascii="宋体" w:hAnsi="宋体"/>
          <w:sz w:val="21"/>
          <w:szCs w:val="21"/>
        </w:rPr>
        <w:t>电子投标文件递交及解密异常时的处理方式：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pStyle w:val="105"/>
        <w:adjustRightInd w:val="0"/>
        <w:snapToGrid w:val="0"/>
        <w:spacing w:line="440" w:lineRule="exact"/>
        <w:rPr>
          <w:rFonts w:ascii="宋体" w:hAnsi="宋体"/>
          <w:sz w:val="21"/>
          <w:szCs w:val="21"/>
        </w:rPr>
      </w:pPr>
      <w:r>
        <w:rPr>
          <w:rFonts w:hint="eastAsia" w:ascii="宋体" w:hAnsi="宋体"/>
          <w:sz w:val="21"/>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w:t>
      </w:r>
      <w:r>
        <w:rPr>
          <w:rFonts w:hint="eastAsia" w:ascii="宋体" w:hAnsi="宋体"/>
          <w:sz w:val="21"/>
          <w:szCs w:val="21"/>
          <w:lang w:eastAsia="zh-CN"/>
        </w:rPr>
        <w:t>。</w:t>
      </w:r>
      <w:r>
        <w:rPr>
          <w:rFonts w:hint="eastAsia" w:ascii="宋体" w:hAnsi="宋体"/>
          <w:sz w:val="21"/>
          <w:szCs w:val="21"/>
        </w:rPr>
        <w:t>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pStyle w:val="105"/>
        <w:adjustRightInd w:val="0"/>
        <w:snapToGrid w:val="0"/>
        <w:spacing w:line="440" w:lineRule="exact"/>
        <w:rPr>
          <w:rFonts w:ascii="宋体" w:hAnsi="宋体"/>
          <w:sz w:val="21"/>
          <w:szCs w:val="21"/>
        </w:rPr>
      </w:pPr>
      <w:r>
        <w:rPr>
          <w:rFonts w:hint="eastAsia" w:ascii="宋体" w:hAnsi="宋体"/>
          <w:sz w:val="21"/>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p>
    <w:p>
      <w:pPr>
        <w:pStyle w:val="105"/>
        <w:numPr>
          <w:ilvl w:val="1"/>
          <w:numId w:val="14"/>
        </w:numPr>
        <w:topLinePunct w:val="0"/>
        <w:adjustRightInd w:val="0"/>
        <w:snapToGrid w:val="0"/>
        <w:spacing w:line="440" w:lineRule="exact"/>
        <w:ind w:left="0" w:firstLine="425" w:firstLineChars="0"/>
        <w:rPr>
          <w:rFonts w:ascii="宋体" w:hAnsi="宋体"/>
          <w:sz w:val="21"/>
          <w:szCs w:val="21"/>
        </w:rPr>
      </w:pPr>
      <w:r>
        <w:rPr>
          <w:rFonts w:hint="eastAsia" w:ascii="宋体" w:hAnsi="宋体"/>
          <w:sz w:val="21"/>
          <w:szCs w:val="21"/>
        </w:rPr>
        <w:t>本项目将于上述同一时间、地点进行开标，【</w:t>
      </w:r>
      <w:r>
        <w:rPr>
          <w:rFonts w:hint="eastAsia" w:ascii="宋体" w:hAnsi="宋体"/>
          <w:spacing w:val="2"/>
          <w:sz w:val="21"/>
          <w:szCs w:val="21"/>
        </w:rPr>
        <w:t>招标人/招标代理机构</w:t>
      </w:r>
      <w:r>
        <w:rPr>
          <w:rFonts w:hint="eastAsia" w:ascii="宋体" w:hAnsi="宋体"/>
          <w:sz w:val="21"/>
          <w:szCs w:val="21"/>
        </w:rPr>
        <w:t>】邀请投标人的法定代表人或者其委托代理人准时参加。</w:t>
      </w:r>
    </w:p>
    <w:p>
      <w:pPr>
        <w:pStyle w:val="105"/>
        <w:numPr>
          <w:ilvl w:val="1"/>
          <w:numId w:val="14"/>
        </w:numPr>
        <w:topLinePunct w:val="0"/>
        <w:adjustRightInd w:val="0"/>
        <w:snapToGrid w:val="0"/>
        <w:spacing w:line="440" w:lineRule="exact"/>
        <w:ind w:left="0" w:firstLine="425" w:firstLineChars="0"/>
        <w:rPr>
          <w:rFonts w:ascii="宋体" w:hAnsi="宋体"/>
          <w:sz w:val="21"/>
          <w:szCs w:val="21"/>
        </w:rPr>
      </w:pPr>
      <w:r>
        <w:rPr>
          <w:rFonts w:hint="eastAsia" w:ascii="宋体" w:hAnsi="宋体"/>
          <w:sz w:val="21"/>
          <w:szCs w:val="21"/>
        </w:rPr>
        <w:t>招标文件要求递交纸质投标文件的，出现以下情形之一时，【</w:t>
      </w:r>
      <w:r>
        <w:rPr>
          <w:rFonts w:hint="eastAsia" w:ascii="宋体" w:hAnsi="宋体"/>
          <w:spacing w:val="2"/>
          <w:sz w:val="21"/>
          <w:szCs w:val="21"/>
        </w:rPr>
        <w:t>招标人/招标代理机构</w:t>
      </w:r>
      <w:r>
        <w:rPr>
          <w:rFonts w:hint="eastAsia" w:ascii="宋体" w:hAnsi="宋体"/>
          <w:sz w:val="21"/>
          <w:szCs w:val="21"/>
        </w:rPr>
        <w:t>】不予接收：：</w:t>
      </w:r>
    </w:p>
    <w:p>
      <w:pPr>
        <w:pStyle w:val="105"/>
        <w:numPr>
          <w:ilvl w:val="2"/>
          <w:numId w:val="14"/>
        </w:numPr>
        <w:tabs>
          <w:tab w:val="left" w:pos="993"/>
        </w:tabs>
        <w:topLinePunct w:val="0"/>
        <w:adjustRightInd w:val="0"/>
        <w:snapToGrid w:val="0"/>
        <w:spacing w:line="440" w:lineRule="exact"/>
        <w:ind w:left="0" w:firstLine="426" w:firstLineChars="0"/>
        <w:rPr>
          <w:rFonts w:ascii="宋体" w:hAnsi="宋体"/>
          <w:spacing w:val="2"/>
          <w:sz w:val="21"/>
          <w:szCs w:val="21"/>
        </w:rPr>
      </w:pPr>
      <w:r>
        <w:rPr>
          <w:rFonts w:hint="eastAsia" w:ascii="宋体" w:hAnsi="宋体"/>
          <w:spacing w:val="2"/>
          <w:sz w:val="21"/>
          <w:szCs w:val="21"/>
        </w:rPr>
        <w:t>逾期送达或者未送达指定地点的；</w:t>
      </w:r>
    </w:p>
    <w:p>
      <w:pPr>
        <w:pStyle w:val="105"/>
        <w:numPr>
          <w:ilvl w:val="2"/>
          <w:numId w:val="14"/>
        </w:numPr>
        <w:tabs>
          <w:tab w:val="left" w:pos="993"/>
        </w:tabs>
        <w:topLinePunct w:val="0"/>
        <w:adjustRightInd w:val="0"/>
        <w:snapToGrid w:val="0"/>
        <w:spacing w:line="440" w:lineRule="exact"/>
        <w:ind w:left="0" w:firstLine="426" w:firstLineChars="0"/>
        <w:rPr>
          <w:rFonts w:ascii="宋体" w:hAnsi="宋体"/>
          <w:spacing w:val="2"/>
          <w:sz w:val="21"/>
          <w:szCs w:val="21"/>
        </w:rPr>
      </w:pPr>
      <w:r>
        <w:rPr>
          <w:rFonts w:hint="eastAsia" w:ascii="宋体" w:hAnsi="宋体"/>
          <w:spacing w:val="2"/>
          <w:sz w:val="21"/>
          <w:szCs w:val="21"/>
        </w:rPr>
        <w:t>未按照招标文件要求密封的；</w:t>
      </w:r>
    </w:p>
    <w:p>
      <w:pPr>
        <w:pStyle w:val="105"/>
        <w:numPr>
          <w:ilvl w:val="2"/>
          <w:numId w:val="14"/>
        </w:numPr>
        <w:tabs>
          <w:tab w:val="left" w:pos="993"/>
        </w:tabs>
        <w:topLinePunct w:val="0"/>
        <w:adjustRightInd w:val="0"/>
        <w:snapToGrid w:val="0"/>
        <w:spacing w:line="440" w:lineRule="exact"/>
        <w:ind w:left="0" w:firstLine="426" w:firstLineChars="0"/>
        <w:rPr>
          <w:rFonts w:hint="eastAsia" w:ascii="宋体" w:hAnsi="宋体"/>
          <w:spacing w:val="2"/>
          <w:sz w:val="21"/>
          <w:szCs w:val="21"/>
        </w:rPr>
      </w:pPr>
      <w:r>
        <w:rPr>
          <w:rFonts w:hint="eastAsia" w:ascii="宋体" w:hAnsi="宋体"/>
          <w:spacing w:val="2"/>
          <w:sz w:val="21"/>
          <w:szCs w:val="21"/>
        </w:rPr>
        <w:t>未按照本公告要求获得本项目招标文件的</w:t>
      </w:r>
      <w:r>
        <w:rPr>
          <w:rFonts w:hint="eastAsia" w:ascii="宋体" w:hAnsi="宋体"/>
          <w:spacing w:val="2"/>
          <w:sz w:val="21"/>
          <w:szCs w:val="21"/>
          <w:lang w:eastAsia="zh-CN"/>
        </w:rPr>
        <w:t>。</w:t>
      </w:r>
    </w:p>
    <w:p>
      <w:pPr>
        <w:pStyle w:val="5"/>
        <w:rPr>
          <w:rFonts w:hint="eastAsia" w:ascii="宋体" w:hAnsi="宋体" w:eastAsia="宋体"/>
          <w:sz w:val="21"/>
          <w:szCs w:val="21"/>
        </w:rPr>
      </w:pPr>
      <w:bookmarkStart w:id="6" w:name="_Toc69994025"/>
      <w:r>
        <w:rPr>
          <w:rFonts w:hint="eastAsia" w:ascii="宋体" w:hAnsi="宋体" w:eastAsia="宋体"/>
          <w:sz w:val="21"/>
          <w:szCs w:val="21"/>
        </w:rPr>
        <w:t>6.</w:t>
      </w:r>
      <w:r>
        <w:rPr>
          <w:rFonts w:hint="eastAsia" w:ascii="宋体" w:hAnsi="宋体" w:eastAsia="宋体"/>
          <w:sz w:val="21"/>
          <w:szCs w:val="21"/>
        </w:rPr>
        <w:tab/>
      </w:r>
      <w:r>
        <w:rPr>
          <w:rFonts w:hint="eastAsia" w:ascii="宋体" w:hAnsi="宋体" w:eastAsia="宋体"/>
          <w:sz w:val="21"/>
          <w:szCs w:val="21"/>
        </w:rPr>
        <w:t>投标人注册</w:t>
      </w:r>
      <w:bookmarkEnd w:id="6"/>
    </w:p>
    <w:p>
      <w:pPr>
        <w:pStyle w:val="105"/>
        <w:numPr>
          <w:ilvl w:val="0"/>
          <w:numId w:val="15"/>
        </w:numPr>
        <w:tabs>
          <w:tab w:val="left" w:pos="709"/>
          <w:tab w:val="left" w:pos="993"/>
          <w:tab w:val="left" w:pos="1134"/>
        </w:tabs>
        <w:topLinePunct w:val="0"/>
        <w:adjustRightInd w:val="0"/>
        <w:snapToGrid w:val="0"/>
        <w:spacing w:line="440" w:lineRule="exact"/>
        <w:ind w:firstLineChars="0"/>
        <w:rPr>
          <w:rFonts w:hint="eastAsia" w:ascii="宋体" w:hAnsi="宋体"/>
          <w:vanish/>
          <w:sz w:val="21"/>
          <w:szCs w:val="21"/>
        </w:rPr>
      </w:pPr>
    </w:p>
    <w:p>
      <w:pPr>
        <w:pStyle w:val="105"/>
        <w:numPr>
          <w:ilvl w:val="0"/>
          <w:numId w:val="15"/>
        </w:numPr>
        <w:tabs>
          <w:tab w:val="left" w:pos="709"/>
          <w:tab w:val="left" w:pos="993"/>
          <w:tab w:val="left" w:pos="1134"/>
        </w:tabs>
        <w:topLinePunct w:val="0"/>
        <w:adjustRightInd w:val="0"/>
        <w:snapToGrid w:val="0"/>
        <w:spacing w:line="440" w:lineRule="exact"/>
        <w:ind w:firstLineChars="0"/>
        <w:rPr>
          <w:rFonts w:hint="eastAsia" w:ascii="宋体" w:hAnsi="宋体"/>
          <w:vanish/>
          <w:sz w:val="21"/>
          <w:szCs w:val="21"/>
        </w:rPr>
      </w:pPr>
    </w:p>
    <w:p>
      <w:pPr>
        <w:pStyle w:val="105"/>
        <w:numPr>
          <w:ilvl w:val="1"/>
          <w:numId w:val="15"/>
        </w:numPr>
        <w:tabs>
          <w:tab w:val="left" w:pos="709"/>
          <w:tab w:val="left" w:pos="993"/>
          <w:tab w:val="left" w:pos="1134"/>
        </w:tabs>
        <w:topLinePunct w:val="0"/>
        <w:adjustRightInd w:val="0"/>
        <w:snapToGrid w:val="0"/>
        <w:spacing w:line="440" w:lineRule="exact"/>
        <w:ind w:firstLineChars="0"/>
        <w:rPr>
          <w:rFonts w:hint="eastAsia" w:ascii="宋体" w:hAnsi="宋体"/>
          <w:vanish/>
          <w:sz w:val="21"/>
          <w:szCs w:val="21"/>
        </w:rPr>
      </w:pPr>
    </w:p>
    <w:p>
      <w:pPr>
        <w:pStyle w:val="105"/>
        <w:numPr>
          <w:ilvl w:val="2"/>
          <w:numId w:val="15"/>
        </w:numPr>
        <w:tabs>
          <w:tab w:val="left" w:pos="709"/>
          <w:tab w:val="left" w:pos="993"/>
          <w:tab w:val="left" w:pos="1134"/>
        </w:tabs>
        <w:topLinePunct w:val="0"/>
        <w:adjustRightInd w:val="0"/>
        <w:snapToGrid w:val="0"/>
        <w:spacing w:line="440" w:lineRule="exact"/>
        <w:ind w:firstLineChars="0"/>
        <w:rPr>
          <w:rFonts w:ascii="宋体" w:hAnsi="宋体"/>
          <w:spacing w:val="2"/>
          <w:sz w:val="21"/>
          <w:szCs w:val="21"/>
        </w:rPr>
      </w:pPr>
      <w:r>
        <w:rPr>
          <w:rFonts w:hint="eastAsia" w:ascii="宋体" w:hAnsi="宋体"/>
          <w:sz w:val="21"/>
          <w:szCs w:val="21"/>
        </w:rPr>
        <w:t>中国电信阳光采购网电子交易二期平台注册及</w:t>
      </w:r>
      <w:r>
        <w:rPr>
          <w:rFonts w:ascii="宋体" w:hAnsi="宋体"/>
          <w:sz w:val="21"/>
          <w:szCs w:val="21"/>
        </w:rPr>
        <w:t>CA</w:t>
      </w:r>
      <w:r>
        <w:rPr>
          <w:rFonts w:hint="eastAsia" w:ascii="宋体" w:hAnsi="宋体"/>
          <w:sz w:val="21"/>
          <w:szCs w:val="21"/>
        </w:rPr>
        <w:t>证书办理</w:t>
      </w:r>
    </w:p>
    <w:p>
      <w:pPr>
        <w:pStyle w:val="105"/>
        <w:numPr>
          <w:ilvl w:val="2"/>
          <w:numId w:val="15"/>
        </w:numPr>
        <w:tabs>
          <w:tab w:val="left" w:pos="993"/>
          <w:tab w:val="left" w:pos="1134"/>
        </w:tabs>
        <w:topLinePunct w:val="0"/>
        <w:adjustRightInd w:val="0"/>
        <w:snapToGrid w:val="0"/>
        <w:spacing w:line="440" w:lineRule="exact"/>
        <w:ind w:left="142" w:firstLine="284" w:firstLineChars="0"/>
        <w:rPr>
          <w:rFonts w:ascii="宋体" w:hAnsi="宋体"/>
          <w:spacing w:val="2"/>
          <w:sz w:val="21"/>
          <w:szCs w:val="21"/>
        </w:rPr>
      </w:pPr>
      <w:r>
        <w:rPr>
          <w:rFonts w:hint="eastAsia" w:ascii="宋体" w:hAnsi="宋体"/>
          <w:spacing w:val="2"/>
          <w:sz w:val="21"/>
          <w:szCs w:val="21"/>
        </w:rPr>
        <w:t>平台注册</w:t>
      </w:r>
    </w:p>
    <w:p>
      <w:pPr>
        <w:adjustRightInd w:val="0"/>
        <w:snapToGrid w:val="0"/>
        <w:spacing w:line="440" w:lineRule="exact"/>
        <w:ind w:left="284" w:firstLine="420" w:firstLineChars="200"/>
        <w:rPr>
          <w:rFonts w:ascii="宋体" w:hAnsi="宋体"/>
          <w:sz w:val="21"/>
          <w:szCs w:val="21"/>
        </w:rPr>
      </w:pPr>
      <w:r>
        <w:rPr>
          <w:rFonts w:hint="eastAsia" w:ascii="宋体" w:hAnsi="宋体"/>
          <w:sz w:val="21"/>
          <w:szCs w:val="21"/>
        </w:rPr>
        <w:t>有意参与本项目投标的潜在投标人需完成中国电信阳光采购网电子交易二期平台注册后，方可申领本项目招标文件。</w:t>
      </w:r>
    </w:p>
    <w:p>
      <w:pPr>
        <w:adjustRightInd w:val="0"/>
        <w:snapToGrid w:val="0"/>
        <w:spacing w:line="440" w:lineRule="exact"/>
        <w:ind w:left="284" w:firstLine="420" w:firstLineChars="200"/>
        <w:rPr>
          <w:rFonts w:ascii="宋体" w:hAnsi="宋体"/>
          <w:sz w:val="21"/>
          <w:szCs w:val="21"/>
        </w:rPr>
      </w:pPr>
      <w:r>
        <w:rPr>
          <w:rFonts w:hint="eastAsia" w:ascii="宋体" w:hAnsi="宋体"/>
          <w:sz w:val="21"/>
          <w:szCs w:val="21"/>
        </w:rPr>
        <w:t>已在一期平台https://42.99.33.235/TPBidder注册并审核通过的供应商，使用原网站账号在http://trade.chinatelecom.com.cn/TPFrame二期平台登录，二期平台初始密码可通过《平台投标人密码重置服务申请表》发送至【zb_support@chinatelecom.cn】获取。</w:t>
      </w:r>
    </w:p>
    <w:p>
      <w:pPr>
        <w:adjustRightInd w:val="0"/>
        <w:snapToGrid w:val="0"/>
        <w:spacing w:line="440" w:lineRule="exact"/>
        <w:ind w:left="284" w:firstLine="420" w:firstLineChars="200"/>
        <w:rPr>
          <w:rFonts w:hint="eastAsia" w:ascii="宋体" w:hAnsi="宋体"/>
          <w:sz w:val="21"/>
          <w:szCs w:val="21"/>
        </w:rPr>
      </w:pPr>
      <w:r>
        <w:rPr>
          <w:rFonts w:hint="eastAsia" w:ascii="宋体" w:hAnsi="宋体"/>
          <w:sz w:val="21"/>
          <w:szCs w:val="21"/>
        </w:rPr>
        <w:t>未注册的潜在投标人，请在</w:t>
      </w:r>
      <w:r>
        <w:rPr>
          <w:rFonts w:ascii="宋体" w:hAnsi="宋体"/>
          <w:sz w:val="21"/>
          <w:szCs w:val="21"/>
        </w:rPr>
        <w:fldChar w:fldCharType="begin"/>
      </w:r>
      <w:r>
        <w:rPr>
          <w:rFonts w:ascii="宋体" w:hAnsi="宋体"/>
          <w:sz w:val="21"/>
          <w:szCs w:val="21"/>
        </w:rPr>
        <w:instrText xml:space="preserve">HYPERLINK "http://trade.chinatelecom.com.cn/TPFrame"</w:instrText>
      </w:r>
      <w:r>
        <w:rPr>
          <w:rFonts w:ascii="宋体" w:hAnsi="宋体"/>
          <w:sz w:val="21"/>
          <w:szCs w:val="21"/>
        </w:rPr>
        <w:fldChar w:fldCharType="separate"/>
      </w:r>
      <w:r>
        <w:rPr>
          <w:rStyle w:val="90"/>
          <w:rFonts w:hint="eastAsia" w:ascii="宋体" w:hAnsi="宋体"/>
          <w:sz w:val="21"/>
          <w:szCs w:val="21"/>
        </w:rPr>
        <w:t>http://trade.chinatelecom.com.cn/TPFrame</w:t>
      </w:r>
      <w:r>
        <w:rPr>
          <w:rFonts w:ascii="宋体" w:hAnsi="宋体"/>
          <w:sz w:val="21"/>
          <w:szCs w:val="21"/>
        </w:rPr>
        <w:fldChar w:fldCharType="end"/>
      </w:r>
      <w:r>
        <w:rPr>
          <w:rFonts w:hint="eastAsia" w:ascii="宋体" w:hAnsi="宋体"/>
          <w:sz w:val="21"/>
          <w:szCs w:val="21"/>
        </w:rPr>
        <w:t>二期平台首页进行注册。具体操作和相关表单的使用详见平台首页操作指南—投标人专区中的《中国电信电子交易平台投标人（二期平台）注册指南》。</w:t>
      </w:r>
    </w:p>
    <w:p>
      <w:pPr>
        <w:pStyle w:val="105"/>
        <w:numPr>
          <w:ilvl w:val="2"/>
          <w:numId w:val="15"/>
        </w:numPr>
        <w:tabs>
          <w:tab w:val="left" w:pos="993"/>
        </w:tabs>
        <w:topLinePunct w:val="0"/>
        <w:adjustRightInd w:val="0"/>
        <w:snapToGrid w:val="0"/>
        <w:spacing w:line="440" w:lineRule="exact"/>
        <w:ind w:left="284" w:firstLine="426" w:firstLineChars="0"/>
        <w:rPr>
          <w:rFonts w:ascii="宋体" w:hAnsi="宋体"/>
          <w:spacing w:val="2"/>
          <w:sz w:val="21"/>
          <w:szCs w:val="21"/>
        </w:rPr>
      </w:pPr>
      <w:r>
        <w:rPr>
          <w:rFonts w:hint="eastAsia" w:ascii="宋体" w:hAnsi="宋体"/>
          <w:spacing w:val="2"/>
          <w:sz w:val="21"/>
          <w:szCs w:val="21"/>
        </w:rPr>
        <w:t>CA证书办理</w:t>
      </w:r>
    </w:p>
    <w:p>
      <w:pPr>
        <w:pStyle w:val="105"/>
        <w:tabs>
          <w:tab w:val="left" w:pos="993"/>
        </w:tabs>
        <w:adjustRightInd w:val="0"/>
        <w:snapToGrid w:val="0"/>
        <w:spacing w:line="440" w:lineRule="exact"/>
        <w:ind w:left="284"/>
        <w:rPr>
          <w:rFonts w:ascii="宋体" w:hAnsi="宋体"/>
          <w:spacing w:val="2"/>
          <w:sz w:val="21"/>
          <w:szCs w:val="21"/>
        </w:rPr>
      </w:pPr>
      <w:r>
        <w:rPr>
          <w:rFonts w:ascii="宋体" w:hAnsi="宋体" w:cs="宋体"/>
          <w:color w:val="FF0000"/>
          <w:kern w:val="0"/>
          <w:sz w:val="21"/>
          <w:szCs w:val="21"/>
        </w:rPr>
        <w:t>特别提醒：</w:t>
      </w:r>
      <w:r>
        <w:rPr>
          <w:rFonts w:hint="eastAsia" w:ascii="宋体" w:hAnsi="宋体" w:cs="宋体"/>
          <w:color w:val="FF0000"/>
          <w:kern w:val="0"/>
          <w:sz w:val="21"/>
          <w:szCs w:val="21"/>
        </w:rPr>
        <w:t>一旦CA证书办理成功即</w:t>
      </w:r>
      <w:r>
        <w:rPr>
          <w:rFonts w:ascii="宋体" w:hAnsi="宋体" w:cs="宋体"/>
          <w:color w:val="FF0000"/>
          <w:kern w:val="0"/>
          <w:sz w:val="21"/>
          <w:szCs w:val="21"/>
        </w:rPr>
        <w:t>与账号绑定</w:t>
      </w:r>
      <w:r>
        <w:rPr>
          <w:rFonts w:hint="eastAsia" w:ascii="宋体" w:hAnsi="宋体" w:cs="宋体"/>
          <w:color w:val="FF0000"/>
          <w:kern w:val="0"/>
          <w:sz w:val="21"/>
          <w:szCs w:val="21"/>
        </w:rPr>
        <w:t>，在C</w:t>
      </w:r>
      <w:r>
        <w:rPr>
          <w:rFonts w:ascii="宋体" w:hAnsi="宋体" w:cs="宋体"/>
          <w:color w:val="FF0000"/>
          <w:kern w:val="0"/>
          <w:sz w:val="21"/>
          <w:szCs w:val="21"/>
        </w:rPr>
        <w:t>A证书办理及邮寄过程中</w:t>
      </w:r>
      <w:r>
        <w:rPr>
          <w:rFonts w:hint="eastAsia" w:ascii="宋体" w:hAnsi="宋体" w:cs="宋体"/>
          <w:color w:val="FF0000"/>
          <w:kern w:val="0"/>
          <w:sz w:val="21"/>
          <w:szCs w:val="21"/>
        </w:rPr>
        <w:t>，将无法登录系统操作（电子签章、电子投标文件上传、开标现场解密等）。建议</w:t>
      </w:r>
      <w:r>
        <w:rPr>
          <w:rFonts w:ascii="宋体" w:hAnsi="宋体" w:cs="宋体"/>
          <w:color w:val="FF0000"/>
          <w:kern w:val="0"/>
          <w:sz w:val="21"/>
          <w:szCs w:val="21"/>
        </w:rPr>
        <w:t>首次注册的供应商在账号审核通过后，先</w:t>
      </w:r>
      <w:r>
        <w:rPr>
          <w:rFonts w:hint="eastAsia" w:ascii="宋体" w:hAnsi="宋体" w:cs="宋体"/>
          <w:color w:val="FF0000"/>
          <w:kern w:val="0"/>
          <w:sz w:val="21"/>
          <w:szCs w:val="21"/>
        </w:rPr>
        <w:t>立即进行招标文件的登记申领，待招标文件登记申领成功之后再向CA机构申请办理CA证书。</w:t>
      </w:r>
    </w:p>
    <w:p>
      <w:pPr>
        <w:pStyle w:val="105"/>
        <w:tabs>
          <w:tab w:val="left" w:pos="1134"/>
        </w:tabs>
        <w:adjustRightInd w:val="0"/>
        <w:snapToGrid w:val="0"/>
        <w:spacing w:line="440" w:lineRule="exact"/>
        <w:ind w:left="284" w:firstLine="425" w:firstLineChars="199"/>
        <w:rPr>
          <w:rFonts w:ascii="宋体" w:hAnsi="宋体"/>
          <w:spacing w:val="2"/>
          <w:sz w:val="21"/>
          <w:szCs w:val="21"/>
        </w:rPr>
      </w:pPr>
      <w:r>
        <w:rPr>
          <w:rFonts w:hint="eastAsia" w:ascii="宋体" w:hAnsi="宋体"/>
          <w:spacing w:val="2"/>
          <w:sz w:val="21"/>
          <w:szCs w:val="21"/>
        </w:rPr>
        <w:t>使用平台进行电子投标的潜在投标人须提前办理CA证书进行投标文件编制和投标，并确保CA证书在使用时有效。CA证书办理流程详见平台首页“CA办理”专区《中国电信电子招投标交易平台CA证书办理指南（供应商、招标代理）》，CA证书售后不退。</w:t>
      </w:r>
    </w:p>
    <w:p>
      <w:pPr>
        <w:pStyle w:val="105"/>
        <w:numPr>
          <w:ilvl w:val="2"/>
          <w:numId w:val="15"/>
        </w:numPr>
        <w:tabs>
          <w:tab w:val="left" w:pos="993"/>
        </w:tabs>
        <w:topLinePunct w:val="0"/>
        <w:adjustRightInd w:val="0"/>
        <w:snapToGrid w:val="0"/>
        <w:spacing w:line="440" w:lineRule="exact"/>
        <w:ind w:left="284" w:firstLine="426" w:firstLineChars="0"/>
        <w:rPr>
          <w:rFonts w:ascii="宋体" w:hAnsi="宋体"/>
          <w:spacing w:val="2"/>
          <w:sz w:val="21"/>
          <w:szCs w:val="21"/>
        </w:rPr>
      </w:pPr>
      <w:r>
        <w:rPr>
          <w:rFonts w:ascii="宋体" w:hAnsi="宋体" w:cs="宋体"/>
          <w:kern w:val="0"/>
          <w:sz w:val="21"/>
          <w:szCs w:val="21"/>
        </w:rPr>
        <w:t>技术支撑联系方式</w:t>
      </w:r>
    </w:p>
    <w:p>
      <w:pPr>
        <w:adjustRightInd w:val="0"/>
        <w:snapToGrid w:val="0"/>
        <w:spacing w:line="440" w:lineRule="exact"/>
        <w:ind w:left="284" w:firstLine="420" w:firstLineChars="200"/>
        <w:rPr>
          <w:rFonts w:ascii="宋体" w:hAnsi="宋体"/>
          <w:spacing w:val="2"/>
          <w:sz w:val="21"/>
          <w:szCs w:val="21"/>
        </w:rPr>
      </w:pPr>
      <w:r>
        <w:rPr>
          <w:rFonts w:hint="eastAsia" w:ascii="宋体" w:hAnsi="宋体" w:cs="宋体"/>
          <w:kern w:val="0"/>
          <w:sz w:val="21"/>
          <w:szCs w:val="21"/>
        </w:rPr>
        <w:t>平台技术支撑：电话【4008227188】，邮件【zb_support@chinatelecom.cn】。工作时间：周一至周五 09:00-12:00 14:00-18:00</w:t>
      </w:r>
      <w:r>
        <w:rPr>
          <w:rFonts w:ascii="宋体" w:hAnsi="宋体" w:cs="宋体"/>
          <w:kern w:val="0"/>
          <w:sz w:val="21"/>
          <w:szCs w:val="21"/>
        </w:rPr>
        <w:t>。</w:t>
      </w:r>
    </w:p>
    <w:p>
      <w:pPr>
        <w:adjustRightInd w:val="0"/>
        <w:snapToGrid w:val="0"/>
        <w:spacing w:line="440" w:lineRule="exact"/>
        <w:ind w:left="284" w:firstLine="420" w:firstLineChars="200"/>
        <w:rPr>
          <w:rFonts w:ascii="宋体" w:hAnsi="宋体" w:cs="宋体"/>
          <w:kern w:val="0"/>
          <w:sz w:val="21"/>
          <w:szCs w:val="21"/>
        </w:rPr>
      </w:pPr>
      <w:r>
        <w:rPr>
          <w:rFonts w:hint="eastAsia" w:ascii="宋体" w:hAnsi="宋体" w:cs="宋体"/>
          <w:kern w:val="0"/>
          <w:sz w:val="21"/>
          <w:szCs w:val="21"/>
        </w:rPr>
        <w:t>CA证书办理技术支撑：电话【4008301330】，QQ【4008301330】，邮件【zgdxztb@cnca.net】。</w:t>
      </w:r>
      <w:r>
        <w:rPr>
          <w:rFonts w:ascii="宋体" w:hAnsi="宋体" w:cs="宋体"/>
          <w:kern w:val="0"/>
          <w:sz w:val="21"/>
          <w:szCs w:val="21"/>
        </w:rPr>
        <w:t xml:space="preserve"> </w:t>
      </w:r>
    </w:p>
    <w:p>
      <w:pPr>
        <w:pStyle w:val="105"/>
        <w:numPr>
          <w:ilvl w:val="1"/>
          <w:numId w:val="15"/>
        </w:numPr>
        <w:topLinePunct w:val="0"/>
        <w:adjustRightInd w:val="0"/>
        <w:snapToGrid w:val="0"/>
        <w:spacing w:line="440" w:lineRule="exact"/>
        <w:ind w:left="284" w:firstLine="425" w:firstLineChars="0"/>
        <w:rPr>
          <w:rFonts w:ascii="宋体" w:hAnsi="宋体"/>
          <w:sz w:val="21"/>
          <w:szCs w:val="21"/>
        </w:rPr>
      </w:pPr>
      <w:r>
        <w:rPr>
          <w:rFonts w:hint="eastAsia" w:ascii="宋体" w:hAnsi="宋体"/>
          <w:sz w:val="21"/>
          <w:szCs w:val="21"/>
        </w:rPr>
        <w:t>中国电信阳光采购网注册</w:t>
      </w:r>
    </w:p>
    <w:p>
      <w:pPr>
        <w:pStyle w:val="105"/>
        <w:numPr>
          <w:ilvl w:val="2"/>
          <w:numId w:val="15"/>
        </w:numPr>
        <w:tabs>
          <w:tab w:val="left" w:pos="993"/>
        </w:tabs>
        <w:topLinePunct w:val="0"/>
        <w:adjustRightInd w:val="0"/>
        <w:snapToGrid w:val="0"/>
        <w:spacing w:line="440" w:lineRule="exact"/>
        <w:ind w:left="284" w:firstLine="426" w:firstLineChars="0"/>
        <w:rPr>
          <w:rFonts w:ascii="宋体" w:hAnsi="宋体"/>
          <w:sz w:val="21"/>
          <w:szCs w:val="21"/>
        </w:rPr>
      </w:pPr>
      <w:r>
        <w:rPr>
          <w:rFonts w:hint="eastAsia" w:ascii="宋体" w:hAnsi="宋体"/>
          <w:sz w:val="21"/>
          <w:szCs w:val="21"/>
        </w:rPr>
        <w:t>投标人须在购买招标文件后通过中国电信阳光采购网完成供应商注册。</w:t>
      </w:r>
    </w:p>
    <w:p>
      <w:pPr>
        <w:pStyle w:val="158"/>
        <w:ind w:left="284" w:firstLine="174" w:firstLineChars="83"/>
        <w:rPr>
          <w:rFonts w:hint="eastAsia" w:ascii="宋体" w:hAnsi="宋体"/>
          <w:sz w:val="21"/>
        </w:rPr>
      </w:pPr>
      <w:r>
        <w:rPr>
          <w:rFonts w:hint="eastAsia" w:ascii="宋体" w:hAnsi="宋体"/>
          <w:sz w:val="21"/>
        </w:rPr>
        <w:t>注册网址：</w:t>
      </w:r>
      <w:r>
        <w:rPr>
          <w:rFonts w:ascii="宋体" w:hAnsi="宋体"/>
          <w:sz w:val="21"/>
        </w:rPr>
        <w:t>https://caigou.chinatelecom.com.cn/MSS-PORTAL/</w:t>
      </w:r>
      <w:r>
        <w:rPr>
          <w:rFonts w:hint="eastAsia" w:ascii="宋体" w:hAnsi="宋体"/>
          <w:sz w:val="21"/>
        </w:rPr>
        <w:t>，注册过程可查询“经验分享”模块中的“供应商主数据操作手册”。</w:t>
      </w:r>
    </w:p>
    <w:p>
      <w:pPr>
        <w:pStyle w:val="5"/>
        <w:rPr>
          <w:rFonts w:ascii="宋体" w:hAnsi="宋体" w:eastAsia="宋体"/>
          <w:sz w:val="21"/>
          <w:szCs w:val="21"/>
        </w:rPr>
      </w:pPr>
      <w:bookmarkStart w:id="7" w:name="_Toc69994026"/>
      <w:r>
        <w:rPr>
          <w:rFonts w:hint="eastAsia" w:ascii="宋体" w:hAnsi="宋体" w:eastAsia="宋体"/>
          <w:sz w:val="21"/>
          <w:szCs w:val="21"/>
        </w:rPr>
        <w:t>7．发布公告的媒介</w:t>
      </w:r>
      <w:bookmarkEnd w:id="7"/>
    </w:p>
    <w:p>
      <w:pPr>
        <w:pStyle w:val="158"/>
        <w:ind w:firstLine="420"/>
        <w:rPr>
          <w:rFonts w:ascii="宋体" w:hAnsi="宋体"/>
          <w:color w:val="76923C"/>
          <w:sz w:val="21"/>
          <w:u w:val="single"/>
        </w:rPr>
      </w:pPr>
      <w:r>
        <w:rPr>
          <w:rFonts w:hint="eastAsia" w:ascii="宋体" w:hAnsi="宋体"/>
          <w:sz w:val="21"/>
        </w:rPr>
        <w:t>本招标公告同时且仅在中国招标投标公共服务平台（http://www.cebpubservice.com/）、通信工程建设项目招标投标管理信息平台（</w:t>
      </w:r>
      <w:r>
        <w:rPr>
          <w:rFonts w:ascii="宋体" w:hAnsi="宋体"/>
          <w:sz w:val="21"/>
        </w:rPr>
        <w:t>https://txzbqy.miit.gov.cn/</w:t>
      </w:r>
      <w:r>
        <w:rPr>
          <w:rFonts w:hint="eastAsia" w:ascii="宋体" w:hAnsi="宋体"/>
          <w:sz w:val="21"/>
        </w:rPr>
        <w:t>）、中国电信阳光采购网外部门户（https://caigou.chinatelecom.com.cn/MSS-PORTAL/）上发布，其他媒介转载无效。</w:t>
      </w:r>
    </w:p>
    <w:p>
      <w:pPr>
        <w:topLinePunct w:val="0"/>
        <w:adjustRightInd w:val="0"/>
        <w:snapToGrid w:val="0"/>
        <w:spacing w:line="440" w:lineRule="exact"/>
        <w:rPr>
          <w:rFonts w:ascii="宋体" w:hAnsi="宋体"/>
          <w:b/>
          <w:sz w:val="21"/>
          <w:szCs w:val="21"/>
        </w:rPr>
      </w:pPr>
      <w:r>
        <w:rPr>
          <w:rFonts w:hint="eastAsia" w:ascii="宋体" w:hAnsi="宋体"/>
          <w:sz w:val="21"/>
          <w:szCs w:val="21"/>
        </w:rPr>
        <w:t>8．</w:t>
      </w:r>
      <w:r>
        <w:rPr>
          <w:rFonts w:hint="eastAsia" w:ascii="宋体" w:hAnsi="宋体"/>
          <w:b/>
          <w:sz w:val="21"/>
          <w:szCs w:val="21"/>
        </w:rPr>
        <w:t>联系及异议接收方式</w:t>
      </w:r>
    </w:p>
    <w:p>
      <w:pPr>
        <w:spacing w:line="400" w:lineRule="exact"/>
        <w:rPr>
          <w:rFonts w:ascii="宋体" w:hAnsi="宋体"/>
          <w:sz w:val="21"/>
        </w:rPr>
      </w:pPr>
      <w:r>
        <w:rPr>
          <w:rFonts w:hint="eastAsia" w:ascii="宋体" w:hAnsi="宋体"/>
          <w:sz w:val="21"/>
        </w:rPr>
        <w:t>招标人：</w:t>
      </w:r>
      <w:r>
        <w:rPr>
          <w:rFonts w:hint="eastAsia" w:ascii="宋体" w:hAnsi="宋体"/>
          <w:sz w:val="21"/>
          <w:u w:val="single"/>
        </w:rPr>
        <w:t>【中国电信股份有限公司泉州分公司】</w:t>
      </w:r>
    </w:p>
    <w:p>
      <w:pPr>
        <w:topLinePunct w:val="0"/>
        <w:spacing w:line="400" w:lineRule="exact"/>
        <w:rPr>
          <w:rFonts w:ascii="宋体" w:hAnsi="宋体"/>
          <w:sz w:val="21"/>
        </w:rPr>
      </w:pPr>
      <w:r>
        <w:rPr>
          <w:rFonts w:hint="eastAsia" w:ascii="宋体" w:hAnsi="宋体"/>
          <w:sz w:val="21"/>
        </w:rPr>
        <w:t>地    址：</w:t>
      </w:r>
      <w:r>
        <w:rPr>
          <w:rFonts w:hint="eastAsia" w:ascii="宋体" w:hAnsi="宋体"/>
          <w:sz w:val="21"/>
          <w:u w:val="single"/>
        </w:rPr>
        <w:t>【</w:t>
      </w:r>
      <w:r>
        <w:rPr>
          <w:rFonts w:hint="eastAsia" w:ascii="宋体" w:hAnsi="宋体"/>
          <w:kern w:val="0"/>
          <w:sz w:val="21"/>
          <w:szCs w:val="21"/>
          <w:lang w:val="zh-CN"/>
        </w:rPr>
        <w:t>福建省泉州市丰泽区刺桐南路西侧电信大楼</w:t>
      </w:r>
      <w:r>
        <w:rPr>
          <w:rFonts w:hint="eastAsia" w:ascii="宋体" w:hAnsi="宋体"/>
          <w:sz w:val="21"/>
          <w:u w:val="single"/>
        </w:rPr>
        <w:t>】</w:t>
      </w:r>
    </w:p>
    <w:p>
      <w:pPr>
        <w:topLinePunct w:val="0"/>
        <w:spacing w:line="400" w:lineRule="exact"/>
        <w:rPr>
          <w:rFonts w:ascii="宋体" w:hAnsi="宋体"/>
          <w:sz w:val="21"/>
        </w:rPr>
      </w:pPr>
      <w:r>
        <w:rPr>
          <w:rFonts w:hint="eastAsia" w:ascii="宋体" w:hAnsi="宋体"/>
          <w:sz w:val="21"/>
        </w:rPr>
        <w:t>邮    编：</w:t>
      </w:r>
      <w:r>
        <w:rPr>
          <w:rFonts w:hint="eastAsia" w:ascii="宋体" w:hAnsi="宋体"/>
          <w:sz w:val="21"/>
          <w:u w:val="single"/>
        </w:rPr>
        <w:t>【3</w:t>
      </w:r>
      <w:r>
        <w:rPr>
          <w:rFonts w:ascii="宋体" w:hAnsi="宋体"/>
          <w:sz w:val="21"/>
          <w:u w:val="single"/>
        </w:rPr>
        <w:t>62000</w:t>
      </w:r>
      <w:r>
        <w:rPr>
          <w:rFonts w:hint="eastAsia" w:ascii="宋体" w:hAnsi="宋体"/>
          <w:sz w:val="21"/>
          <w:u w:val="single"/>
        </w:rPr>
        <w:t>】</w:t>
      </w:r>
    </w:p>
    <w:p>
      <w:pPr>
        <w:topLinePunct w:val="0"/>
        <w:spacing w:line="400" w:lineRule="exact"/>
        <w:rPr>
          <w:rFonts w:ascii="宋体" w:hAnsi="宋体"/>
          <w:sz w:val="21"/>
        </w:rPr>
      </w:pPr>
      <w:r>
        <w:rPr>
          <w:rFonts w:hint="eastAsia" w:ascii="宋体" w:hAnsi="宋体"/>
          <w:sz w:val="21"/>
        </w:rPr>
        <w:t>联 系 人：</w:t>
      </w:r>
      <w:r>
        <w:rPr>
          <w:rFonts w:hint="eastAsia" w:ascii="宋体" w:hAnsi="宋体"/>
          <w:sz w:val="21"/>
          <w:u w:val="single"/>
        </w:rPr>
        <w:t>【池先生】</w:t>
      </w:r>
    </w:p>
    <w:p>
      <w:pPr>
        <w:topLinePunct w:val="0"/>
        <w:spacing w:line="400" w:lineRule="exact"/>
        <w:rPr>
          <w:rFonts w:ascii="宋体" w:hAnsi="宋体"/>
          <w:sz w:val="21"/>
        </w:rPr>
      </w:pPr>
      <w:r>
        <w:rPr>
          <w:rFonts w:hint="eastAsia" w:ascii="宋体" w:hAnsi="宋体"/>
          <w:sz w:val="21"/>
        </w:rPr>
        <w:t>电    话：</w:t>
      </w:r>
      <w:r>
        <w:rPr>
          <w:rFonts w:hint="eastAsia" w:ascii="宋体" w:hAnsi="宋体"/>
          <w:sz w:val="21"/>
          <w:u w:val="single"/>
        </w:rPr>
        <w:t>【</w:t>
      </w:r>
      <w:r>
        <w:rPr>
          <w:sz w:val="21"/>
        </w:rPr>
        <w:t>18906996855</w:t>
      </w:r>
      <w:r>
        <w:rPr>
          <w:rFonts w:hint="eastAsia" w:ascii="宋体" w:hAnsi="宋体"/>
          <w:sz w:val="21"/>
          <w:u w:val="single"/>
        </w:rPr>
        <w:t>】</w:t>
      </w:r>
    </w:p>
    <w:p>
      <w:pPr>
        <w:topLinePunct w:val="0"/>
        <w:spacing w:line="400" w:lineRule="exact"/>
        <w:rPr>
          <w:rFonts w:ascii="宋体" w:hAnsi="宋体"/>
          <w:sz w:val="21"/>
        </w:rPr>
      </w:pPr>
      <w:r>
        <w:rPr>
          <w:rFonts w:hint="eastAsia" w:ascii="宋体" w:hAnsi="宋体"/>
          <w:sz w:val="21"/>
        </w:rPr>
        <w:t>招标代理机构：【</w:t>
      </w:r>
      <w:r>
        <w:rPr>
          <w:rFonts w:hint="eastAsia" w:ascii="宋体" w:hAnsi="宋体"/>
          <w:sz w:val="21"/>
          <w:szCs w:val="21"/>
        </w:rPr>
        <w:t>福建省中通通信物流有限公司</w:t>
      </w:r>
      <w:r>
        <w:rPr>
          <w:rFonts w:hint="eastAsia" w:ascii="宋体" w:hAnsi="宋体"/>
          <w:sz w:val="21"/>
        </w:rPr>
        <w:t>】</w:t>
      </w:r>
    </w:p>
    <w:p>
      <w:pPr>
        <w:topLinePunct w:val="0"/>
        <w:spacing w:line="400" w:lineRule="exact"/>
        <w:rPr>
          <w:rFonts w:ascii="宋体" w:hAnsi="宋体"/>
          <w:sz w:val="21"/>
        </w:rPr>
      </w:pPr>
      <w:r>
        <w:rPr>
          <w:rFonts w:hint="eastAsia" w:ascii="宋体" w:hAnsi="宋体"/>
          <w:sz w:val="21"/>
        </w:rPr>
        <w:t>地    址：【</w:t>
      </w:r>
      <w:r>
        <w:rPr>
          <w:rFonts w:hint="eastAsia" w:ascii="宋体" w:hAnsi="宋体"/>
          <w:sz w:val="21"/>
          <w:szCs w:val="21"/>
        </w:rPr>
        <w:t>福州市仓山区信平路10号</w:t>
      </w:r>
      <w:r>
        <w:rPr>
          <w:rFonts w:hint="eastAsia" w:ascii="宋体" w:hAnsi="宋体"/>
          <w:sz w:val="21"/>
        </w:rPr>
        <w:t>】</w:t>
      </w:r>
    </w:p>
    <w:p>
      <w:pPr>
        <w:topLinePunct w:val="0"/>
        <w:spacing w:line="400" w:lineRule="exact"/>
        <w:rPr>
          <w:rFonts w:ascii="宋体" w:hAnsi="宋体"/>
          <w:sz w:val="21"/>
        </w:rPr>
      </w:pPr>
      <w:r>
        <w:rPr>
          <w:rFonts w:hint="eastAsia" w:ascii="宋体" w:hAnsi="宋体"/>
          <w:sz w:val="21"/>
        </w:rPr>
        <w:t>邮    编：【350007】</w:t>
      </w:r>
    </w:p>
    <w:p>
      <w:pPr>
        <w:topLinePunct w:val="0"/>
        <w:spacing w:line="400" w:lineRule="exact"/>
        <w:rPr>
          <w:rFonts w:ascii="宋体" w:hAnsi="宋体"/>
          <w:color w:val="000000"/>
          <w:kern w:val="0"/>
          <w:sz w:val="21"/>
          <w:szCs w:val="21"/>
          <w:lang w:val="zh-CN"/>
        </w:rPr>
      </w:pPr>
      <w:r>
        <w:rPr>
          <w:rFonts w:hint="eastAsia" w:ascii="宋体" w:hAnsi="宋体"/>
          <w:color w:val="000000"/>
          <w:kern w:val="0"/>
          <w:sz w:val="21"/>
          <w:szCs w:val="21"/>
          <w:lang w:val="zh-CN"/>
        </w:rPr>
        <w:t>报名联系人：电话：电子邮箱：</w:t>
      </w:r>
    </w:p>
    <w:p>
      <w:pPr>
        <w:topLinePunct w:val="0"/>
        <w:spacing w:line="400" w:lineRule="exact"/>
        <w:rPr>
          <w:rFonts w:ascii="宋体" w:hAnsi="宋体"/>
          <w:color w:val="000000"/>
          <w:kern w:val="0"/>
          <w:sz w:val="21"/>
          <w:szCs w:val="21"/>
          <w:lang w:val="zh-CN"/>
        </w:rPr>
      </w:pPr>
      <w:r>
        <w:rPr>
          <w:rFonts w:hint="eastAsia" w:ascii="宋体" w:hAnsi="宋体"/>
          <w:color w:val="000000"/>
          <w:kern w:val="0"/>
          <w:sz w:val="21"/>
          <w:szCs w:val="21"/>
          <w:lang w:val="zh-CN"/>
        </w:rPr>
        <w:t>项目负责人1</w:t>
      </w:r>
      <w:r>
        <w:rPr>
          <w:rFonts w:hint="eastAsia" w:ascii="宋体" w:hAnsi="宋体"/>
          <w:kern w:val="0"/>
          <w:sz w:val="21"/>
          <w:szCs w:val="21"/>
          <w:lang w:val="zh-CN"/>
        </w:rPr>
        <w:t>：</w:t>
      </w:r>
      <w:r>
        <w:rPr>
          <w:rFonts w:hint="eastAsia" w:ascii="宋体" w:hAnsi="宋体"/>
          <w:color w:val="000000"/>
          <w:kern w:val="0"/>
          <w:sz w:val="21"/>
          <w:szCs w:val="21"/>
          <w:lang w:val="zh-CN"/>
        </w:rPr>
        <w:t>吴金拓 电话：18959854123 电子邮件：</w:t>
      </w:r>
      <w:r>
        <w:rPr>
          <w:rFonts w:hint="eastAsia" w:ascii="宋体" w:hAnsi="宋体"/>
          <w:color w:val="0000FF"/>
          <w:kern w:val="0"/>
          <w:sz w:val="21"/>
          <w:szCs w:val="21"/>
          <w:u w:val="single"/>
          <w:lang w:val="zh-CN"/>
        </w:rPr>
        <w:t>wujintuo@chinaccs.cn</w:t>
      </w:r>
    </w:p>
    <w:p>
      <w:pPr>
        <w:topLinePunct w:val="0"/>
        <w:spacing w:line="400" w:lineRule="exact"/>
        <w:jc w:val="left"/>
        <w:rPr>
          <w:rFonts w:ascii="宋体" w:hAnsi="宋体"/>
          <w:color w:val="000000"/>
          <w:kern w:val="0"/>
          <w:sz w:val="21"/>
          <w:szCs w:val="21"/>
          <w:lang w:val="zh-CN"/>
        </w:rPr>
      </w:pPr>
      <w:r>
        <w:rPr>
          <w:rFonts w:hint="eastAsia" w:ascii="宋体" w:hAnsi="宋体"/>
          <w:color w:val="000000"/>
          <w:kern w:val="0"/>
          <w:sz w:val="21"/>
          <w:szCs w:val="21"/>
          <w:lang w:val="zh-CN"/>
        </w:rPr>
        <w:t>项目负责人2:</w:t>
      </w:r>
      <w:r>
        <w:rPr>
          <w:rFonts w:hint="eastAsia" w:ascii="宋体" w:hAnsi="宋体"/>
          <w:kern w:val="0"/>
          <w:sz w:val="21"/>
          <w:szCs w:val="21"/>
          <w:lang w:val="zh-CN"/>
        </w:rPr>
        <w:t xml:space="preserve"> 蒋恭楷</w:t>
      </w:r>
      <w:r>
        <w:rPr>
          <w:rFonts w:hint="eastAsia" w:ascii="宋体" w:hAnsi="宋体"/>
          <w:color w:val="000000"/>
          <w:kern w:val="0"/>
          <w:sz w:val="21"/>
          <w:szCs w:val="21"/>
          <w:lang w:val="zh-CN"/>
        </w:rPr>
        <w:t xml:space="preserve"> 电话：</w:t>
      </w:r>
      <w:r>
        <w:rPr>
          <w:rFonts w:ascii="宋体" w:hAnsi="宋体"/>
          <w:color w:val="000000"/>
          <w:kern w:val="0"/>
          <w:sz w:val="21"/>
          <w:szCs w:val="21"/>
          <w:lang w:val="zh-CN"/>
        </w:rPr>
        <w:t>18959944818</w:t>
      </w:r>
    </w:p>
    <w:p>
      <w:pPr>
        <w:topLinePunct w:val="0"/>
        <w:spacing w:line="400" w:lineRule="exact"/>
        <w:jc w:val="left"/>
        <w:rPr>
          <w:rFonts w:ascii="宋体" w:hAnsi="宋体"/>
          <w:color w:val="000000"/>
          <w:kern w:val="0"/>
          <w:sz w:val="21"/>
          <w:szCs w:val="21"/>
          <w:lang w:val="zh-CN"/>
        </w:rPr>
      </w:pPr>
      <w:r>
        <w:rPr>
          <w:rFonts w:hint="eastAsia" w:ascii="宋体" w:hAnsi="宋体"/>
          <w:color w:val="000000"/>
          <w:kern w:val="0"/>
          <w:sz w:val="21"/>
          <w:szCs w:val="21"/>
          <w:lang w:val="zh-CN"/>
        </w:rPr>
        <w:t>项目负责人3：俞炳熙</w:t>
      </w:r>
    </w:p>
    <w:p>
      <w:pPr>
        <w:tabs>
          <w:tab w:val="left" w:pos="2964"/>
        </w:tabs>
        <w:spacing w:line="360" w:lineRule="auto"/>
        <w:ind w:right="489"/>
        <w:jc w:val="left"/>
        <w:rPr>
          <w:rFonts w:ascii="宋体" w:hAnsi="宋体"/>
          <w:sz w:val="21"/>
          <w:szCs w:val="21"/>
        </w:rPr>
      </w:pPr>
    </w:p>
    <w:p>
      <w:pPr>
        <w:tabs>
          <w:tab w:val="left" w:pos="2964"/>
        </w:tabs>
        <w:spacing w:line="360" w:lineRule="auto"/>
        <w:ind w:right="489"/>
        <w:jc w:val="left"/>
        <w:rPr>
          <w:rFonts w:hint="eastAsia" w:ascii="宋体" w:hAnsi="宋体"/>
          <w:sz w:val="21"/>
          <w:szCs w:val="21"/>
        </w:rPr>
      </w:pPr>
      <w:r>
        <w:rPr>
          <w:rFonts w:hint="eastAsia" w:ascii="宋体" w:hAnsi="宋体"/>
          <w:sz w:val="21"/>
          <w:szCs w:val="21"/>
        </w:rPr>
        <w:t>异议联系电话：【</w:t>
      </w:r>
      <w:r>
        <w:rPr>
          <w:rFonts w:ascii="宋体" w:hAnsi="宋体"/>
          <w:sz w:val="21"/>
          <w:szCs w:val="21"/>
        </w:rPr>
        <w:t>18959854123</w:t>
      </w:r>
      <w:r>
        <w:rPr>
          <w:rFonts w:hint="eastAsia" w:ascii="宋体" w:hAnsi="宋体"/>
          <w:sz w:val="21"/>
          <w:szCs w:val="21"/>
        </w:rPr>
        <w:t>】</w:t>
      </w:r>
    </w:p>
    <w:p>
      <w:pPr>
        <w:tabs>
          <w:tab w:val="left" w:pos="2964"/>
        </w:tabs>
        <w:spacing w:line="360" w:lineRule="auto"/>
        <w:ind w:right="489"/>
        <w:jc w:val="left"/>
        <w:rPr>
          <w:rFonts w:ascii="宋体" w:hAnsi="宋体"/>
          <w:sz w:val="21"/>
          <w:szCs w:val="21"/>
        </w:rPr>
      </w:pPr>
      <w:r>
        <w:rPr>
          <w:rFonts w:hint="eastAsia" w:ascii="宋体" w:hAnsi="宋体"/>
          <w:sz w:val="21"/>
          <w:szCs w:val="21"/>
        </w:rPr>
        <w:t>异议接收邮箱：【</w:t>
      </w:r>
      <w:r>
        <w:rPr>
          <w:rFonts w:ascii="宋体" w:hAnsi="宋体"/>
          <w:sz w:val="21"/>
          <w:szCs w:val="21"/>
        </w:rPr>
        <w:t>wujintuo@chinaccs.cn</w:t>
      </w:r>
      <w:r>
        <w:rPr>
          <w:rFonts w:hint="eastAsia" w:ascii="宋体" w:hAnsi="宋体"/>
          <w:sz w:val="21"/>
          <w:szCs w:val="21"/>
        </w:rPr>
        <w:t>】</w:t>
      </w:r>
    </w:p>
    <w:p>
      <w:pPr>
        <w:topLinePunct w:val="0"/>
        <w:spacing w:line="360" w:lineRule="auto"/>
        <w:ind w:left="425" w:right="69"/>
        <w:jc w:val="right"/>
        <w:rPr>
          <w:rFonts w:ascii="宋体" w:hAnsi="宋体"/>
          <w:sz w:val="21"/>
          <w:szCs w:val="21"/>
        </w:rPr>
      </w:pP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招标代理机构：</w:t>
      </w:r>
      <w:r>
        <w:rPr>
          <w:rFonts w:hint="eastAsia" w:ascii="宋体" w:hAnsi="宋体"/>
          <w:sz w:val="21"/>
          <w:szCs w:val="21"/>
          <w:u w:val="single"/>
        </w:rPr>
        <w:t>【福建省中通通信物流有限公司】</w:t>
      </w:r>
      <w:r>
        <w:rPr>
          <w:rFonts w:hint="eastAsia" w:ascii="宋体" w:hAnsi="宋体"/>
          <w:sz w:val="21"/>
          <w:szCs w:val="21"/>
        </w:rPr>
        <w:t>（盖单位公章）</w:t>
      </w:r>
    </w:p>
    <w:p>
      <w:pPr>
        <w:spacing w:line="400" w:lineRule="exact"/>
        <w:ind w:firstLine="4830" w:firstLineChars="2300"/>
        <w:jc w:val="right"/>
      </w:pPr>
      <w:r>
        <w:rPr>
          <w:rFonts w:hint="eastAsia" w:ascii="宋体" w:hAnsi="宋体"/>
          <w:sz w:val="21"/>
          <w:szCs w:val="21"/>
        </w:rPr>
        <w:t>【</w:t>
      </w:r>
      <w:r>
        <w:rPr>
          <w:rFonts w:ascii="宋体" w:hAnsi="宋体"/>
          <w:sz w:val="21"/>
          <w:szCs w:val="21"/>
        </w:rPr>
        <w:t>2021</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w:t>
      </w:r>
      <w:r>
        <w:rPr>
          <w:rFonts w:hint="eastAsia" w:ascii="宋体" w:hAnsi="宋体"/>
          <w:sz w:val="21"/>
          <w:szCs w:val="21"/>
          <w:lang w:val="en-US" w:eastAsia="zh-CN"/>
        </w:rPr>
        <w:t>27</w:t>
      </w:r>
      <w:r>
        <w:rPr>
          <w:rFonts w:hint="eastAsia" w:ascii="宋体" w:hAnsi="宋体"/>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7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64"/>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3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9"/>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2"/>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65"/>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3"/>
      <w:lvlText w:val=""/>
      <w:lvlJc w:val="left"/>
      <w:pPr>
        <w:tabs>
          <w:tab w:val="left" w:pos="360"/>
        </w:tabs>
        <w:ind w:left="360" w:hanging="360" w:hangingChars="200"/>
      </w:pPr>
      <w:rPr>
        <w:rFonts w:hint="default" w:ascii="Wingdings" w:hAnsi="Wingdings"/>
      </w:rPr>
    </w:lvl>
  </w:abstractNum>
  <w:abstractNum w:abstractNumId="10">
    <w:nsid w:val="1FBF1052"/>
    <w:multiLevelType w:val="multilevel"/>
    <w:tmpl w:val="1FBF1052"/>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45E10329"/>
    <w:multiLevelType w:val="multilevel"/>
    <w:tmpl w:val="45E10329"/>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48010D1D"/>
    <w:multiLevelType w:val="multilevel"/>
    <w:tmpl w:val="48010D1D"/>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4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4">
    <w:nsid w:val="78D603AC"/>
    <w:multiLevelType w:val="multilevel"/>
    <w:tmpl w:val="78D603AC"/>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ascii="宋体" w:hAnsi="宋体" w:eastAsia="宋体"/>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0"/>
  </w:num>
  <w:num w:numId="11">
    <w:abstractNumId w:val="13"/>
  </w:num>
  <w:num w:numId="12">
    <w:abstractNumId w:val="14"/>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76"/>
    <w:rsid w:val="004D4276"/>
    <w:rsid w:val="0097178A"/>
    <w:rsid w:val="00F01F99"/>
    <w:rsid w:val="38E03DCC"/>
    <w:rsid w:val="518301FA"/>
    <w:rsid w:val="68952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uiPriority="99" w:name="footnote reference"/>
    <w:lsdException w:qFormat="1" w:unhideWhenUsed="0" w:uiPriority="99" w:semiHidden="0" w:name="annotation reference"/>
    <w:lsdException w:qFormat="1"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semiHidden="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99" w:semiHidden="0" w:name="Date"/>
    <w:lsdException w:qFormat="1" w:uiPriority="99" w:name="Body Text First Indent"/>
    <w:lsdException w:qFormat="1" w:uiPriority="99" w:name="Body Text First Indent 2"/>
    <w:lsdException w:qFormat="1" w:unhideWhenUsed="0" w:uiPriority="0" w:name="Note Heading"/>
    <w:lsdException w:qFormat="1" w:unhideWhenUsed="0"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qFormat="1" w:unhideWhenUsed="0" w:uiPriority="0" w:name="E-mail Signature"/>
    <w:lsdException w:qFormat="1" w:unhideWhenUsed="0" w:uiPriority="0" w:semiHidden="0" w:name="Normal (Web)"/>
    <w:lsdException w:uiPriority="99" w:name="HTML Acronym"/>
    <w:lsdException w:qFormat="1" w:unhideWhenUsed="0" w:uiPriority="0"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94"/>
    <w:qFormat/>
    <w:uiPriority w:val="9"/>
    <w:pPr>
      <w:spacing w:line="415" w:lineRule="auto"/>
      <w:outlineLvl w:val="0"/>
    </w:pPr>
  </w:style>
  <w:style w:type="paragraph" w:styleId="5">
    <w:name w:val="heading 2"/>
    <w:basedOn w:val="6"/>
    <w:next w:val="1"/>
    <w:link w:val="95"/>
    <w:qFormat/>
    <w:uiPriority w:val="9"/>
    <w:pPr>
      <w:spacing w:line="377" w:lineRule="auto"/>
      <w:outlineLvl w:val="1"/>
    </w:pPr>
    <w:rPr>
      <w:lang w:val="zh-CN" w:eastAsia="zh-CN"/>
    </w:rPr>
  </w:style>
  <w:style w:type="paragraph" w:styleId="8">
    <w:name w:val="heading 3"/>
    <w:basedOn w:val="9"/>
    <w:next w:val="11"/>
    <w:link w:val="96"/>
    <w:qFormat/>
    <w:uiPriority w:val="0"/>
    <w:pPr>
      <w:ind w:firstLine="480"/>
      <w:outlineLvl w:val="2"/>
    </w:pPr>
  </w:style>
  <w:style w:type="paragraph" w:styleId="12">
    <w:name w:val="heading 4"/>
    <w:basedOn w:val="1"/>
    <w:next w:val="1"/>
    <w:link w:val="97"/>
    <w:qFormat/>
    <w:uiPriority w:val="0"/>
    <w:pPr>
      <w:keepNext/>
      <w:topLinePunct/>
      <w:outlineLvl w:val="3"/>
    </w:pPr>
    <w:rPr>
      <w:rFonts w:ascii="Times New Roman" w:hAnsi="Times New Roman" w:eastAsia="宋体" w:cs="Times New Roman"/>
      <w:sz w:val="28"/>
      <w:szCs w:val="20"/>
    </w:rPr>
  </w:style>
  <w:style w:type="paragraph" w:styleId="7">
    <w:name w:val="heading 5"/>
    <w:basedOn w:val="1"/>
    <w:next w:val="1"/>
    <w:link w:val="98"/>
    <w:qFormat/>
    <w:uiPriority w:val="0"/>
    <w:pPr>
      <w:keepNext/>
      <w:keepLines/>
      <w:topLinePunct/>
      <w:spacing w:before="280" w:after="290" w:line="376" w:lineRule="auto"/>
      <w:outlineLvl w:val="4"/>
    </w:pPr>
    <w:rPr>
      <w:rFonts w:ascii="Times New Roman" w:hAnsi="Times New Roman" w:eastAsia="宋体" w:cs="Times New Roman"/>
      <w:b/>
      <w:bCs/>
      <w:sz w:val="28"/>
      <w:szCs w:val="28"/>
    </w:rPr>
  </w:style>
  <w:style w:type="paragraph" w:styleId="10">
    <w:name w:val="heading 6"/>
    <w:basedOn w:val="1"/>
    <w:next w:val="1"/>
    <w:link w:val="99"/>
    <w:qFormat/>
    <w:uiPriority w:val="0"/>
    <w:pPr>
      <w:keepNext/>
      <w:keepLines/>
      <w:topLinePunct/>
      <w:spacing w:before="240" w:after="64" w:line="320" w:lineRule="auto"/>
      <w:outlineLvl w:val="5"/>
    </w:pPr>
    <w:rPr>
      <w:rFonts w:ascii="Arial" w:hAnsi="Arial" w:eastAsia="黑体" w:cs="Times New Roman"/>
      <w:b/>
      <w:bCs/>
      <w:sz w:val="24"/>
      <w:szCs w:val="24"/>
    </w:rPr>
  </w:style>
  <w:style w:type="paragraph" w:styleId="13">
    <w:name w:val="heading 7"/>
    <w:basedOn w:val="1"/>
    <w:next w:val="1"/>
    <w:link w:val="100"/>
    <w:qFormat/>
    <w:uiPriority w:val="0"/>
    <w:pPr>
      <w:keepNext/>
      <w:keepLines/>
      <w:topLinePunct/>
      <w:spacing w:before="240" w:after="64" w:line="320" w:lineRule="auto"/>
      <w:outlineLvl w:val="6"/>
    </w:pPr>
    <w:rPr>
      <w:rFonts w:ascii="Times New Roman" w:hAnsi="Times New Roman" w:eastAsia="宋体" w:cs="Times New Roman"/>
      <w:b/>
      <w:bCs/>
      <w:sz w:val="24"/>
      <w:szCs w:val="24"/>
    </w:rPr>
  </w:style>
  <w:style w:type="paragraph" w:styleId="14">
    <w:name w:val="heading 8"/>
    <w:basedOn w:val="1"/>
    <w:next w:val="1"/>
    <w:link w:val="101"/>
    <w:qFormat/>
    <w:uiPriority w:val="0"/>
    <w:pPr>
      <w:keepNext/>
      <w:keepLines/>
      <w:topLinePunct/>
      <w:spacing w:before="240" w:after="64" w:line="320" w:lineRule="auto"/>
      <w:outlineLvl w:val="7"/>
    </w:pPr>
    <w:rPr>
      <w:rFonts w:ascii="Arial" w:hAnsi="Arial" w:eastAsia="黑体" w:cs="Times New Roman"/>
      <w:sz w:val="24"/>
      <w:szCs w:val="24"/>
    </w:rPr>
  </w:style>
  <w:style w:type="paragraph" w:styleId="15">
    <w:name w:val="heading 9"/>
    <w:basedOn w:val="1"/>
    <w:next w:val="1"/>
    <w:link w:val="102"/>
    <w:qFormat/>
    <w:uiPriority w:val="0"/>
    <w:pPr>
      <w:keepNext/>
      <w:keepLines/>
      <w:topLinePunct/>
      <w:spacing w:before="240" w:after="64" w:line="320" w:lineRule="auto"/>
      <w:outlineLvl w:val="8"/>
    </w:pPr>
    <w:rPr>
      <w:rFonts w:ascii="Arial" w:hAnsi="Arial" w:eastAsia="黑体" w:cs="Times New Roman"/>
      <w:sz w:val="24"/>
      <w:szCs w:val="21"/>
    </w:rPr>
  </w:style>
  <w:style w:type="character" w:default="1" w:styleId="85">
    <w:name w:val="Default Paragraph Font"/>
    <w:semiHidden/>
    <w:unhideWhenUsed/>
    <w:qFormat/>
    <w:uiPriority w:val="1"/>
  </w:style>
  <w:style w:type="table" w:default="1" w:styleId="83">
    <w:name w:val="Normal Table"/>
    <w:semiHidden/>
    <w:unhideWhenUsed/>
    <w:qFormat/>
    <w:uiPriority w:val="99"/>
    <w:tblPr>
      <w:tblCellMar>
        <w:top w:w="0" w:type="dxa"/>
        <w:left w:w="108" w:type="dxa"/>
        <w:bottom w:w="0" w:type="dxa"/>
        <w:right w:w="108" w:type="dxa"/>
      </w:tblCellMar>
    </w:tblPr>
  </w:style>
  <w:style w:type="paragraph" w:styleId="2">
    <w:name w:val="macro"/>
    <w:link w:val="172"/>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customStyle="1" w:styleId="4">
    <w:name w:val="标题 10"/>
    <w:basedOn w:val="5"/>
    <w:qFormat/>
    <w:uiPriority w:val="0"/>
    <w:pPr>
      <w:jc w:val="center"/>
    </w:pPr>
    <w:rPr>
      <w:b/>
      <w:kern w:val="0"/>
    </w:rPr>
  </w:style>
  <w:style w:type="paragraph" w:customStyle="1" w:styleId="6">
    <w:name w:val="标题 55"/>
    <w:basedOn w:val="7"/>
    <w:qFormat/>
    <w:uiPriority w:val="0"/>
    <w:rPr>
      <w:rFonts w:ascii="方正黑体简体" w:eastAsia="方正黑体简体"/>
      <w:b w:val="0"/>
      <w:bCs w:val="0"/>
    </w:rPr>
  </w:style>
  <w:style w:type="paragraph" w:customStyle="1" w:styleId="9">
    <w:name w:val="标题 60"/>
    <w:basedOn w:val="10"/>
    <w:qFormat/>
    <w:uiPriority w:val="0"/>
    <w:pPr>
      <w:spacing w:line="319" w:lineRule="auto"/>
      <w:ind w:firstLine="200" w:firstLineChars="200"/>
    </w:pPr>
    <w:rPr>
      <w:b w:val="0"/>
      <w:bCs w:val="0"/>
    </w:rPr>
  </w:style>
  <w:style w:type="paragraph" w:styleId="11">
    <w:name w:val="Normal Indent"/>
    <w:basedOn w:val="1"/>
    <w:qFormat/>
    <w:uiPriority w:val="0"/>
    <w:pPr>
      <w:topLinePunct/>
      <w:autoSpaceDE w:val="0"/>
      <w:autoSpaceDN w:val="0"/>
      <w:adjustRightInd w:val="0"/>
      <w:spacing w:line="315" w:lineRule="atLeast"/>
      <w:ind w:firstLine="420"/>
      <w:jc w:val="left"/>
    </w:pPr>
    <w:rPr>
      <w:rFonts w:ascii="楷体_GB2312" w:hAnsi="Times New Roman" w:eastAsia="楷体_GB2312" w:cs="Times New Roman"/>
      <w:kern w:val="0"/>
      <w:sz w:val="28"/>
      <w:szCs w:val="20"/>
    </w:rPr>
  </w:style>
  <w:style w:type="paragraph" w:styleId="16">
    <w:name w:val="List 3"/>
    <w:basedOn w:val="1"/>
    <w:semiHidden/>
    <w:qFormat/>
    <w:uiPriority w:val="0"/>
    <w:pPr>
      <w:numPr>
        <w:ilvl w:val="0"/>
        <w:numId w:val="1"/>
      </w:numPr>
      <w:tabs>
        <w:tab w:val="clear" w:pos="1620"/>
      </w:tabs>
      <w:ind w:left="100" w:leftChars="400" w:hanging="200"/>
    </w:pPr>
    <w:rPr>
      <w:rFonts w:ascii="Times New Roman" w:hAnsi="Times New Roman" w:eastAsia="宋体" w:cs="Times New Roman"/>
      <w:sz w:val="24"/>
      <w:szCs w:val="24"/>
    </w:rPr>
  </w:style>
  <w:style w:type="paragraph" w:styleId="17">
    <w:name w:val="List Number 2"/>
    <w:basedOn w:val="1"/>
    <w:semiHidden/>
    <w:qFormat/>
    <w:uiPriority w:val="0"/>
    <w:pPr>
      <w:numPr>
        <w:ilvl w:val="0"/>
        <w:numId w:val="2"/>
      </w:numPr>
    </w:pPr>
    <w:rPr>
      <w:rFonts w:ascii="Times New Roman" w:hAnsi="Times New Roman" w:eastAsia="宋体" w:cs="Times New Roman"/>
      <w:sz w:val="24"/>
      <w:szCs w:val="24"/>
    </w:rPr>
  </w:style>
  <w:style w:type="paragraph" w:styleId="18">
    <w:name w:val="table of authorities"/>
    <w:basedOn w:val="1"/>
    <w:next w:val="1"/>
    <w:semiHidden/>
    <w:qFormat/>
    <w:uiPriority w:val="0"/>
    <w:pPr>
      <w:ind w:left="420" w:leftChars="200"/>
    </w:pPr>
    <w:rPr>
      <w:rFonts w:ascii="Times New Roman" w:hAnsi="Times New Roman" w:eastAsia="宋体" w:cs="Times New Roman"/>
      <w:sz w:val="24"/>
      <w:szCs w:val="24"/>
    </w:rPr>
  </w:style>
  <w:style w:type="paragraph" w:styleId="19">
    <w:name w:val="Note Heading"/>
    <w:basedOn w:val="1"/>
    <w:next w:val="1"/>
    <w:link w:val="179"/>
    <w:semiHidden/>
    <w:qFormat/>
    <w:uiPriority w:val="0"/>
    <w:pPr>
      <w:jc w:val="center"/>
    </w:pPr>
    <w:rPr>
      <w:rFonts w:ascii="Times New Roman" w:hAnsi="Times New Roman" w:eastAsia="宋体" w:cs="Times New Roman"/>
      <w:sz w:val="24"/>
      <w:szCs w:val="24"/>
      <w:lang w:val="zh-CN" w:eastAsia="zh-CN"/>
    </w:rPr>
  </w:style>
  <w:style w:type="paragraph" w:styleId="20">
    <w:name w:val="List Bullet 4"/>
    <w:basedOn w:val="1"/>
    <w:semiHidden/>
    <w:qFormat/>
    <w:uiPriority w:val="0"/>
    <w:pPr>
      <w:numPr>
        <w:ilvl w:val="0"/>
        <w:numId w:val="3"/>
      </w:numPr>
    </w:pPr>
    <w:rPr>
      <w:rFonts w:ascii="Times New Roman" w:hAnsi="Times New Roman" w:eastAsia="宋体" w:cs="Times New Roman"/>
      <w:sz w:val="24"/>
      <w:szCs w:val="24"/>
    </w:rPr>
  </w:style>
  <w:style w:type="paragraph" w:styleId="21">
    <w:name w:val="index 8"/>
    <w:basedOn w:val="1"/>
    <w:next w:val="1"/>
    <w:semiHidden/>
    <w:qFormat/>
    <w:uiPriority w:val="0"/>
    <w:pPr>
      <w:ind w:left="1400" w:leftChars="1400"/>
    </w:pPr>
    <w:rPr>
      <w:rFonts w:ascii="Times New Roman" w:hAnsi="Times New Roman" w:eastAsia="宋体" w:cs="Times New Roman"/>
      <w:sz w:val="24"/>
      <w:szCs w:val="24"/>
    </w:rPr>
  </w:style>
  <w:style w:type="paragraph" w:styleId="22">
    <w:name w:val="E-mail Signature"/>
    <w:basedOn w:val="1"/>
    <w:link w:val="171"/>
    <w:semiHidden/>
    <w:qFormat/>
    <w:uiPriority w:val="0"/>
    <w:rPr>
      <w:rFonts w:ascii="Times New Roman" w:hAnsi="Times New Roman" w:eastAsia="宋体" w:cs="Times New Roman"/>
      <w:sz w:val="24"/>
      <w:szCs w:val="24"/>
      <w:lang w:val="zh-CN" w:eastAsia="zh-CN"/>
    </w:rPr>
  </w:style>
  <w:style w:type="paragraph" w:styleId="23">
    <w:name w:val="List Number"/>
    <w:basedOn w:val="1"/>
    <w:semiHidden/>
    <w:qFormat/>
    <w:uiPriority w:val="0"/>
    <w:pPr>
      <w:numPr>
        <w:ilvl w:val="0"/>
        <w:numId w:val="4"/>
      </w:numPr>
    </w:pPr>
    <w:rPr>
      <w:rFonts w:ascii="Times New Roman" w:hAnsi="Times New Roman" w:eastAsia="宋体" w:cs="Times New Roman"/>
      <w:sz w:val="24"/>
      <w:szCs w:val="24"/>
    </w:rPr>
  </w:style>
  <w:style w:type="paragraph" w:styleId="24">
    <w:name w:val="caption"/>
    <w:basedOn w:val="1"/>
    <w:next w:val="1"/>
    <w:qFormat/>
    <w:uiPriority w:val="0"/>
    <w:rPr>
      <w:rFonts w:ascii="Cambria" w:hAnsi="Cambria" w:eastAsia="黑体" w:cs="Times New Roman"/>
      <w:sz w:val="20"/>
      <w:szCs w:val="20"/>
    </w:rPr>
  </w:style>
  <w:style w:type="paragraph" w:styleId="25">
    <w:name w:val="index 5"/>
    <w:basedOn w:val="1"/>
    <w:next w:val="1"/>
    <w:semiHidden/>
    <w:qFormat/>
    <w:uiPriority w:val="0"/>
    <w:pPr>
      <w:ind w:left="800" w:leftChars="800"/>
    </w:pPr>
    <w:rPr>
      <w:rFonts w:ascii="Times New Roman" w:hAnsi="Times New Roman" w:eastAsia="宋体" w:cs="Times New Roman"/>
      <w:sz w:val="24"/>
      <w:szCs w:val="24"/>
    </w:rPr>
  </w:style>
  <w:style w:type="paragraph" w:styleId="26">
    <w:name w:val="List Bullet"/>
    <w:basedOn w:val="1"/>
    <w:semiHidden/>
    <w:qFormat/>
    <w:uiPriority w:val="0"/>
    <w:pPr>
      <w:numPr>
        <w:ilvl w:val="0"/>
        <w:numId w:val="5"/>
      </w:numPr>
    </w:pPr>
    <w:rPr>
      <w:rFonts w:ascii="Times New Roman" w:hAnsi="Times New Roman" w:eastAsia="宋体" w:cs="Times New Roman"/>
      <w:sz w:val="24"/>
      <w:szCs w:val="24"/>
    </w:rPr>
  </w:style>
  <w:style w:type="paragraph" w:styleId="27">
    <w:name w:val="envelope address"/>
    <w:basedOn w:val="1"/>
    <w:semiHidden/>
    <w:qFormat/>
    <w:uiPriority w:val="0"/>
    <w:pPr>
      <w:framePr w:w="7920" w:h="1980" w:hRule="exact" w:hSpace="180" w:wrap="auto" w:vAnchor="margin" w:hAnchor="page" w:xAlign="center" w:yAlign="bottom"/>
      <w:snapToGrid w:val="0"/>
      <w:ind w:left="100" w:leftChars="1400"/>
    </w:pPr>
    <w:rPr>
      <w:rFonts w:ascii="Arial" w:hAnsi="Arial" w:eastAsia="宋体" w:cs="Arial"/>
      <w:sz w:val="24"/>
      <w:szCs w:val="24"/>
    </w:rPr>
  </w:style>
  <w:style w:type="paragraph" w:styleId="28">
    <w:name w:val="Document Map"/>
    <w:basedOn w:val="1"/>
    <w:link w:val="124"/>
    <w:semiHidden/>
    <w:qFormat/>
    <w:uiPriority w:val="0"/>
    <w:pPr>
      <w:topLinePunct/>
    </w:pPr>
    <w:rPr>
      <w:rFonts w:ascii="宋体" w:hAnsi="Times New Roman" w:eastAsia="宋体" w:cs="Times New Roman"/>
      <w:sz w:val="18"/>
      <w:szCs w:val="18"/>
    </w:rPr>
  </w:style>
  <w:style w:type="paragraph" w:styleId="29">
    <w:name w:val="toa heading"/>
    <w:basedOn w:val="1"/>
    <w:next w:val="1"/>
    <w:semiHidden/>
    <w:qFormat/>
    <w:uiPriority w:val="0"/>
    <w:pPr>
      <w:spacing w:before="120"/>
    </w:pPr>
    <w:rPr>
      <w:rFonts w:ascii="Arial" w:hAnsi="Arial" w:eastAsia="宋体" w:cs="Arial"/>
      <w:sz w:val="24"/>
      <w:szCs w:val="24"/>
    </w:rPr>
  </w:style>
  <w:style w:type="paragraph" w:styleId="30">
    <w:name w:val="annotation text"/>
    <w:basedOn w:val="1"/>
    <w:link w:val="120"/>
    <w:unhideWhenUsed/>
    <w:qFormat/>
    <w:uiPriority w:val="0"/>
    <w:pPr>
      <w:topLinePunct/>
      <w:jc w:val="left"/>
    </w:pPr>
    <w:rPr>
      <w:rFonts w:ascii="Times New Roman" w:hAnsi="Times New Roman" w:eastAsia="宋体" w:cs="Times New Roman"/>
      <w:sz w:val="24"/>
      <w:szCs w:val="24"/>
      <w:lang w:val="zh-CN" w:eastAsia="zh-CN"/>
    </w:rPr>
  </w:style>
  <w:style w:type="paragraph" w:styleId="31">
    <w:name w:val="index 6"/>
    <w:basedOn w:val="1"/>
    <w:next w:val="1"/>
    <w:semiHidden/>
    <w:qFormat/>
    <w:uiPriority w:val="0"/>
    <w:pPr>
      <w:ind w:left="1000" w:leftChars="1000"/>
    </w:pPr>
    <w:rPr>
      <w:rFonts w:ascii="Times New Roman" w:hAnsi="Times New Roman" w:eastAsia="宋体" w:cs="Times New Roman"/>
      <w:sz w:val="24"/>
      <w:szCs w:val="24"/>
    </w:rPr>
  </w:style>
  <w:style w:type="paragraph" w:styleId="32">
    <w:name w:val="Salutation"/>
    <w:basedOn w:val="1"/>
    <w:next w:val="1"/>
    <w:link w:val="170"/>
    <w:semiHidden/>
    <w:qFormat/>
    <w:uiPriority w:val="0"/>
    <w:rPr>
      <w:rFonts w:ascii="Times New Roman" w:hAnsi="Times New Roman" w:eastAsia="宋体" w:cs="Times New Roman"/>
      <w:sz w:val="24"/>
      <w:szCs w:val="24"/>
      <w:lang w:val="zh-CN" w:eastAsia="zh-CN"/>
    </w:rPr>
  </w:style>
  <w:style w:type="paragraph" w:styleId="33">
    <w:name w:val="Body Text 3"/>
    <w:basedOn w:val="1"/>
    <w:link w:val="166"/>
    <w:qFormat/>
    <w:uiPriority w:val="99"/>
    <w:rPr>
      <w:rFonts w:ascii="宋体" w:hAnsi="Times New Roman" w:eastAsia="宋体" w:cs="Times New Roman"/>
      <w:sz w:val="24"/>
      <w:szCs w:val="20"/>
      <w:lang w:val="zh-CN" w:eastAsia="zh-CN"/>
    </w:rPr>
  </w:style>
  <w:style w:type="paragraph" w:styleId="34">
    <w:name w:val="Closing"/>
    <w:basedOn w:val="1"/>
    <w:link w:val="174"/>
    <w:semiHidden/>
    <w:qFormat/>
    <w:uiPriority w:val="0"/>
    <w:pPr>
      <w:numPr>
        <w:ilvl w:val="0"/>
        <w:numId w:val="2"/>
      </w:numPr>
      <w:tabs>
        <w:tab w:val="clear" w:pos="780"/>
      </w:tabs>
      <w:ind w:left="100" w:leftChars="2100" w:firstLine="0" w:firstLineChars="0"/>
    </w:pPr>
    <w:rPr>
      <w:rFonts w:ascii="Times New Roman" w:hAnsi="Times New Roman" w:eastAsia="宋体" w:cs="Times New Roman"/>
      <w:sz w:val="24"/>
      <w:szCs w:val="24"/>
      <w:lang w:val="zh-CN" w:eastAsia="zh-CN"/>
    </w:rPr>
  </w:style>
  <w:style w:type="paragraph" w:styleId="35">
    <w:name w:val="List Bullet 3"/>
    <w:basedOn w:val="1"/>
    <w:semiHidden/>
    <w:qFormat/>
    <w:uiPriority w:val="0"/>
    <w:pPr>
      <w:numPr>
        <w:ilvl w:val="0"/>
        <w:numId w:val="6"/>
      </w:numPr>
    </w:pPr>
    <w:rPr>
      <w:rFonts w:ascii="Times New Roman" w:hAnsi="Times New Roman" w:eastAsia="宋体" w:cs="Times New Roman"/>
      <w:sz w:val="24"/>
      <w:szCs w:val="24"/>
    </w:rPr>
  </w:style>
  <w:style w:type="paragraph" w:styleId="36">
    <w:name w:val="Body Text"/>
    <w:basedOn w:val="1"/>
    <w:link w:val="181"/>
    <w:qFormat/>
    <w:uiPriority w:val="0"/>
    <w:pPr>
      <w:topLinePunct/>
    </w:pPr>
    <w:rPr>
      <w:rFonts w:ascii="Times New Roman" w:hAnsi="Times New Roman" w:eastAsia="宋体" w:cs="Times New Roman"/>
      <w:sz w:val="28"/>
      <w:szCs w:val="20"/>
      <w:lang w:val="zh-CN" w:eastAsia="zh-CN"/>
    </w:rPr>
  </w:style>
  <w:style w:type="paragraph" w:styleId="37">
    <w:name w:val="Body Text Indent"/>
    <w:basedOn w:val="1"/>
    <w:link w:val="128"/>
    <w:qFormat/>
    <w:uiPriority w:val="0"/>
    <w:pPr>
      <w:topLinePunct/>
      <w:autoSpaceDE w:val="0"/>
      <w:autoSpaceDN w:val="0"/>
      <w:adjustRightInd w:val="0"/>
      <w:spacing w:after="120" w:line="360" w:lineRule="atLeast"/>
      <w:ind w:left="900"/>
    </w:pPr>
    <w:rPr>
      <w:rFonts w:ascii="楷体_GB2312" w:hAnsi="Times New Roman" w:eastAsia="楷体_GB2312" w:cs="Times New Roman"/>
      <w:kern w:val="0"/>
      <w:sz w:val="28"/>
      <w:szCs w:val="20"/>
      <w:lang w:val="zh-CN" w:eastAsia="zh-CN"/>
    </w:rPr>
  </w:style>
  <w:style w:type="paragraph" w:styleId="38">
    <w:name w:val="List Number 3"/>
    <w:basedOn w:val="1"/>
    <w:semiHidden/>
    <w:qFormat/>
    <w:uiPriority w:val="0"/>
    <w:pPr>
      <w:numPr>
        <w:ilvl w:val="0"/>
        <w:numId w:val="7"/>
      </w:numPr>
    </w:pPr>
    <w:rPr>
      <w:rFonts w:ascii="Times New Roman" w:hAnsi="Times New Roman" w:eastAsia="宋体" w:cs="Times New Roman"/>
      <w:sz w:val="24"/>
      <w:szCs w:val="24"/>
    </w:rPr>
  </w:style>
  <w:style w:type="paragraph" w:styleId="39">
    <w:name w:val="List 2"/>
    <w:basedOn w:val="1"/>
    <w:qFormat/>
    <w:uiPriority w:val="0"/>
    <w:pPr>
      <w:topLinePunct/>
      <w:ind w:left="100" w:leftChars="200" w:hanging="200" w:hangingChars="200"/>
    </w:pPr>
    <w:rPr>
      <w:rFonts w:ascii="Times New Roman" w:hAnsi="Times New Roman" w:eastAsia="宋体" w:cs="Times New Roman"/>
      <w:sz w:val="24"/>
      <w:szCs w:val="24"/>
    </w:rPr>
  </w:style>
  <w:style w:type="paragraph" w:styleId="40">
    <w:name w:val="List Continue"/>
    <w:basedOn w:val="1"/>
    <w:semiHidden/>
    <w:qFormat/>
    <w:uiPriority w:val="0"/>
    <w:pPr>
      <w:numPr>
        <w:ilvl w:val="0"/>
        <w:numId w:val="8"/>
      </w:numPr>
      <w:tabs>
        <w:tab w:val="clear" w:pos="780"/>
      </w:tabs>
      <w:spacing w:after="120"/>
      <w:ind w:left="420" w:firstLine="0" w:firstLineChars="0"/>
    </w:pPr>
    <w:rPr>
      <w:rFonts w:ascii="Times New Roman" w:hAnsi="Times New Roman" w:eastAsia="宋体" w:cs="Times New Roman"/>
      <w:sz w:val="24"/>
      <w:szCs w:val="24"/>
    </w:rPr>
  </w:style>
  <w:style w:type="paragraph" w:styleId="41">
    <w:name w:val="Block Text"/>
    <w:basedOn w:val="1"/>
    <w:semiHidden/>
    <w:qFormat/>
    <w:uiPriority w:val="0"/>
    <w:pPr>
      <w:spacing w:after="120"/>
      <w:ind w:left="1440" w:leftChars="700" w:right="1440" w:rightChars="700"/>
    </w:pPr>
    <w:rPr>
      <w:rFonts w:ascii="Times New Roman" w:hAnsi="Times New Roman" w:eastAsia="宋体" w:cs="Times New Roman"/>
      <w:sz w:val="24"/>
      <w:szCs w:val="24"/>
    </w:rPr>
  </w:style>
  <w:style w:type="paragraph" w:styleId="42">
    <w:name w:val="List Bullet 2"/>
    <w:basedOn w:val="1"/>
    <w:semiHidden/>
    <w:qFormat/>
    <w:uiPriority w:val="0"/>
    <w:pPr>
      <w:numPr>
        <w:ilvl w:val="0"/>
        <w:numId w:val="8"/>
      </w:numPr>
    </w:pPr>
    <w:rPr>
      <w:rFonts w:ascii="Times New Roman" w:hAnsi="Times New Roman" w:eastAsia="宋体" w:cs="Times New Roman"/>
      <w:sz w:val="24"/>
      <w:szCs w:val="24"/>
    </w:rPr>
  </w:style>
  <w:style w:type="paragraph" w:styleId="43">
    <w:name w:val="HTML Address"/>
    <w:basedOn w:val="1"/>
    <w:link w:val="168"/>
    <w:semiHidden/>
    <w:qFormat/>
    <w:uiPriority w:val="0"/>
    <w:rPr>
      <w:rFonts w:ascii="Times New Roman" w:hAnsi="Times New Roman" w:eastAsia="宋体" w:cs="Times New Roman"/>
      <w:i/>
      <w:iCs/>
      <w:sz w:val="24"/>
      <w:szCs w:val="24"/>
      <w:lang w:val="zh-CN" w:eastAsia="zh-CN"/>
    </w:rPr>
  </w:style>
  <w:style w:type="paragraph" w:styleId="44">
    <w:name w:val="index 4"/>
    <w:basedOn w:val="1"/>
    <w:next w:val="1"/>
    <w:semiHidden/>
    <w:qFormat/>
    <w:uiPriority w:val="0"/>
    <w:pPr>
      <w:ind w:left="600" w:leftChars="600"/>
    </w:pPr>
    <w:rPr>
      <w:rFonts w:ascii="Times New Roman" w:hAnsi="Times New Roman" w:eastAsia="宋体" w:cs="Times New Roman"/>
      <w:sz w:val="24"/>
      <w:szCs w:val="24"/>
    </w:rPr>
  </w:style>
  <w:style w:type="paragraph" w:styleId="45">
    <w:name w:val="Plain Text"/>
    <w:basedOn w:val="1"/>
    <w:link w:val="130"/>
    <w:qFormat/>
    <w:uiPriority w:val="0"/>
    <w:pPr>
      <w:topLinePunct/>
    </w:pPr>
    <w:rPr>
      <w:rFonts w:ascii="宋体" w:hAnsi="Courier New" w:eastAsia="宋体" w:cs="Times New Roman"/>
      <w:sz w:val="24"/>
      <w:szCs w:val="20"/>
      <w:lang w:val="zh-CN" w:eastAsia="zh-CN"/>
    </w:rPr>
  </w:style>
  <w:style w:type="paragraph" w:styleId="46">
    <w:name w:val="List Bullet 5"/>
    <w:basedOn w:val="1"/>
    <w:semiHidden/>
    <w:qFormat/>
    <w:uiPriority w:val="0"/>
    <w:pPr>
      <w:numPr>
        <w:ilvl w:val="0"/>
        <w:numId w:val="9"/>
      </w:numPr>
    </w:pPr>
    <w:rPr>
      <w:rFonts w:ascii="Times New Roman" w:hAnsi="Times New Roman" w:eastAsia="宋体" w:cs="Times New Roman"/>
      <w:sz w:val="24"/>
      <w:szCs w:val="24"/>
    </w:rPr>
  </w:style>
  <w:style w:type="paragraph" w:styleId="47">
    <w:name w:val="List Number 4"/>
    <w:basedOn w:val="1"/>
    <w:semiHidden/>
    <w:qFormat/>
    <w:uiPriority w:val="0"/>
    <w:pPr>
      <w:numPr>
        <w:ilvl w:val="0"/>
        <w:numId w:val="1"/>
      </w:numPr>
    </w:pPr>
    <w:rPr>
      <w:rFonts w:ascii="Times New Roman" w:hAnsi="Times New Roman" w:eastAsia="宋体" w:cs="Times New Roman"/>
      <w:sz w:val="24"/>
      <w:szCs w:val="24"/>
    </w:rPr>
  </w:style>
  <w:style w:type="paragraph" w:styleId="48">
    <w:name w:val="index 3"/>
    <w:basedOn w:val="1"/>
    <w:next w:val="1"/>
    <w:semiHidden/>
    <w:qFormat/>
    <w:uiPriority w:val="0"/>
    <w:pPr>
      <w:ind w:left="400" w:leftChars="400"/>
    </w:pPr>
    <w:rPr>
      <w:rFonts w:ascii="Times New Roman" w:hAnsi="Times New Roman" w:eastAsia="宋体" w:cs="Times New Roman"/>
      <w:sz w:val="24"/>
      <w:szCs w:val="24"/>
    </w:rPr>
  </w:style>
  <w:style w:type="paragraph" w:styleId="49">
    <w:name w:val="Date"/>
    <w:basedOn w:val="1"/>
    <w:next w:val="1"/>
    <w:link w:val="132"/>
    <w:qFormat/>
    <w:uiPriority w:val="99"/>
    <w:pPr>
      <w:topLinePunct/>
      <w:ind w:left="100" w:leftChars="2500"/>
    </w:pPr>
    <w:rPr>
      <w:rFonts w:ascii="Times New Roman" w:hAnsi="Times New Roman" w:eastAsia="宋体" w:cs="Times New Roman"/>
      <w:sz w:val="24"/>
      <w:szCs w:val="20"/>
    </w:rPr>
  </w:style>
  <w:style w:type="paragraph" w:styleId="50">
    <w:name w:val="Body Text Indent 2"/>
    <w:basedOn w:val="1"/>
    <w:link w:val="134"/>
    <w:qFormat/>
    <w:uiPriority w:val="0"/>
    <w:pPr>
      <w:topLinePunct/>
      <w:spacing w:line="480" w:lineRule="auto"/>
      <w:ind w:firstLine="480" w:firstLineChars="200"/>
    </w:pPr>
    <w:rPr>
      <w:rFonts w:ascii="仿宋_GB2312" w:hAnsi="宋体" w:eastAsia="仿宋_GB2312" w:cs="Times New Roman"/>
      <w:sz w:val="24"/>
      <w:szCs w:val="24"/>
    </w:rPr>
  </w:style>
  <w:style w:type="paragraph" w:styleId="51">
    <w:name w:val="endnote text"/>
    <w:basedOn w:val="1"/>
    <w:link w:val="176"/>
    <w:qFormat/>
    <w:uiPriority w:val="0"/>
    <w:pPr>
      <w:snapToGrid w:val="0"/>
      <w:jc w:val="left"/>
    </w:pPr>
    <w:rPr>
      <w:rFonts w:ascii="Times New Roman" w:hAnsi="Times New Roman" w:eastAsia="宋体" w:cs="Times New Roman"/>
      <w:sz w:val="24"/>
      <w:szCs w:val="24"/>
      <w:lang w:val="zh-CN" w:eastAsia="zh-CN"/>
    </w:rPr>
  </w:style>
  <w:style w:type="paragraph" w:styleId="52">
    <w:name w:val="List Continue 5"/>
    <w:basedOn w:val="1"/>
    <w:semiHidden/>
    <w:qFormat/>
    <w:uiPriority w:val="0"/>
    <w:pPr>
      <w:spacing w:after="120"/>
      <w:ind w:left="2100" w:leftChars="1000"/>
    </w:pPr>
    <w:rPr>
      <w:rFonts w:ascii="Times New Roman" w:hAnsi="Times New Roman" w:eastAsia="宋体" w:cs="Times New Roman"/>
      <w:sz w:val="24"/>
      <w:szCs w:val="24"/>
    </w:rPr>
  </w:style>
  <w:style w:type="paragraph" w:styleId="53">
    <w:name w:val="Balloon Text"/>
    <w:basedOn w:val="1"/>
    <w:link w:val="107"/>
    <w:unhideWhenUsed/>
    <w:qFormat/>
    <w:uiPriority w:val="99"/>
    <w:pPr>
      <w:topLinePunct/>
    </w:pPr>
    <w:rPr>
      <w:rFonts w:ascii="Times New Roman" w:hAnsi="Times New Roman" w:eastAsia="宋体" w:cs="Times New Roman"/>
      <w:sz w:val="18"/>
      <w:szCs w:val="18"/>
    </w:rPr>
  </w:style>
  <w:style w:type="paragraph" w:styleId="54">
    <w:name w:val="footer"/>
    <w:basedOn w:val="1"/>
    <w:link w:val="93"/>
    <w:unhideWhenUsed/>
    <w:qFormat/>
    <w:uiPriority w:val="99"/>
    <w:pPr>
      <w:tabs>
        <w:tab w:val="center" w:pos="4153"/>
        <w:tab w:val="right" w:pos="8306"/>
      </w:tabs>
      <w:snapToGrid w:val="0"/>
      <w:jc w:val="left"/>
    </w:pPr>
    <w:rPr>
      <w:sz w:val="18"/>
      <w:szCs w:val="18"/>
    </w:rPr>
  </w:style>
  <w:style w:type="paragraph" w:styleId="55">
    <w:name w:val="envelope return"/>
    <w:basedOn w:val="1"/>
    <w:semiHidden/>
    <w:qFormat/>
    <w:uiPriority w:val="0"/>
    <w:pPr>
      <w:snapToGrid w:val="0"/>
    </w:pPr>
    <w:rPr>
      <w:rFonts w:ascii="Arial" w:hAnsi="Arial" w:eastAsia="宋体" w:cs="Arial"/>
      <w:sz w:val="24"/>
      <w:szCs w:val="24"/>
    </w:rPr>
  </w:style>
  <w:style w:type="paragraph" w:styleId="56">
    <w:name w:val="header"/>
    <w:basedOn w:val="1"/>
    <w:link w:val="92"/>
    <w:unhideWhenUsed/>
    <w:qFormat/>
    <w:uiPriority w:val="99"/>
    <w:pPr>
      <w:pBdr>
        <w:bottom w:val="single" w:color="auto" w:sz="6" w:space="1"/>
      </w:pBdr>
      <w:tabs>
        <w:tab w:val="center" w:pos="4153"/>
        <w:tab w:val="right" w:pos="8306"/>
      </w:tabs>
      <w:snapToGrid w:val="0"/>
      <w:jc w:val="center"/>
    </w:pPr>
    <w:rPr>
      <w:sz w:val="18"/>
      <w:szCs w:val="18"/>
    </w:rPr>
  </w:style>
  <w:style w:type="paragraph" w:styleId="57">
    <w:name w:val="Signature"/>
    <w:basedOn w:val="1"/>
    <w:link w:val="175"/>
    <w:semiHidden/>
    <w:qFormat/>
    <w:uiPriority w:val="0"/>
    <w:pPr>
      <w:ind w:left="100" w:leftChars="2100"/>
    </w:pPr>
    <w:rPr>
      <w:rFonts w:ascii="Times New Roman" w:hAnsi="Times New Roman" w:eastAsia="宋体" w:cs="Times New Roman"/>
      <w:sz w:val="24"/>
      <w:szCs w:val="24"/>
      <w:lang w:val="zh-CN" w:eastAsia="zh-CN"/>
    </w:rPr>
  </w:style>
  <w:style w:type="paragraph" w:styleId="58">
    <w:name w:val="toc 1"/>
    <w:basedOn w:val="1"/>
    <w:next w:val="1"/>
    <w:semiHidden/>
    <w:unhideWhenUsed/>
    <w:qFormat/>
    <w:uiPriority w:val="39"/>
  </w:style>
  <w:style w:type="paragraph" w:styleId="59">
    <w:name w:val="List Continue 4"/>
    <w:basedOn w:val="1"/>
    <w:semiHidden/>
    <w:qFormat/>
    <w:uiPriority w:val="0"/>
    <w:pPr>
      <w:numPr>
        <w:ilvl w:val="0"/>
        <w:numId w:val="9"/>
      </w:numPr>
      <w:tabs>
        <w:tab w:val="clear" w:pos="2040"/>
      </w:tabs>
      <w:spacing w:after="120"/>
      <w:ind w:left="1680" w:firstLine="0" w:firstLineChars="0"/>
    </w:pPr>
    <w:rPr>
      <w:rFonts w:ascii="Times New Roman" w:hAnsi="Times New Roman" w:eastAsia="宋体" w:cs="Times New Roman"/>
      <w:sz w:val="24"/>
      <w:szCs w:val="24"/>
    </w:rPr>
  </w:style>
  <w:style w:type="paragraph" w:styleId="60">
    <w:name w:val="index heading"/>
    <w:basedOn w:val="1"/>
    <w:next w:val="61"/>
    <w:semiHidden/>
    <w:qFormat/>
    <w:uiPriority w:val="0"/>
    <w:rPr>
      <w:rFonts w:ascii="Arial" w:hAnsi="Arial" w:eastAsia="宋体" w:cs="Arial"/>
      <w:b/>
      <w:bCs/>
      <w:sz w:val="24"/>
      <w:szCs w:val="24"/>
    </w:rPr>
  </w:style>
  <w:style w:type="paragraph" w:styleId="61">
    <w:name w:val="index 1"/>
    <w:basedOn w:val="1"/>
    <w:next w:val="1"/>
    <w:semiHidden/>
    <w:qFormat/>
    <w:uiPriority w:val="0"/>
    <w:rPr>
      <w:rFonts w:ascii="Times New Roman" w:hAnsi="Times New Roman" w:eastAsia="宋体" w:cs="Times New Roman"/>
      <w:sz w:val="24"/>
      <w:szCs w:val="24"/>
    </w:rPr>
  </w:style>
  <w:style w:type="paragraph" w:styleId="62">
    <w:name w:val="Subtitle"/>
    <w:basedOn w:val="1"/>
    <w:next w:val="1"/>
    <w:link w:val="136"/>
    <w:qFormat/>
    <w:uiPriority w:val="0"/>
    <w:pPr>
      <w:topLinePunct/>
      <w:spacing w:before="240" w:after="60" w:line="312" w:lineRule="auto"/>
      <w:jc w:val="center"/>
      <w:outlineLvl w:val="1"/>
    </w:pPr>
    <w:rPr>
      <w:rFonts w:ascii="Cambria" w:hAnsi="Cambria" w:eastAsia="宋体" w:cs="黑体"/>
      <w:b/>
      <w:bCs/>
      <w:kern w:val="28"/>
      <w:sz w:val="32"/>
      <w:szCs w:val="32"/>
    </w:rPr>
  </w:style>
  <w:style w:type="paragraph" w:styleId="63">
    <w:name w:val="List Number 5"/>
    <w:basedOn w:val="1"/>
    <w:semiHidden/>
    <w:qFormat/>
    <w:uiPriority w:val="0"/>
    <w:pPr>
      <w:numPr>
        <w:ilvl w:val="0"/>
        <w:numId w:val="5"/>
      </w:numPr>
      <w:tabs>
        <w:tab w:val="left" w:pos="2040"/>
        <w:tab w:val="clear" w:pos="360"/>
      </w:tabs>
      <w:ind w:left="2040" w:leftChars="800"/>
    </w:pPr>
    <w:rPr>
      <w:rFonts w:ascii="Times New Roman" w:hAnsi="Times New Roman" w:eastAsia="宋体" w:cs="Times New Roman"/>
      <w:sz w:val="24"/>
      <w:szCs w:val="24"/>
    </w:rPr>
  </w:style>
  <w:style w:type="paragraph" w:styleId="64">
    <w:name w:val="List"/>
    <w:basedOn w:val="1"/>
    <w:semiHidden/>
    <w:qFormat/>
    <w:uiPriority w:val="0"/>
    <w:pPr>
      <w:numPr>
        <w:ilvl w:val="0"/>
        <w:numId w:val="7"/>
      </w:numPr>
      <w:tabs>
        <w:tab w:val="clear" w:pos="1200"/>
      </w:tabs>
      <w:ind w:left="200" w:leftChars="0" w:hanging="200"/>
    </w:pPr>
    <w:rPr>
      <w:rFonts w:ascii="Times New Roman" w:hAnsi="Times New Roman" w:eastAsia="宋体" w:cs="Times New Roman"/>
      <w:sz w:val="24"/>
      <w:szCs w:val="24"/>
    </w:rPr>
  </w:style>
  <w:style w:type="paragraph" w:styleId="65">
    <w:name w:val="footnote text"/>
    <w:basedOn w:val="1"/>
    <w:link w:val="173"/>
    <w:semiHidden/>
    <w:qFormat/>
    <w:uiPriority w:val="0"/>
    <w:pPr>
      <w:numPr>
        <w:ilvl w:val="0"/>
        <w:numId w:val="4"/>
      </w:numPr>
      <w:tabs>
        <w:tab w:val="clear" w:pos="360"/>
      </w:tabs>
      <w:snapToGrid w:val="0"/>
      <w:ind w:left="0" w:firstLine="0" w:firstLineChars="0"/>
      <w:jc w:val="left"/>
    </w:pPr>
    <w:rPr>
      <w:rFonts w:ascii="Times New Roman" w:hAnsi="Times New Roman" w:eastAsia="宋体" w:cs="Times New Roman"/>
      <w:sz w:val="18"/>
      <w:szCs w:val="18"/>
      <w:lang w:val="zh-CN" w:eastAsia="zh-CN"/>
    </w:rPr>
  </w:style>
  <w:style w:type="paragraph" w:styleId="66">
    <w:name w:val="List 5"/>
    <w:basedOn w:val="1"/>
    <w:semiHidden/>
    <w:qFormat/>
    <w:uiPriority w:val="0"/>
    <w:pPr>
      <w:ind w:left="100" w:leftChars="800" w:hanging="200" w:hangingChars="200"/>
    </w:pPr>
    <w:rPr>
      <w:rFonts w:ascii="Times New Roman" w:hAnsi="Times New Roman" w:eastAsia="宋体" w:cs="Times New Roman"/>
      <w:sz w:val="24"/>
      <w:szCs w:val="24"/>
    </w:rPr>
  </w:style>
  <w:style w:type="paragraph" w:styleId="67">
    <w:name w:val="Body Text Indent 3"/>
    <w:basedOn w:val="1"/>
    <w:link w:val="138"/>
    <w:qFormat/>
    <w:uiPriority w:val="0"/>
    <w:pPr>
      <w:topLinePunct/>
      <w:spacing w:after="120" w:line="360" w:lineRule="atLeast"/>
      <w:ind w:firstLine="720" w:firstLineChars="300"/>
    </w:pPr>
    <w:rPr>
      <w:rFonts w:ascii="Times New Roman" w:hAnsi="Times New Roman" w:eastAsia="宋体" w:cs="Times New Roman"/>
      <w:sz w:val="24"/>
      <w:szCs w:val="20"/>
    </w:rPr>
  </w:style>
  <w:style w:type="paragraph" w:styleId="68">
    <w:name w:val="index 7"/>
    <w:basedOn w:val="1"/>
    <w:next w:val="1"/>
    <w:semiHidden/>
    <w:qFormat/>
    <w:uiPriority w:val="0"/>
    <w:pPr>
      <w:ind w:left="1200" w:leftChars="1200"/>
    </w:pPr>
    <w:rPr>
      <w:rFonts w:ascii="Times New Roman" w:hAnsi="Times New Roman" w:eastAsia="宋体" w:cs="Times New Roman"/>
      <w:sz w:val="24"/>
      <w:szCs w:val="24"/>
    </w:rPr>
  </w:style>
  <w:style w:type="paragraph" w:styleId="69">
    <w:name w:val="index 9"/>
    <w:basedOn w:val="1"/>
    <w:next w:val="1"/>
    <w:semiHidden/>
    <w:qFormat/>
    <w:uiPriority w:val="0"/>
    <w:pPr>
      <w:ind w:left="1600" w:leftChars="1600"/>
    </w:pPr>
    <w:rPr>
      <w:rFonts w:ascii="Times New Roman" w:hAnsi="Times New Roman" w:eastAsia="宋体" w:cs="Times New Roman"/>
      <w:sz w:val="24"/>
      <w:szCs w:val="24"/>
    </w:rPr>
  </w:style>
  <w:style w:type="paragraph" w:styleId="70">
    <w:name w:val="table of figures"/>
    <w:basedOn w:val="1"/>
    <w:next w:val="1"/>
    <w:semiHidden/>
    <w:qFormat/>
    <w:uiPriority w:val="0"/>
    <w:pPr>
      <w:ind w:left="840" w:leftChars="200" w:hanging="420" w:hangingChars="200"/>
    </w:pPr>
    <w:rPr>
      <w:rFonts w:ascii="Times New Roman" w:hAnsi="Times New Roman" w:eastAsia="宋体" w:cs="Times New Roman"/>
      <w:sz w:val="24"/>
      <w:szCs w:val="24"/>
    </w:rPr>
  </w:style>
  <w:style w:type="paragraph" w:styleId="71">
    <w:name w:val="Body Text 2"/>
    <w:basedOn w:val="1"/>
    <w:link w:val="178"/>
    <w:semiHidden/>
    <w:qFormat/>
    <w:uiPriority w:val="0"/>
    <w:pPr>
      <w:spacing w:after="120" w:line="480" w:lineRule="auto"/>
    </w:pPr>
    <w:rPr>
      <w:rFonts w:ascii="Times New Roman" w:hAnsi="Times New Roman" w:eastAsia="宋体" w:cs="Times New Roman"/>
      <w:sz w:val="24"/>
      <w:szCs w:val="24"/>
      <w:lang w:val="zh-CN" w:eastAsia="zh-CN"/>
    </w:rPr>
  </w:style>
  <w:style w:type="paragraph" w:styleId="72">
    <w:name w:val="List 4"/>
    <w:basedOn w:val="1"/>
    <w:semiHidden/>
    <w:qFormat/>
    <w:uiPriority w:val="0"/>
    <w:pPr>
      <w:numPr>
        <w:ilvl w:val="0"/>
        <w:numId w:val="10"/>
      </w:numPr>
      <w:tabs>
        <w:tab w:val="clear" w:pos="2040"/>
      </w:tabs>
      <w:ind w:left="100" w:leftChars="600" w:hanging="200"/>
    </w:pPr>
    <w:rPr>
      <w:rFonts w:ascii="Times New Roman" w:hAnsi="Times New Roman" w:eastAsia="宋体" w:cs="Times New Roman"/>
      <w:sz w:val="24"/>
      <w:szCs w:val="24"/>
    </w:rPr>
  </w:style>
  <w:style w:type="paragraph" w:styleId="73">
    <w:name w:val="List Continue 2"/>
    <w:basedOn w:val="1"/>
    <w:semiHidden/>
    <w:qFormat/>
    <w:uiPriority w:val="0"/>
    <w:pPr>
      <w:numPr>
        <w:ilvl w:val="0"/>
        <w:numId w:val="6"/>
      </w:numPr>
      <w:tabs>
        <w:tab w:val="clear" w:pos="1200"/>
      </w:tabs>
      <w:spacing w:after="120"/>
      <w:ind w:left="840" w:firstLine="0" w:firstLineChars="0"/>
    </w:pPr>
    <w:rPr>
      <w:rFonts w:ascii="Times New Roman" w:hAnsi="Times New Roman" w:eastAsia="宋体" w:cs="Times New Roman"/>
      <w:sz w:val="24"/>
      <w:szCs w:val="24"/>
    </w:rPr>
  </w:style>
  <w:style w:type="paragraph" w:styleId="74">
    <w:name w:val="Message Header"/>
    <w:basedOn w:val="1"/>
    <w:link w:val="177"/>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4"/>
      <w:lang w:val="zh-CN" w:eastAsia="zh-CN"/>
    </w:rPr>
  </w:style>
  <w:style w:type="paragraph" w:styleId="75">
    <w:name w:val="HTML Preformatted"/>
    <w:basedOn w:val="1"/>
    <w:link w:val="169"/>
    <w:qFormat/>
    <w:uiPriority w:val="99"/>
    <w:rPr>
      <w:rFonts w:ascii="Courier New" w:hAnsi="Courier New" w:eastAsia="宋体" w:cs="Times New Roman"/>
      <w:sz w:val="20"/>
      <w:szCs w:val="20"/>
      <w:lang w:val="zh-CN" w:eastAsia="zh-CN"/>
    </w:rPr>
  </w:style>
  <w:style w:type="paragraph" w:styleId="76">
    <w:name w:val="Normal (Web)"/>
    <w:basedOn w:val="1"/>
    <w:qFormat/>
    <w:uiPriority w:val="0"/>
    <w:rPr>
      <w:rFonts w:ascii="Times New Roman" w:hAnsi="Times New Roman" w:eastAsia="宋体" w:cs="Times New Roman"/>
      <w:sz w:val="24"/>
      <w:szCs w:val="24"/>
    </w:rPr>
  </w:style>
  <w:style w:type="paragraph" w:styleId="77">
    <w:name w:val="List Continue 3"/>
    <w:basedOn w:val="1"/>
    <w:semiHidden/>
    <w:qFormat/>
    <w:uiPriority w:val="0"/>
    <w:pPr>
      <w:numPr>
        <w:ilvl w:val="0"/>
        <w:numId w:val="3"/>
      </w:numPr>
      <w:tabs>
        <w:tab w:val="clear" w:pos="1620"/>
      </w:tabs>
      <w:spacing w:after="120"/>
      <w:ind w:left="1260" w:firstLine="0" w:firstLineChars="0"/>
    </w:pPr>
    <w:rPr>
      <w:rFonts w:ascii="Times New Roman" w:hAnsi="Times New Roman" w:eastAsia="宋体" w:cs="Times New Roman"/>
      <w:sz w:val="24"/>
      <w:szCs w:val="24"/>
    </w:rPr>
  </w:style>
  <w:style w:type="paragraph" w:styleId="78">
    <w:name w:val="index 2"/>
    <w:basedOn w:val="1"/>
    <w:next w:val="1"/>
    <w:semiHidden/>
    <w:qFormat/>
    <w:uiPriority w:val="0"/>
    <w:pPr>
      <w:ind w:left="200" w:leftChars="200"/>
    </w:pPr>
    <w:rPr>
      <w:rFonts w:ascii="Times New Roman" w:hAnsi="Times New Roman" w:eastAsia="宋体" w:cs="Times New Roman"/>
      <w:sz w:val="24"/>
      <w:szCs w:val="24"/>
    </w:rPr>
  </w:style>
  <w:style w:type="paragraph" w:styleId="79">
    <w:name w:val="Title"/>
    <w:basedOn w:val="1"/>
    <w:next w:val="1"/>
    <w:link w:val="140"/>
    <w:qFormat/>
    <w:uiPriority w:val="0"/>
    <w:pPr>
      <w:topLinePunct/>
      <w:spacing w:before="240" w:after="60"/>
      <w:jc w:val="center"/>
      <w:outlineLvl w:val="0"/>
    </w:pPr>
    <w:rPr>
      <w:rFonts w:ascii="Cambria" w:hAnsi="Cambria" w:eastAsia="宋体" w:cs="Times New Roman"/>
      <w:b/>
      <w:bCs/>
      <w:sz w:val="32"/>
      <w:szCs w:val="32"/>
      <w:lang w:val="zh-CN" w:eastAsia="zh-CN"/>
    </w:rPr>
  </w:style>
  <w:style w:type="paragraph" w:styleId="80">
    <w:name w:val="annotation subject"/>
    <w:basedOn w:val="30"/>
    <w:next w:val="30"/>
    <w:link w:val="122"/>
    <w:qFormat/>
    <w:uiPriority w:val="99"/>
    <w:rPr>
      <w:b/>
      <w:bCs/>
      <w:szCs w:val="20"/>
    </w:rPr>
  </w:style>
  <w:style w:type="paragraph" w:styleId="81">
    <w:name w:val="Body Text First Indent"/>
    <w:basedOn w:val="36"/>
    <w:link w:val="180"/>
    <w:semiHidden/>
    <w:unhideWhenUsed/>
    <w:qFormat/>
    <w:uiPriority w:val="99"/>
    <w:pPr>
      <w:spacing w:after="120"/>
      <w:ind w:firstLine="420" w:firstLineChars="100"/>
    </w:pPr>
    <w:rPr>
      <w:sz w:val="24"/>
      <w:szCs w:val="24"/>
    </w:rPr>
  </w:style>
  <w:style w:type="paragraph" w:styleId="82">
    <w:name w:val="Body Text First Indent 2"/>
    <w:basedOn w:val="37"/>
    <w:link w:val="182"/>
    <w:semiHidden/>
    <w:unhideWhenUsed/>
    <w:qFormat/>
    <w:uiPriority w:val="99"/>
    <w:pPr>
      <w:autoSpaceDE/>
      <w:autoSpaceDN/>
      <w:adjustRightInd/>
      <w:spacing w:line="240" w:lineRule="auto"/>
      <w:ind w:left="420" w:leftChars="200" w:firstLine="420" w:firstLineChars="200"/>
    </w:pPr>
    <w:rPr>
      <w:rFonts w:ascii="Times New Roman"/>
      <w:kern w:val="2"/>
      <w:sz w:val="24"/>
      <w:szCs w:val="24"/>
    </w:rPr>
  </w:style>
  <w:style w:type="table" w:styleId="84">
    <w:name w:val="Table Grid"/>
    <w:basedOn w:val="8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6">
    <w:name w:val="Strong"/>
    <w:qFormat/>
    <w:uiPriority w:val="0"/>
    <w:rPr>
      <w:b/>
    </w:rPr>
  </w:style>
  <w:style w:type="character" w:styleId="87">
    <w:name w:val="page number"/>
    <w:basedOn w:val="85"/>
    <w:qFormat/>
    <w:uiPriority w:val="0"/>
  </w:style>
  <w:style w:type="character" w:styleId="88">
    <w:name w:val="FollowedHyperlink"/>
    <w:qFormat/>
    <w:uiPriority w:val="99"/>
    <w:rPr>
      <w:color w:val="800080"/>
      <w:u w:val="single"/>
    </w:rPr>
  </w:style>
  <w:style w:type="character" w:styleId="89">
    <w:name w:val="line number"/>
    <w:basedOn w:val="85"/>
    <w:semiHidden/>
    <w:unhideWhenUsed/>
    <w:qFormat/>
    <w:uiPriority w:val="99"/>
  </w:style>
  <w:style w:type="character" w:styleId="90">
    <w:name w:val="Hyperlink"/>
    <w:qFormat/>
    <w:uiPriority w:val="99"/>
    <w:rPr>
      <w:color w:val="0000FF"/>
      <w:u w:val="single"/>
    </w:rPr>
  </w:style>
  <w:style w:type="character" w:styleId="91">
    <w:name w:val="annotation reference"/>
    <w:qFormat/>
    <w:uiPriority w:val="99"/>
    <w:rPr>
      <w:sz w:val="21"/>
      <w:szCs w:val="21"/>
    </w:rPr>
  </w:style>
  <w:style w:type="character" w:customStyle="1" w:styleId="92">
    <w:name w:val="页眉 字符"/>
    <w:basedOn w:val="85"/>
    <w:link w:val="56"/>
    <w:qFormat/>
    <w:uiPriority w:val="99"/>
    <w:rPr>
      <w:sz w:val="18"/>
      <w:szCs w:val="18"/>
    </w:rPr>
  </w:style>
  <w:style w:type="character" w:customStyle="1" w:styleId="93">
    <w:name w:val="页脚 字符"/>
    <w:basedOn w:val="85"/>
    <w:link w:val="54"/>
    <w:qFormat/>
    <w:uiPriority w:val="0"/>
    <w:rPr>
      <w:sz w:val="18"/>
      <w:szCs w:val="18"/>
    </w:rPr>
  </w:style>
  <w:style w:type="character" w:customStyle="1" w:styleId="94">
    <w:name w:val="标题 1 字符"/>
    <w:basedOn w:val="85"/>
    <w:link w:val="3"/>
    <w:qFormat/>
    <w:uiPriority w:val="0"/>
    <w:rPr>
      <w:rFonts w:ascii="方正黑体简体" w:hAnsi="Times New Roman" w:eastAsia="方正黑体简体" w:cs="Times New Roman"/>
      <w:b/>
      <w:kern w:val="0"/>
      <w:sz w:val="28"/>
      <w:szCs w:val="28"/>
      <w:lang w:val="zh-CN" w:eastAsia="zh-CN"/>
    </w:rPr>
  </w:style>
  <w:style w:type="character" w:customStyle="1" w:styleId="95">
    <w:name w:val="标题 2 字符"/>
    <w:basedOn w:val="85"/>
    <w:link w:val="5"/>
    <w:qFormat/>
    <w:uiPriority w:val="9"/>
    <w:rPr>
      <w:rFonts w:ascii="方正黑体简体" w:hAnsi="Times New Roman" w:eastAsia="方正黑体简体" w:cs="Times New Roman"/>
      <w:sz w:val="28"/>
      <w:szCs w:val="28"/>
      <w:lang w:val="zh-CN" w:eastAsia="zh-CN"/>
    </w:rPr>
  </w:style>
  <w:style w:type="character" w:customStyle="1" w:styleId="96">
    <w:name w:val="标题 3 字符"/>
    <w:basedOn w:val="85"/>
    <w:link w:val="8"/>
    <w:qFormat/>
    <w:uiPriority w:val="0"/>
    <w:rPr>
      <w:rFonts w:ascii="Arial" w:hAnsi="Arial" w:eastAsia="黑体" w:cs="Times New Roman"/>
      <w:sz w:val="24"/>
      <w:szCs w:val="24"/>
    </w:rPr>
  </w:style>
  <w:style w:type="character" w:customStyle="1" w:styleId="97">
    <w:name w:val="标题 4 字符"/>
    <w:basedOn w:val="85"/>
    <w:link w:val="12"/>
    <w:qFormat/>
    <w:uiPriority w:val="0"/>
    <w:rPr>
      <w:rFonts w:ascii="Times New Roman" w:hAnsi="Times New Roman" w:eastAsia="宋体" w:cs="Times New Roman"/>
      <w:sz w:val="28"/>
      <w:szCs w:val="20"/>
    </w:rPr>
  </w:style>
  <w:style w:type="character" w:customStyle="1" w:styleId="98">
    <w:name w:val="标题 5 字符"/>
    <w:basedOn w:val="85"/>
    <w:link w:val="7"/>
    <w:qFormat/>
    <w:uiPriority w:val="0"/>
    <w:rPr>
      <w:rFonts w:ascii="Times New Roman" w:hAnsi="Times New Roman" w:eastAsia="宋体" w:cs="Times New Roman"/>
      <w:b/>
      <w:bCs/>
      <w:sz w:val="28"/>
      <w:szCs w:val="28"/>
    </w:rPr>
  </w:style>
  <w:style w:type="character" w:customStyle="1" w:styleId="99">
    <w:name w:val="标题 6 字符"/>
    <w:basedOn w:val="85"/>
    <w:link w:val="10"/>
    <w:qFormat/>
    <w:uiPriority w:val="0"/>
    <w:rPr>
      <w:rFonts w:ascii="Arial" w:hAnsi="Arial" w:eastAsia="黑体" w:cs="Times New Roman"/>
      <w:b/>
      <w:bCs/>
      <w:sz w:val="24"/>
      <w:szCs w:val="24"/>
    </w:rPr>
  </w:style>
  <w:style w:type="character" w:customStyle="1" w:styleId="100">
    <w:name w:val="标题 7 字符"/>
    <w:basedOn w:val="85"/>
    <w:link w:val="13"/>
    <w:qFormat/>
    <w:uiPriority w:val="0"/>
    <w:rPr>
      <w:rFonts w:ascii="Times New Roman" w:hAnsi="Times New Roman" w:eastAsia="宋体" w:cs="Times New Roman"/>
      <w:b/>
      <w:bCs/>
      <w:sz w:val="24"/>
      <w:szCs w:val="24"/>
    </w:rPr>
  </w:style>
  <w:style w:type="character" w:customStyle="1" w:styleId="101">
    <w:name w:val="标题 8 字符"/>
    <w:basedOn w:val="85"/>
    <w:link w:val="14"/>
    <w:qFormat/>
    <w:uiPriority w:val="0"/>
    <w:rPr>
      <w:rFonts w:ascii="Arial" w:hAnsi="Arial" w:eastAsia="黑体" w:cs="Times New Roman"/>
      <w:sz w:val="24"/>
      <w:szCs w:val="24"/>
    </w:rPr>
  </w:style>
  <w:style w:type="character" w:customStyle="1" w:styleId="102">
    <w:name w:val="标题 9 字符"/>
    <w:basedOn w:val="85"/>
    <w:link w:val="15"/>
    <w:qFormat/>
    <w:uiPriority w:val="0"/>
    <w:rPr>
      <w:rFonts w:ascii="Arial" w:hAnsi="Arial" w:eastAsia="黑体" w:cs="Times New Roman"/>
      <w:sz w:val="24"/>
      <w:szCs w:val="21"/>
    </w:rPr>
  </w:style>
  <w:style w:type="paragraph" w:customStyle="1" w:styleId="103">
    <w:name w:val="_Style 26"/>
    <w:basedOn w:val="1"/>
    <w:next w:val="1"/>
    <w:unhideWhenUsed/>
    <w:qFormat/>
    <w:uiPriority w:val="39"/>
    <w:pPr>
      <w:topLinePunct/>
      <w:ind w:left="3360" w:leftChars="1600"/>
    </w:pPr>
    <w:rPr>
      <w:rFonts w:ascii="Calibri" w:hAnsi="Calibri" w:eastAsia="宋体" w:cs="Times New Roman"/>
      <w:sz w:val="24"/>
    </w:rPr>
  </w:style>
  <w:style w:type="paragraph" w:customStyle="1" w:styleId="104">
    <w:name w:val="bt1bt1"/>
    <w:basedOn w:val="3"/>
    <w:qFormat/>
    <w:uiPriority w:val="0"/>
    <w:pPr>
      <w:spacing w:line="240" w:lineRule="auto"/>
    </w:pPr>
    <w:rPr>
      <w:rFonts w:ascii="黑体" w:eastAsia="黑体"/>
      <w:b w:val="0"/>
      <w:sz w:val="36"/>
      <w:szCs w:val="36"/>
    </w:rPr>
  </w:style>
  <w:style w:type="paragraph" w:styleId="105">
    <w:name w:val="List Paragraph"/>
    <w:basedOn w:val="1"/>
    <w:link w:val="165"/>
    <w:qFormat/>
    <w:uiPriority w:val="34"/>
    <w:pPr>
      <w:topLinePunct/>
      <w:ind w:firstLine="420" w:firstLineChars="200"/>
    </w:pPr>
    <w:rPr>
      <w:rFonts w:ascii="Times New Roman" w:hAnsi="Times New Roman" w:eastAsia="宋体" w:cs="Times New Roman"/>
      <w:sz w:val="24"/>
      <w:szCs w:val="24"/>
      <w:lang w:val="zh-CN" w:eastAsia="zh-CN"/>
    </w:rPr>
  </w:style>
  <w:style w:type="character" w:customStyle="1" w:styleId="106">
    <w:name w:val="标题 1 Char"/>
    <w:qFormat/>
    <w:uiPriority w:val="9"/>
    <w:rPr>
      <w:rFonts w:ascii="Times New Roman" w:hAnsi="Times New Roman" w:eastAsia="宋体" w:cs="Times New Roman"/>
      <w:b/>
      <w:bCs/>
      <w:kern w:val="44"/>
      <w:sz w:val="44"/>
      <w:szCs w:val="44"/>
    </w:rPr>
  </w:style>
  <w:style w:type="character" w:customStyle="1" w:styleId="107">
    <w:name w:val="批注框文本 字符"/>
    <w:basedOn w:val="85"/>
    <w:link w:val="53"/>
    <w:qFormat/>
    <w:uiPriority w:val="0"/>
    <w:rPr>
      <w:rFonts w:ascii="Times New Roman" w:hAnsi="Times New Roman" w:eastAsia="宋体" w:cs="Times New Roman"/>
      <w:sz w:val="18"/>
      <w:szCs w:val="18"/>
    </w:rPr>
  </w:style>
  <w:style w:type="character" w:customStyle="1" w:styleId="108">
    <w:name w:val="批注框文本 Char"/>
    <w:qFormat/>
    <w:uiPriority w:val="99"/>
    <w:rPr>
      <w:rFonts w:ascii="Times New Roman" w:hAnsi="Times New Roman" w:eastAsia="宋体" w:cs="Times New Roman"/>
      <w:sz w:val="18"/>
      <w:szCs w:val="18"/>
    </w:rPr>
  </w:style>
  <w:style w:type="paragraph" w:customStyle="1" w:styleId="109">
    <w:name w:val="TOC Heading"/>
    <w:basedOn w:val="3"/>
    <w:next w:val="1"/>
    <w:qFormat/>
    <w:uiPriority w:val="39"/>
    <w:pPr>
      <w:widowControl/>
      <w:spacing w:before="480" w:after="0" w:line="276" w:lineRule="auto"/>
      <w:jc w:val="left"/>
      <w:outlineLvl w:val="9"/>
    </w:pPr>
    <w:rPr>
      <w:rFonts w:ascii="Cambria" w:hAnsi="Cambria" w:eastAsia="宋体"/>
      <w:color w:val="365F91"/>
    </w:rPr>
  </w:style>
  <w:style w:type="character" w:customStyle="1" w:styleId="110">
    <w:name w:val="标题 2 Char"/>
    <w:qFormat/>
    <w:uiPriority w:val="0"/>
    <w:rPr>
      <w:rFonts w:ascii="Arial" w:hAnsi="Arial" w:eastAsia="黑体" w:cs="Times New Roman"/>
      <w:b/>
      <w:bCs/>
      <w:sz w:val="32"/>
      <w:szCs w:val="32"/>
    </w:rPr>
  </w:style>
  <w:style w:type="character" w:customStyle="1" w:styleId="111">
    <w:name w:val="标题 3 Char"/>
    <w:qFormat/>
    <w:uiPriority w:val="0"/>
    <w:rPr>
      <w:rFonts w:ascii="黑体" w:hAnsi="Times New Roman" w:eastAsia="黑体" w:cs="Times New Roman"/>
      <w:kern w:val="0"/>
      <w:sz w:val="28"/>
      <w:szCs w:val="20"/>
    </w:rPr>
  </w:style>
  <w:style w:type="character" w:customStyle="1" w:styleId="112">
    <w:name w:val="标题 4 Char"/>
    <w:qFormat/>
    <w:uiPriority w:val="0"/>
    <w:rPr>
      <w:rFonts w:ascii="Times New Roman" w:hAnsi="Times New Roman" w:eastAsia="宋体" w:cs="Times New Roman"/>
      <w:sz w:val="28"/>
      <w:szCs w:val="20"/>
    </w:rPr>
  </w:style>
  <w:style w:type="character" w:customStyle="1" w:styleId="113">
    <w:name w:val="标题 5 Char"/>
    <w:qFormat/>
    <w:uiPriority w:val="0"/>
    <w:rPr>
      <w:rFonts w:ascii="Times New Roman" w:hAnsi="Times New Roman" w:eastAsia="宋体" w:cs="Times New Roman"/>
      <w:b/>
      <w:bCs/>
      <w:sz w:val="28"/>
      <w:szCs w:val="28"/>
    </w:rPr>
  </w:style>
  <w:style w:type="character" w:customStyle="1" w:styleId="114">
    <w:name w:val="标题 6 Char"/>
    <w:qFormat/>
    <w:uiPriority w:val="0"/>
    <w:rPr>
      <w:rFonts w:ascii="Arial" w:hAnsi="Arial" w:eastAsia="黑体" w:cs="Times New Roman"/>
      <w:b/>
      <w:bCs/>
      <w:sz w:val="24"/>
      <w:szCs w:val="24"/>
    </w:rPr>
  </w:style>
  <w:style w:type="character" w:customStyle="1" w:styleId="115">
    <w:name w:val="标题 7 Char"/>
    <w:qFormat/>
    <w:uiPriority w:val="0"/>
    <w:rPr>
      <w:rFonts w:ascii="Times New Roman" w:hAnsi="Times New Roman" w:eastAsia="宋体" w:cs="Times New Roman"/>
      <w:b/>
      <w:bCs/>
      <w:sz w:val="24"/>
      <w:szCs w:val="24"/>
    </w:rPr>
  </w:style>
  <w:style w:type="character" w:customStyle="1" w:styleId="116">
    <w:name w:val="标题 8 Char"/>
    <w:qFormat/>
    <w:uiPriority w:val="0"/>
    <w:rPr>
      <w:rFonts w:ascii="Arial" w:hAnsi="Arial" w:eastAsia="黑体" w:cs="Times New Roman"/>
      <w:sz w:val="24"/>
      <w:szCs w:val="24"/>
    </w:rPr>
  </w:style>
  <w:style w:type="character" w:customStyle="1" w:styleId="117">
    <w:name w:val="标题 9 Char"/>
    <w:qFormat/>
    <w:uiPriority w:val="0"/>
    <w:rPr>
      <w:rFonts w:ascii="Arial" w:hAnsi="Arial" w:eastAsia="黑体" w:cs="Times New Roman"/>
      <w:szCs w:val="21"/>
    </w:rPr>
  </w:style>
  <w:style w:type="character" w:customStyle="1" w:styleId="118">
    <w:name w:val="页眉 Char"/>
    <w:qFormat/>
    <w:uiPriority w:val="99"/>
    <w:rPr>
      <w:rFonts w:ascii="Times New Roman" w:hAnsi="Times New Roman" w:eastAsia="宋体" w:cs="Times New Roman"/>
      <w:sz w:val="18"/>
      <w:szCs w:val="18"/>
    </w:rPr>
  </w:style>
  <w:style w:type="character" w:customStyle="1" w:styleId="119">
    <w:name w:val="页脚 Char"/>
    <w:qFormat/>
    <w:uiPriority w:val="0"/>
    <w:rPr>
      <w:rFonts w:ascii="Times New Roman" w:hAnsi="Times New Roman" w:eastAsia="宋体" w:cs="Times New Roman"/>
      <w:sz w:val="18"/>
      <w:szCs w:val="18"/>
    </w:rPr>
  </w:style>
  <w:style w:type="character" w:customStyle="1" w:styleId="120">
    <w:name w:val="批注文字 字符"/>
    <w:basedOn w:val="85"/>
    <w:link w:val="30"/>
    <w:qFormat/>
    <w:uiPriority w:val="0"/>
    <w:rPr>
      <w:rFonts w:ascii="Times New Roman" w:hAnsi="Times New Roman" w:eastAsia="宋体" w:cs="Times New Roman"/>
      <w:sz w:val="24"/>
      <w:szCs w:val="24"/>
      <w:lang w:val="zh-CN" w:eastAsia="zh-CN"/>
    </w:rPr>
  </w:style>
  <w:style w:type="character" w:customStyle="1" w:styleId="121">
    <w:name w:val="批注文字 Char"/>
    <w:qFormat/>
    <w:uiPriority w:val="99"/>
    <w:rPr>
      <w:rFonts w:ascii="Times New Roman" w:hAnsi="Times New Roman" w:eastAsia="宋体" w:cs="Times New Roman"/>
      <w:szCs w:val="24"/>
    </w:rPr>
  </w:style>
  <w:style w:type="character" w:customStyle="1" w:styleId="122">
    <w:name w:val="批注主题 字符"/>
    <w:basedOn w:val="120"/>
    <w:link w:val="80"/>
    <w:qFormat/>
    <w:uiPriority w:val="0"/>
    <w:rPr>
      <w:rFonts w:ascii="Times New Roman" w:hAnsi="Times New Roman" w:eastAsia="宋体" w:cs="Times New Roman"/>
      <w:b/>
      <w:bCs/>
      <w:sz w:val="24"/>
      <w:szCs w:val="20"/>
      <w:lang w:val="zh-CN" w:eastAsia="zh-CN"/>
    </w:rPr>
  </w:style>
  <w:style w:type="character" w:customStyle="1" w:styleId="123">
    <w:name w:val="批注主题 Char"/>
    <w:semiHidden/>
    <w:qFormat/>
    <w:uiPriority w:val="99"/>
    <w:rPr>
      <w:rFonts w:ascii="Times New Roman" w:hAnsi="Times New Roman" w:eastAsia="宋体" w:cs="Times New Roman"/>
      <w:b/>
      <w:bCs/>
      <w:szCs w:val="20"/>
    </w:rPr>
  </w:style>
  <w:style w:type="character" w:customStyle="1" w:styleId="124">
    <w:name w:val="文档结构图 字符"/>
    <w:basedOn w:val="85"/>
    <w:link w:val="28"/>
    <w:semiHidden/>
    <w:qFormat/>
    <w:uiPriority w:val="0"/>
    <w:rPr>
      <w:rFonts w:ascii="宋体" w:hAnsi="Times New Roman" w:eastAsia="宋体" w:cs="Times New Roman"/>
      <w:sz w:val="18"/>
      <w:szCs w:val="18"/>
    </w:rPr>
  </w:style>
  <w:style w:type="character" w:customStyle="1" w:styleId="125">
    <w:name w:val="文档结构图 Char"/>
    <w:semiHidden/>
    <w:qFormat/>
    <w:uiPriority w:val="0"/>
    <w:rPr>
      <w:rFonts w:ascii="宋体" w:hAnsi="Times New Roman" w:eastAsia="宋体" w:cs="Times New Roman"/>
      <w:sz w:val="18"/>
      <w:szCs w:val="18"/>
    </w:rPr>
  </w:style>
  <w:style w:type="character" w:customStyle="1" w:styleId="126">
    <w:name w:val="正文文本 字符"/>
    <w:basedOn w:val="85"/>
    <w:qFormat/>
    <w:uiPriority w:val="0"/>
  </w:style>
  <w:style w:type="character" w:customStyle="1" w:styleId="127">
    <w:name w:val="正文文本 Char"/>
    <w:qFormat/>
    <w:uiPriority w:val="0"/>
    <w:rPr>
      <w:rFonts w:ascii="Times New Roman" w:hAnsi="Times New Roman" w:eastAsia="宋体" w:cs="Times New Roman"/>
      <w:sz w:val="28"/>
      <w:szCs w:val="20"/>
    </w:rPr>
  </w:style>
  <w:style w:type="character" w:customStyle="1" w:styleId="128">
    <w:name w:val="正文文本缩进 字符"/>
    <w:basedOn w:val="85"/>
    <w:link w:val="37"/>
    <w:qFormat/>
    <w:uiPriority w:val="0"/>
    <w:rPr>
      <w:rFonts w:ascii="楷体_GB2312" w:hAnsi="Times New Roman" w:eastAsia="楷体_GB2312" w:cs="Times New Roman"/>
      <w:kern w:val="0"/>
      <w:sz w:val="28"/>
      <w:szCs w:val="20"/>
      <w:lang w:val="zh-CN" w:eastAsia="zh-CN"/>
    </w:rPr>
  </w:style>
  <w:style w:type="character" w:customStyle="1" w:styleId="129">
    <w:name w:val="正文文本缩进 Char"/>
    <w:qFormat/>
    <w:uiPriority w:val="0"/>
    <w:rPr>
      <w:rFonts w:ascii="楷体_GB2312" w:hAnsi="Times New Roman" w:eastAsia="楷体_GB2312" w:cs="Times New Roman"/>
      <w:kern w:val="0"/>
      <w:sz w:val="28"/>
      <w:szCs w:val="20"/>
    </w:rPr>
  </w:style>
  <w:style w:type="character" w:customStyle="1" w:styleId="130">
    <w:name w:val="纯文本 字符"/>
    <w:basedOn w:val="85"/>
    <w:link w:val="45"/>
    <w:qFormat/>
    <w:uiPriority w:val="0"/>
    <w:rPr>
      <w:rFonts w:ascii="宋体" w:hAnsi="Courier New" w:eastAsia="宋体" w:cs="Times New Roman"/>
      <w:sz w:val="24"/>
      <w:szCs w:val="20"/>
      <w:lang w:val="zh-CN" w:eastAsia="zh-CN"/>
    </w:rPr>
  </w:style>
  <w:style w:type="character" w:customStyle="1" w:styleId="131">
    <w:name w:val="纯文本 Char"/>
    <w:qFormat/>
    <w:uiPriority w:val="0"/>
    <w:rPr>
      <w:rFonts w:ascii="宋体" w:hAnsi="Courier New" w:eastAsia="宋体" w:cs="Times New Roman"/>
      <w:szCs w:val="20"/>
    </w:rPr>
  </w:style>
  <w:style w:type="character" w:customStyle="1" w:styleId="132">
    <w:name w:val="日期 字符"/>
    <w:basedOn w:val="85"/>
    <w:link w:val="49"/>
    <w:qFormat/>
    <w:uiPriority w:val="0"/>
    <w:rPr>
      <w:rFonts w:ascii="Times New Roman" w:hAnsi="Times New Roman" w:eastAsia="宋体" w:cs="Times New Roman"/>
      <w:sz w:val="24"/>
      <w:szCs w:val="20"/>
    </w:rPr>
  </w:style>
  <w:style w:type="character" w:customStyle="1" w:styleId="133">
    <w:name w:val="日期 Char"/>
    <w:qFormat/>
    <w:uiPriority w:val="99"/>
    <w:rPr>
      <w:rFonts w:ascii="Times New Roman" w:hAnsi="Times New Roman" w:eastAsia="宋体" w:cs="Times New Roman"/>
      <w:szCs w:val="20"/>
    </w:rPr>
  </w:style>
  <w:style w:type="character" w:customStyle="1" w:styleId="134">
    <w:name w:val="正文文本缩进 2 字符"/>
    <w:basedOn w:val="85"/>
    <w:link w:val="50"/>
    <w:qFormat/>
    <w:uiPriority w:val="0"/>
    <w:rPr>
      <w:rFonts w:ascii="仿宋_GB2312" w:hAnsi="宋体" w:eastAsia="仿宋_GB2312" w:cs="Times New Roman"/>
      <w:sz w:val="24"/>
      <w:szCs w:val="24"/>
    </w:rPr>
  </w:style>
  <w:style w:type="character" w:customStyle="1" w:styleId="135">
    <w:name w:val="正文文本缩进 2 Char"/>
    <w:qFormat/>
    <w:uiPriority w:val="0"/>
    <w:rPr>
      <w:rFonts w:ascii="仿宋_GB2312" w:hAnsi="宋体" w:eastAsia="仿宋_GB2312" w:cs="Times New Roman"/>
      <w:sz w:val="24"/>
      <w:szCs w:val="24"/>
    </w:rPr>
  </w:style>
  <w:style w:type="character" w:customStyle="1" w:styleId="136">
    <w:name w:val="副标题 字符"/>
    <w:basedOn w:val="85"/>
    <w:link w:val="62"/>
    <w:qFormat/>
    <w:uiPriority w:val="0"/>
    <w:rPr>
      <w:rFonts w:ascii="Cambria" w:hAnsi="Cambria" w:eastAsia="宋体" w:cs="黑体"/>
      <w:b/>
      <w:bCs/>
      <w:kern w:val="28"/>
      <w:sz w:val="32"/>
      <w:szCs w:val="32"/>
    </w:rPr>
  </w:style>
  <w:style w:type="character" w:customStyle="1" w:styleId="137">
    <w:name w:val="副标题 Char"/>
    <w:qFormat/>
    <w:uiPriority w:val="0"/>
    <w:rPr>
      <w:rFonts w:ascii="Cambria" w:hAnsi="Cambria" w:eastAsia="宋体" w:cs="黑体"/>
      <w:b/>
      <w:bCs/>
      <w:kern w:val="28"/>
      <w:sz w:val="32"/>
      <w:szCs w:val="32"/>
    </w:rPr>
  </w:style>
  <w:style w:type="character" w:customStyle="1" w:styleId="138">
    <w:name w:val="正文文本缩进 3 字符"/>
    <w:basedOn w:val="85"/>
    <w:link w:val="67"/>
    <w:qFormat/>
    <w:uiPriority w:val="0"/>
    <w:rPr>
      <w:rFonts w:ascii="Times New Roman" w:hAnsi="Times New Roman" w:eastAsia="宋体" w:cs="Times New Roman"/>
      <w:sz w:val="24"/>
      <w:szCs w:val="20"/>
    </w:rPr>
  </w:style>
  <w:style w:type="character" w:customStyle="1" w:styleId="139">
    <w:name w:val="正文文本缩进 3 Char"/>
    <w:qFormat/>
    <w:uiPriority w:val="0"/>
    <w:rPr>
      <w:rFonts w:ascii="Times New Roman" w:hAnsi="Times New Roman" w:eastAsia="宋体" w:cs="Times New Roman"/>
      <w:sz w:val="24"/>
      <w:szCs w:val="20"/>
    </w:rPr>
  </w:style>
  <w:style w:type="character" w:customStyle="1" w:styleId="140">
    <w:name w:val="标题 字符"/>
    <w:basedOn w:val="85"/>
    <w:link w:val="79"/>
    <w:qFormat/>
    <w:uiPriority w:val="10"/>
    <w:rPr>
      <w:rFonts w:ascii="Cambria" w:hAnsi="Cambria" w:eastAsia="宋体" w:cs="Times New Roman"/>
      <w:b/>
      <w:bCs/>
      <w:sz w:val="32"/>
      <w:szCs w:val="32"/>
      <w:lang w:val="zh-CN" w:eastAsia="zh-CN"/>
    </w:rPr>
  </w:style>
  <w:style w:type="character" w:customStyle="1" w:styleId="141">
    <w:name w:val="标题 Char"/>
    <w:qFormat/>
    <w:uiPriority w:val="10"/>
    <w:rPr>
      <w:rFonts w:ascii="Cambria" w:hAnsi="Cambria" w:eastAsia="宋体" w:cs="Times New Roman"/>
      <w:b/>
      <w:bCs/>
      <w:sz w:val="32"/>
      <w:szCs w:val="32"/>
    </w:rPr>
  </w:style>
  <w:style w:type="paragraph" w:customStyle="1" w:styleId="142">
    <w:name w:val="TOC 标题1"/>
    <w:basedOn w:val="3"/>
    <w:next w:val="1"/>
    <w:qFormat/>
    <w:uiPriority w:val="39"/>
    <w:pPr>
      <w:widowControl/>
      <w:spacing w:before="480" w:after="0" w:line="276" w:lineRule="auto"/>
      <w:jc w:val="left"/>
      <w:outlineLvl w:val="9"/>
    </w:pPr>
    <w:rPr>
      <w:rFonts w:ascii="Cambria" w:hAnsi="Cambria"/>
      <w:color w:val="365F91"/>
    </w:rPr>
  </w:style>
  <w:style w:type="paragraph" w:customStyle="1" w:styleId="143">
    <w:name w:val="_Style 36"/>
    <w:basedOn w:val="1"/>
    <w:qFormat/>
    <w:uiPriority w:val="34"/>
    <w:pPr>
      <w:topLinePunct/>
      <w:ind w:firstLine="420" w:firstLineChars="200"/>
    </w:pPr>
    <w:rPr>
      <w:rFonts w:ascii="Times New Roman" w:hAnsi="Times New Roman" w:eastAsia="宋体" w:cs="Times New Roman"/>
      <w:sz w:val="24"/>
      <w:szCs w:val="20"/>
    </w:rPr>
  </w:style>
  <w:style w:type="paragraph" w:customStyle="1" w:styleId="144">
    <w:name w:val="Char Char Char Char Char Char Char Char Char Char Char Char Char"/>
    <w:basedOn w:val="28"/>
    <w:qFormat/>
    <w:uiPriority w:val="0"/>
    <w:pPr>
      <w:shd w:val="clear" w:color="auto" w:fill="000080"/>
    </w:pPr>
    <w:rPr>
      <w:rFonts w:ascii="Tahoma" w:hAnsi="Tahoma"/>
      <w:sz w:val="24"/>
      <w:szCs w:val="24"/>
    </w:rPr>
  </w:style>
  <w:style w:type="paragraph" w:customStyle="1" w:styleId="145">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46">
    <w:name w:val="Blockquote"/>
    <w:basedOn w:val="1"/>
    <w:qFormat/>
    <w:uiPriority w:val="0"/>
    <w:pPr>
      <w:topLinePunct/>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47">
    <w:name w:val="新定义正文"/>
    <w:basedOn w:val="1"/>
    <w:qFormat/>
    <w:uiPriority w:val="0"/>
    <w:pPr>
      <w:widowControl/>
      <w:topLinePunct/>
    </w:pPr>
    <w:rPr>
      <w:rFonts w:ascii="Times New Roman" w:hAnsi="Times New Roman" w:eastAsia="宋体" w:cs="Times New Roman"/>
      <w:color w:val="000000"/>
      <w:sz w:val="24"/>
      <w:szCs w:val="21"/>
    </w:rPr>
  </w:style>
  <w:style w:type="paragraph" w:customStyle="1" w:styleId="148">
    <w:name w:val="节"/>
    <w:basedOn w:val="5"/>
    <w:qFormat/>
    <w:uiPriority w:val="0"/>
    <w:pPr>
      <w:numPr>
        <w:ilvl w:val="1"/>
        <w:numId w:val="11"/>
      </w:numPr>
      <w:tabs>
        <w:tab w:val="left" w:pos="432"/>
      </w:tabs>
      <w:spacing w:line="240" w:lineRule="auto"/>
    </w:pPr>
    <w:rPr>
      <w:rFonts w:ascii="黑体"/>
    </w:rPr>
  </w:style>
  <w:style w:type="paragraph" w:customStyle="1" w:styleId="149">
    <w:name w:val="TOC 标题2"/>
    <w:basedOn w:val="3"/>
    <w:next w:val="1"/>
    <w:unhideWhenUsed/>
    <w:qFormat/>
    <w:uiPriority w:val="39"/>
    <w:pPr>
      <w:widowControl/>
      <w:spacing w:before="480" w:after="0" w:line="276" w:lineRule="auto"/>
      <w:jc w:val="left"/>
      <w:outlineLvl w:val="9"/>
    </w:pPr>
    <w:rPr>
      <w:rFonts w:ascii="Cambria" w:hAnsi="Cambria" w:cs="黑体"/>
      <w:color w:val="365F90"/>
    </w:rPr>
  </w:style>
  <w:style w:type="paragraph" w:customStyle="1" w:styleId="150">
    <w:name w:val="列出段落1"/>
    <w:basedOn w:val="1"/>
    <w:qFormat/>
    <w:uiPriority w:val="0"/>
    <w:pPr>
      <w:topLinePunct/>
      <w:ind w:firstLine="420" w:firstLineChars="200"/>
    </w:pPr>
    <w:rPr>
      <w:rFonts w:ascii="Times New Roman" w:hAnsi="Times New Roman" w:eastAsia="宋体" w:cs="Times New Roman"/>
      <w:sz w:val="24"/>
      <w:szCs w:val="20"/>
    </w:rPr>
  </w:style>
  <w:style w:type="paragraph" w:customStyle="1" w:styleId="15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2">
    <w:name w:val="Char Char1"/>
    <w:qFormat/>
    <w:uiPriority w:val="0"/>
    <w:rPr>
      <w:rFonts w:ascii="楷体_GB2312" w:eastAsia="楷体_GB2312"/>
      <w:sz w:val="28"/>
    </w:rPr>
  </w:style>
  <w:style w:type="character" w:customStyle="1" w:styleId="153">
    <w:name w:val="Char Char"/>
    <w:qFormat/>
    <w:uiPriority w:val="0"/>
    <w:rPr>
      <w:rFonts w:ascii="宋体"/>
      <w:kern w:val="2"/>
      <w:sz w:val="18"/>
      <w:szCs w:val="18"/>
    </w:rPr>
  </w:style>
  <w:style w:type="paragraph" w:customStyle="1" w:styleId="154">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55">
    <w:name w:val="样式 标题 3 + (中文) 黑体 小四 非加粗 段前: 7.8 磅 段后: 0 磅 行距: 固定值 20 磅"/>
    <w:basedOn w:val="8"/>
    <w:qFormat/>
    <w:uiPriority w:val="0"/>
    <w:pPr>
      <w:spacing w:before="0" w:after="0" w:line="400" w:lineRule="exact"/>
    </w:pPr>
    <w:rPr>
      <w:rFonts w:ascii="Times New Roman" w:cs="宋体"/>
    </w:rPr>
  </w:style>
  <w:style w:type="character" w:customStyle="1" w:styleId="156">
    <w:name w:val="批注文字 Char1"/>
    <w:qFormat/>
    <w:uiPriority w:val="99"/>
    <w:rPr>
      <w:kern w:val="2"/>
      <w:sz w:val="21"/>
    </w:rPr>
  </w:style>
  <w:style w:type="paragraph" w:customStyle="1" w:styleId="157">
    <w:name w:val="正文0"/>
    <w:basedOn w:val="1"/>
    <w:qFormat/>
    <w:uiPriority w:val="0"/>
    <w:pPr>
      <w:topLinePunct/>
      <w:adjustRightInd w:val="0"/>
      <w:snapToGrid w:val="0"/>
      <w:spacing w:line="440" w:lineRule="exact"/>
      <w:ind w:left="420" w:leftChars="200" w:firstLine="428" w:firstLineChars="200"/>
    </w:pPr>
    <w:rPr>
      <w:rFonts w:ascii="Times New Roman" w:hAnsi="Times New Roman" w:eastAsia="宋体" w:cs="Times New Roman"/>
      <w:spacing w:val="2"/>
      <w:sz w:val="24"/>
      <w:szCs w:val="21"/>
      <w:u w:val="single"/>
    </w:rPr>
  </w:style>
  <w:style w:type="paragraph" w:customStyle="1" w:styleId="158">
    <w:name w:val="正文00"/>
    <w:basedOn w:val="1"/>
    <w:qFormat/>
    <w:uiPriority w:val="0"/>
    <w:pPr>
      <w:topLinePunct/>
      <w:spacing w:line="360" w:lineRule="auto"/>
      <w:ind w:firstLine="200" w:firstLineChars="200"/>
    </w:pPr>
    <w:rPr>
      <w:rFonts w:ascii="Times New Roman" w:hAnsi="Times New Roman" w:eastAsia="宋体" w:cs="Times New Roman"/>
      <w:kern w:val="24"/>
      <w:sz w:val="24"/>
      <w:szCs w:val="21"/>
    </w:rPr>
  </w:style>
  <w:style w:type="character" w:customStyle="1" w:styleId="159">
    <w:name w:val="正文文本 3 Char"/>
    <w:qFormat/>
    <w:uiPriority w:val="99"/>
    <w:rPr>
      <w:rFonts w:ascii="宋体"/>
      <w:kern w:val="2"/>
      <w:sz w:val="24"/>
    </w:rPr>
  </w:style>
  <w:style w:type="paragraph" w:customStyle="1" w:styleId="160">
    <w:name w:val="样式 标题 2 + Times New Roman 四号 非加粗 段前: 5 磅 段后: 0 磅 行距: 固定值 20..."/>
    <w:basedOn w:val="5"/>
    <w:qFormat/>
    <w:uiPriority w:val="0"/>
    <w:pPr>
      <w:spacing w:before="100" w:after="0" w:line="400" w:lineRule="exact"/>
    </w:pPr>
    <w:rPr>
      <w:rFonts w:ascii="Times New Roman"/>
      <w:b/>
      <w:bCs/>
      <w:szCs w:val="20"/>
    </w:rPr>
  </w:style>
  <w:style w:type="paragraph" w:customStyle="1" w:styleId="161">
    <w:name w:val="ml"/>
    <w:basedOn w:val="58"/>
    <w:qFormat/>
    <w:uiPriority w:val="0"/>
  </w:style>
  <w:style w:type="paragraph" w:customStyle="1" w:styleId="162">
    <w:name w:val="ml2"/>
    <w:basedOn w:val="58"/>
    <w:qFormat/>
    <w:uiPriority w:val="0"/>
  </w:style>
  <w:style w:type="paragraph" w:customStyle="1" w:styleId="163">
    <w:name w:val="ml3"/>
    <w:basedOn w:val="58"/>
    <w:qFormat/>
    <w:uiPriority w:val="0"/>
  </w:style>
  <w:style w:type="paragraph" w:customStyle="1" w:styleId="164">
    <w:name w:val="注"/>
    <w:basedOn w:val="158"/>
    <w:qFormat/>
    <w:uiPriority w:val="0"/>
    <w:pPr>
      <w:spacing w:line="288" w:lineRule="auto"/>
      <w:ind w:firstLine="0" w:firstLineChars="0"/>
    </w:pPr>
    <w:rPr>
      <w:sz w:val="20"/>
    </w:rPr>
  </w:style>
  <w:style w:type="character" w:customStyle="1" w:styleId="165">
    <w:name w:val="列表段落 字符"/>
    <w:link w:val="105"/>
    <w:qFormat/>
    <w:uiPriority w:val="99"/>
    <w:rPr>
      <w:rFonts w:ascii="Times New Roman" w:hAnsi="Times New Roman" w:eastAsia="宋体" w:cs="Times New Roman"/>
      <w:sz w:val="24"/>
      <w:szCs w:val="24"/>
      <w:lang w:val="zh-CN" w:eastAsia="zh-CN"/>
    </w:rPr>
  </w:style>
  <w:style w:type="character" w:customStyle="1" w:styleId="166">
    <w:name w:val="正文文本 3 字符"/>
    <w:basedOn w:val="85"/>
    <w:link w:val="33"/>
    <w:qFormat/>
    <w:uiPriority w:val="99"/>
    <w:rPr>
      <w:rFonts w:ascii="宋体" w:hAnsi="Times New Roman" w:eastAsia="宋体" w:cs="Times New Roman"/>
      <w:sz w:val="24"/>
      <w:szCs w:val="20"/>
      <w:lang w:val="zh-CN" w:eastAsia="zh-CN"/>
    </w:rPr>
  </w:style>
  <w:style w:type="paragraph" w:customStyle="1" w:styleId="167">
    <w:name w:val="样式1"/>
    <w:basedOn w:val="1"/>
    <w:qFormat/>
    <w:uiPriority w:val="0"/>
    <w:rPr>
      <w:rFonts w:ascii="Times New Roman" w:hAnsi="Times New Roman" w:eastAsia="宋体" w:cs="Times New Roman"/>
      <w:sz w:val="24"/>
      <w:szCs w:val="21"/>
      <w:lang w:val="zh-CN"/>
    </w:rPr>
  </w:style>
  <w:style w:type="character" w:customStyle="1" w:styleId="168">
    <w:name w:val="HTML 地址 字符"/>
    <w:basedOn w:val="85"/>
    <w:link w:val="43"/>
    <w:semiHidden/>
    <w:qFormat/>
    <w:uiPriority w:val="0"/>
    <w:rPr>
      <w:rFonts w:ascii="Times New Roman" w:hAnsi="Times New Roman" w:eastAsia="宋体" w:cs="Times New Roman"/>
      <w:i/>
      <w:iCs/>
      <w:sz w:val="24"/>
      <w:szCs w:val="24"/>
      <w:lang w:val="zh-CN" w:eastAsia="zh-CN"/>
    </w:rPr>
  </w:style>
  <w:style w:type="character" w:customStyle="1" w:styleId="169">
    <w:name w:val="HTML 预设格式 字符"/>
    <w:basedOn w:val="85"/>
    <w:link w:val="75"/>
    <w:qFormat/>
    <w:uiPriority w:val="99"/>
    <w:rPr>
      <w:rFonts w:ascii="Courier New" w:hAnsi="Courier New" w:eastAsia="宋体" w:cs="Times New Roman"/>
      <w:sz w:val="20"/>
      <w:szCs w:val="20"/>
      <w:lang w:val="zh-CN" w:eastAsia="zh-CN"/>
    </w:rPr>
  </w:style>
  <w:style w:type="character" w:customStyle="1" w:styleId="170">
    <w:name w:val="称呼 字符"/>
    <w:basedOn w:val="85"/>
    <w:link w:val="32"/>
    <w:semiHidden/>
    <w:qFormat/>
    <w:uiPriority w:val="0"/>
    <w:rPr>
      <w:rFonts w:ascii="Times New Roman" w:hAnsi="Times New Roman" w:eastAsia="宋体" w:cs="Times New Roman"/>
      <w:sz w:val="24"/>
      <w:szCs w:val="24"/>
      <w:lang w:val="zh-CN" w:eastAsia="zh-CN"/>
    </w:rPr>
  </w:style>
  <w:style w:type="character" w:customStyle="1" w:styleId="171">
    <w:name w:val="电子邮件签名 字符"/>
    <w:basedOn w:val="85"/>
    <w:link w:val="22"/>
    <w:semiHidden/>
    <w:qFormat/>
    <w:uiPriority w:val="0"/>
    <w:rPr>
      <w:rFonts w:ascii="Times New Roman" w:hAnsi="Times New Roman" w:eastAsia="宋体" w:cs="Times New Roman"/>
      <w:sz w:val="24"/>
      <w:szCs w:val="24"/>
      <w:lang w:val="zh-CN" w:eastAsia="zh-CN"/>
    </w:rPr>
  </w:style>
  <w:style w:type="character" w:customStyle="1" w:styleId="172">
    <w:name w:val="宏文本 字符"/>
    <w:basedOn w:val="85"/>
    <w:link w:val="2"/>
    <w:semiHidden/>
    <w:qFormat/>
    <w:uiPriority w:val="0"/>
    <w:rPr>
      <w:rFonts w:ascii="Courier New" w:hAnsi="Courier New" w:eastAsia="宋体" w:cs="Times New Roman"/>
      <w:sz w:val="24"/>
      <w:szCs w:val="24"/>
    </w:rPr>
  </w:style>
  <w:style w:type="character" w:customStyle="1" w:styleId="173">
    <w:name w:val="脚注文本 字符"/>
    <w:basedOn w:val="85"/>
    <w:link w:val="65"/>
    <w:semiHidden/>
    <w:qFormat/>
    <w:uiPriority w:val="0"/>
    <w:rPr>
      <w:rFonts w:ascii="Times New Roman" w:hAnsi="Times New Roman" w:eastAsia="宋体" w:cs="Times New Roman"/>
      <w:sz w:val="18"/>
      <w:szCs w:val="18"/>
      <w:lang w:val="zh-CN" w:eastAsia="zh-CN"/>
    </w:rPr>
  </w:style>
  <w:style w:type="character" w:customStyle="1" w:styleId="174">
    <w:name w:val="结束语 字符"/>
    <w:basedOn w:val="85"/>
    <w:link w:val="34"/>
    <w:semiHidden/>
    <w:qFormat/>
    <w:uiPriority w:val="0"/>
    <w:rPr>
      <w:rFonts w:ascii="Times New Roman" w:hAnsi="Times New Roman" w:eastAsia="宋体" w:cs="Times New Roman"/>
      <w:sz w:val="24"/>
      <w:szCs w:val="24"/>
      <w:lang w:val="zh-CN" w:eastAsia="zh-CN"/>
    </w:rPr>
  </w:style>
  <w:style w:type="character" w:customStyle="1" w:styleId="175">
    <w:name w:val="签名 字符"/>
    <w:basedOn w:val="85"/>
    <w:link w:val="57"/>
    <w:semiHidden/>
    <w:qFormat/>
    <w:uiPriority w:val="0"/>
    <w:rPr>
      <w:rFonts w:ascii="Times New Roman" w:hAnsi="Times New Roman" w:eastAsia="宋体" w:cs="Times New Roman"/>
      <w:sz w:val="24"/>
      <w:szCs w:val="24"/>
      <w:lang w:val="zh-CN" w:eastAsia="zh-CN"/>
    </w:rPr>
  </w:style>
  <w:style w:type="character" w:customStyle="1" w:styleId="176">
    <w:name w:val="尾注文本 字符"/>
    <w:basedOn w:val="85"/>
    <w:link w:val="51"/>
    <w:qFormat/>
    <w:uiPriority w:val="99"/>
    <w:rPr>
      <w:rFonts w:ascii="Times New Roman" w:hAnsi="Times New Roman" w:eastAsia="宋体" w:cs="Times New Roman"/>
      <w:sz w:val="24"/>
      <w:szCs w:val="24"/>
      <w:lang w:val="zh-CN" w:eastAsia="zh-CN"/>
    </w:rPr>
  </w:style>
  <w:style w:type="character" w:customStyle="1" w:styleId="177">
    <w:name w:val="信息标题 字符"/>
    <w:basedOn w:val="85"/>
    <w:link w:val="74"/>
    <w:semiHidden/>
    <w:qFormat/>
    <w:uiPriority w:val="0"/>
    <w:rPr>
      <w:rFonts w:ascii="Arial" w:hAnsi="Arial" w:eastAsia="宋体" w:cs="Times New Roman"/>
      <w:sz w:val="24"/>
      <w:szCs w:val="24"/>
      <w:shd w:val="pct20" w:color="auto" w:fill="auto"/>
      <w:lang w:val="zh-CN" w:eastAsia="zh-CN"/>
    </w:rPr>
  </w:style>
  <w:style w:type="character" w:customStyle="1" w:styleId="178">
    <w:name w:val="正文文本 2 字符"/>
    <w:basedOn w:val="85"/>
    <w:link w:val="71"/>
    <w:semiHidden/>
    <w:qFormat/>
    <w:uiPriority w:val="0"/>
    <w:rPr>
      <w:rFonts w:ascii="Times New Roman" w:hAnsi="Times New Roman" w:eastAsia="宋体" w:cs="Times New Roman"/>
      <w:sz w:val="24"/>
      <w:szCs w:val="24"/>
      <w:lang w:val="zh-CN" w:eastAsia="zh-CN"/>
    </w:rPr>
  </w:style>
  <w:style w:type="character" w:customStyle="1" w:styleId="179">
    <w:name w:val="注释标题 字符"/>
    <w:basedOn w:val="85"/>
    <w:link w:val="19"/>
    <w:semiHidden/>
    <w:qFormat/>
    <w:uiPriority w:val="0"/>
    <w:rPr>
      <w:rFonts w:ascii="Times New Roman" w:hAnsi="Times New Roman" w:eastAsia="宋体" w:cs="Times New Roman"/>
      <w:sz w:val="24"/>
      <w:szCs w:val="24"/>
      <w:lang w:val="zh-CN" w:eastAsia="zh-CN"/>
    </w:rPr>
  </w:style>
  <w:style w:type="character" w:customStyle="1" w:styleId="180">
    <w:name w:val="正文文本首行缩进 字符"/>
    <w:basedOn w:val="126"/>
    <w:link w:val="81"/>
    <w:semiHidden/>
    <w:qFormat/>
    <w:uiPriority w:val="99"/>
    <w:rPr>
      <w:rFonts w:ascii="Times New Roman" w:hAnsi="Times New Roman" w:eastAsia="宋体" w:cs="Times New Roman"/>
      <w:sz w:val="24"/>
      <w:szCs w:val="24"/>
      <w:lang w:val="zh-CN" w:eastAsia="zh-CN"/>
    </w:rPr>
  </w:style>
  <w:style w:type="character" w:customStyle="1" w:styleId="181">
    <w:name w:val="正文文本 字符1"/>
    <w:link w:val="36"/>
    <w:qFormat/>
    <w:uiPriority w:val="0"/>
    <w:rPr>
      <w:rFonts w:ascii="Times New Roman" w:hAnsi="Times New Roman" w:eastAsia="宋体" w:cs="Times New Roman"/>
      <w:sz w:val="28"/>
      <w:szCs w:val="20"/>
      <w:lang w:val="zh-CN" w:eastAsia="zh-CN"/>
    </w:rPr>
  </w:style>
  <w:style w:type="character" w:customStyle="1" w:styleId="182">
    <w:name w:val="正文文本首行缩进 2 字符"/>
    <w:basedOn w:val="128"/>
    <w:link w:val="82"/>
    <w:semiHidden/>
    <w:qFormat/>
    <w:uiPriority w:val="99"/>
    <w:rPr>
      <w:rFonts w:ascii="Times New Roman" w:hAnsi="Times New Roman" w:eastAsia="楷体_GB2312" w:cs="Times New Roman"/>
      <w:kern w:val="0"/>
      <w:sz w:val="24"/>
      <w:szCs w:val="24"/>
      <w:lang w:val="zh-CN" w:eastAsia="zh-CN"/>
    </w:rPr>
  </w:style>
  <w:style w:type="character" w:customStyle="1" w:styleId="183">
    <w:name w:val="列出段落 Char"/>
    <w:qFormat/>
    <w:uiPriority w:val="34"/>
    <w:rPr>
      <w:rFonts w:ascii="Times New Roman" w:hAnsi="Times New Roman" w:eastAsia="宋体" w:cs="Times New Roman"/>
      <w:szCs w:val="24"/>
    </w:rPr>
  </w:style>
  <w:style w:type="character" w:styleId="184">
    <w:name w:val="Placeholder Text"/>
    <w:semiHidden/>
    <w:qFormat/>
    <w:uiPriority w:val="99"/>
    <w:rPr>
      <w:color w:val="808080"/>
    </w:rPr>
  </w:style>
  <w:style w:type="paragraph" w:customStyle="1" w:styleId="185">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87">
    <w:name w:val="Unresolved Mention"/>
    <w:semiHidden/>
    <w:unhideWhenUsed/>
    <w:qFormat/>
    <w:uiPriority w:val="99"/>
    <w:rPr>
      <w:color w:val="605E5C"/>
      <w:shd w:val="clear" w:color="auto" w:fill="E1DFDD"/>
    </w:rPr>
  </w:style>
  <w:style w:type="table" w:customStyle="1" w:styleId="188">
    <w:name w:val="网格型1"/>
    <w:basedOn w:val="8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9">
    <w:name w:val="批注文字 字符1"/>
    <w:qFormat/>
    <w:uiPriority w:val="99"/>
    <w:rPr>
      <w:rFonts w:ascii="Times New Roman" w:hAnsi="Times New Roman" w:eastAsia="宋体" w:cs="Times New Roman"/>
      <w:szCs w:val="24"/>
    </w:rPr>
  </w:style>
  <w:style w:type="character" w:customStyle="1" w:styleId="190">
    <w:name w:val="列表段落 字符1"/>
    <w:qFormat/>
    <w:uiPriority w:val="99"/>
    <w:rPr>
      <w:rFonts w:ascii="Times New Roman" w:hAnsi="Times New Roman" w:eastAsia="宋体" w:cs="Times New Roman"/>
      <w:szCs w:val="24"/>
    </w:rPr>
  </w:style>
  <w:style w:type="character" w:customStyle="1" w:styleId="191">
    <w:name w:val="未处理的提及1"/>
    <w:semiHidden/>
    <w:unhideWhenUsed/>
    <w:qFormat/>
    <w:uiPriority w:val="99"/>
    <w:rPr>
      <w:color w:val="605E5C"/>
      <w:shd w:val="clear" w:color="auto" w:fill="E1DFDD"/>
    </w:rPr>
  </w:style>
  <w:style w:type="character" w:customStyle="1" w:styleId="192">
    <w:name w:val="页眉 Char1"/>
    <w:qFormat/>
    <w:uiPriority w:val="99"/>
    <w:rPr>
      <w:rFonts w:ascii="Times New Roman" w:hAnsi="Times New Roman" w:eastAsia="宋体" w:cs="Times New Roman"/>
      <w:sz w:val="18"/>
      <w:szCs w:val="18"/>
    </w:rPr>
  </w:style>
  <w:style w:type="character" w:customStyle="1" w:styleId="193">
    <w:name w:val="页脚 Char1"/>
    <w:qFormat/>
    <w:uiPriority w:val="99"/>
    <w:rPr>
      <w:rFonts w:ascii="Times New Roman" w:hAnsi="Times New Roman" w:eastAsia="宋体" w:cs="Times New Roman"/>
      <w:sz w:val="18"/>
      <w:szCs w:val="18"/>
    </w:rPr>
  </w:style>
  <w:style w:type="paragraph" w:customStyle="1" w:styleId="194">
    <w:name w:val="图说"/>
    <w:basedOn w:val="1"/>
    <w:qFormat/>
    <w:uiPriority w:val="0"/>
    <w:pPr>
      <w:topLinePunct/>
      <w:spacing w:before="60" w:after="160"/>
      <w:jc w:val="center"/>
    </w:pPr>
    <w:rPr>
      <w:rFonts w:ascii="Times New Roman" w:hAnsi="Times New Roman" w:eastAsia="宋体" w:cs="Times New Roman"/>
      <w:sz w:val="18"/>
      <w:szCs w:val="20"/>
    </w:rPr>
  </w:style>
  <w:style w:type="paragraph" w:customStyle="1" w:styleId="195">
    <w:name w:val="表头"/>
    <w:basedOn w:val="1"/>
    <w:link w:val="202"/>
    <w:qFormat/>
    <w:uiPriority w:val="0"/>
    <w:pPr>
      <w:topLinePunct/>
      <w:spacing w:before="160" w:after="60"/>
      <w:jc w:val="center"/>
    </w:pPr>
    <w:rPr>
      <w:rFonts w:ascii="Times New Roman" w:hAnsi="Times New Roman" w:eastAsia="黑体" w:cs="Times New Roman"/>
      <w:szCs w:val="21"/>
    </w:rPr>
  </w:style>
  <w:style w:type="character" w:customStyle="1" w:styleId="196">
    <w:name w:val="尾注文本 字符1"/>
    <w:qFormat/>
    <w:uiPriority w:val="0"/>
    <w:rPr>
      <w:rFonts w:ascii="Calibri" w:hAnsi="Calibri" w:eastAsia="宋体" w:cs="黑体"/>
      <w:szCs w:val="24"/>
    </w:rPr>
  </w:style>
  <w:style w:type="paragraph" w:customStyle="1" w:styleId="197">
    <w:name w:val="TOC 标题11"/>
    <w:basedOn w:val="3"/>
    <w:next w:val="1"/>
    <w:qFormat/>
    <w:uiPriority w:val="0"/>
    <w:pPr>
      <w:widowControl/>
      <w:topLinePunct w:val="0"/>
      <w:spacing w:before="480" w:after="0" w:line="276" w:lineRule="auto"/>
      <w:jc w:val="left"/>
      <w:outlineLvl w:val="9"/>
    </w:pPr>
    <w:rPr>
      <w:rFonts w:ascii="Cambria" w:hAnsi="Cambria" w:eastAsia="宋体"/>
      <w:bCs/>
      <w:color w:val="365F91"/>
      <w:lang w:val="en-US" w:eastAsia="zh-CN"/>
    </w:rPr>
  </w:style>
  <w:style w:type="paragraph" w:customStyle="1" w:styleId="198">
    <w:name w:val="条"/>
    <w:basedOn w:val="1"/>
    <w:qFormat/>
    <w:uiPriority w:val="0"/>
    <w:pPr>
      <w:snapToGrid w:val="0"/>
      <w:spacing w:before="100" w:beforeAutospacing="1" w:afterLines="50"/>
    </w:pPr>
    <w:rPr>
      <w:rFonts w:ascii="宋体" w:hAnsi="Times New Roman" w:eastAsia="宋体" w:cs="Times New Roman"/>
      <w:sz w:val="28"/>
      <w:szCs w:val="20"/>
    </w:rPr>
  </w:style>
  <w:style w:type="character" w:customStyle="1" w:styleId="199">
    <w:name w:val="尾注文本 Char1"/>
    <w:semiHidden/>
    <w:qFormat/>
    <w:uiPriority w:val="99"/>
    <w:rPr>
      <w:rFonts w:ascii="Times New Roman" w:hAnsi="Times New Roman" w:eastAsia="宋体" w:cs="Times New Roman"/>
      <w:szCs w:val="24"/>
    </w:rPr>
  </w:style>
  <w:style w:type="paragraph" w:customStyle="1" w:styleId="200">
    <w:name w:val="Char"/>
    <w:basedOn w:val="1"/>
    <w:qFormat/>
    <w:uiPriority w:val="0"/>
    <w:rPr>
      <w:rFonts w:ascii="Tahoma" w:hAnsi="Tahoma" w:eastAsia="宋体" w:cs="Times New Roman"/>
      <w:sz w:val="24"/>
      <w:szCs w:val="20"/>
    </w:rPr>
  </w:style>
  <w:style w:type="paragraph" w:customStyle="1" w:styleId="201">
    <w:name w:val="样式2"/>
    <w:basedOn w:val="167"/>
    <w:qFormat/>
    <w:uiPriority w:val="0"/>
    <w:rPr>
      <w:sz w:val="28"/>
      <w:szCs w:val="24"/>
      <w:lang w:val="en-US"/>
    </w:rPr>
  </w:style>
  <w:style w:type="character" w:customStyle="1" w:styleId="202">
    <w:name w:val="表头 Char"/>
    <w:link w:val="195"/>
    <w:qFormat/>
    <w:uiPriority w:val="0"/>
    <w:rPr>
      <w:rFonts w:ascii="Times New Roman" w:hAnsi="Times New Roman" w:eastAsia="黑体" w:cs="Times New Roman"/>
      <w:szCs w:val="21"/>
    </w:rPr>
  </w:style>
  <w:style w:type="paragraph" w:customStyle="1" w:styleId="20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6">
    <w:name w:val="xl65"/>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207">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08">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0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character" w:customStyle="1" w:styleId="215">
    <w:name w:val="标题 Char1"/>
    <w:qFormat/>
    <w:uiPriority w:val="0"/>
    <w:rPr>
      <w:rFonts w:ascii="Cambria" w:hAnsi="Cambria"/>
      <w:b/>
      <w:bCs/>
      <w:sz w:val="32"/>
      <w:szCs w:val="32"/>
    </w:rPr>
  </w:style>
  <w:style w:type="character" w:customStyle="1" w:styleId="216">
    <w:name w:val="纯文本 Char2"/>
    <w:qFormat/>
    <w:uiPriority w:val="0"/>
    <w:rPr>
      <w:rFonts w:ascii="宋体" w:hAnsi="Courier New" w:eastAsia="宋体" w:cs="Times New Roman"/>
      <w:szCs w:val="20"/>
    </w:rPr>
  </w:style>
  <w:style w:type="character" w:customStyle="1" w:styleId="217">
    <w:name w:val="纯文本 Char1"/>
    <w:qFormat/>
    <w:uiPriority w:val="0"/>
    <w:rPr>
      <w:rFonts w:ascii="宋体" w:hAnsi="Courier New" w:eastAsia="宋体" w:cs="Times New Roman"/>
      <w:szCs w:val="20"/>
    </w:rPr>
  </w:style>
  <w:style w:type="character" w:customStyle="1" w:styleId="218">
    <w:name w:val="标题 2 Char1"/>
    <w:qFormat/>
    <w:uiPriority w:val="9"/>
    <w:rPr>
      <w:rFonts w:ascii="Arial" w:hAnsi="Arial" w:eastAsia="黑体" w:cs="Times New Roman"/>
      <w:b/>
      <w:bCs/>
      <w:sz w:val="32"/>
      <w:szCs w:val="32"/>
    </w:rPr>
  </w:style>
  <w:style w:type="table" w:customStyle="1" w:styleId="219">
    <w:name w:val="网格型2"/>
    <w:basedOn w:val="8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11"/>
    <w:basedOn w:val="8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3"/>
    <w:basedOn w:val="8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4"/>
    <w:basedOn w:val="8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2"/>
    <w:basedOn w:val="8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21"/>
    <w:basedOn w:val="8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11"/>
    <w:basedOn w:val="8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6">
    <w:name w:val="_Style 225"/>
    <w:basedOn w:val="1"/>
    <w:next w:val="1"/>
    <w:unhideWhenUsed/>
    <w:qFormat/>
    <w:uiPriority w:val="39"/>
    <w:pPr>
      <w:topLinePunct/>
      <w:ind w:left="3360" w:leftChars="1600"/>
    </w:pPr>
    <w:rPr>
      <w:rFonts w:ascii="Calibri" w:hAnsi="Calibri" w:eastAsia="宋体" w:cs="Times New Roman"/>
      <w:sz w:val="24"/>
    </w:rPr>
  </w:style>
  <w:style w:type="table" w:customStyle="1" w:styleId="227">
    <w:name w:val="网格型5"/>
    <w:basedOn w:val="8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3"/>
    <w:basedOn w:val="8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2"/>
    <w:basedOn w:val="8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12"/>
    <w:basedOn w:val="8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31"/>
    <w:basedOn w:val="8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1"/>
    <w:basedOn w:val="8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121"/>
    <w:basedOn w:val="8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211"/>
    <w:basedOn w:val="8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1111"/>
    <w:basedOn w:val="8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1518</Words>
  <Characters>8653</Characters>
  <Lines>72</Lines>
  <Paragraphs>20</Paragraphs>
  <TotalTime>3</TotalTime>
  <ScaleCrop>false</ScaleCrop>
  <LinksUpToDate>false</LinksUpToDate>
  <CharactersWithSpaces>10151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2021-04-23T03:07:00Z</dcterms:created>
  <dc:creator>W</dc:creator>
  <cp:lastModifiedBy>７号</cp:lastModifiedBy>
  <cp:lastPrinted>2021-05-27T06:50:26Z</cp:lastPrinted>
  <dcterms:modified xsi:type="dcterms:W3CDTF">2021-05-27T06:53:23Z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DBA67A77161D4027A053E68F8C600311</vt:lpwstr>
  </property>
</Properties>
</file>