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b/>
          <w:sz w:val="32"/>
          <w:szCs w:val="32"/>
        </w:rPr>
      </w:pPr>
      <w:bookmarkStart w:id="0" w:name="_Toc7522918"/>
      <w:bookmarkStart w:id="1" w:name="_Toc68786258"/>
      <w:r>
        <w:rPr>
          <w:rFonts w:hint="eastAsia" w:ascii="宋体" w:hAnsi="宋体"/>
          <w:b/>
          <w:sz w:val="32"/>
          <w:szCs w:val="32"/>
        </w:rPr>
        <w:t>2021年-2022年中国电信股份有限公司泉州分公司应收账款法律催收项目</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【2021年-2022年中国电信股份有限公司泉州分公司应收账款法律催收项目】</w:t>
      </w:r>
      <w:r>
        <w:rPr>
          <w:rFonts w:hint="eastAsia" w:ascii="宋体" w:hAnsi="宋体"/>
          <w:szCs w:val="21"/>
        </w:rPr>
        <w:t>，</w:t>
      </w:r>
      <w:r>
        <w:rPr>
          <w:rFonts w:hint="eastAsia" w:ascii="宋体" w:hAnsi="宋体"/>
          <w:szCs w:val="21"/>
          <w:u w:val="single"/>
        </w:rPr>
        <w:t>（招标编号：</w:t>
      </w:r>
      <w:r>
        <w:rPr>
          <w:rFonts w:hint="eastAsia" w:ascii="宋体" w:hAnsi="宋体"/>
          <w:u w:val="single"/>
        </w:rPr>
        <w:t>【</w:t>
      </w:r>
      <w:r>
        <w:rPr>
          <w:rFonts w:hint="eastAsia" w:ascii="宋体" w:hAnsi="宋体"/>
          <w:u w:val="single"/>
          <w:lang w:eastAsia="zh-CN"/>
        </w:rPr>
        <w:t>FJZT-2021-10320</w:t>
      </w:r>
      <w:r>
        <w:rPr>
          <w:rFonts w:hint="eastAsia" w:ascii="宋体" w:hAnsi="宋体"/>
          <w:u w:val="single"/>
        </w:rPr>
        <w:t>】</w:t>
      </w:r>
      <w:r>
        <w:rPr>
          <w:rFonts w:hint="eastAsia" w:ascii="宋体" w:hAnsi="宋体"/>
          <w:szCs w:val="21"/>
          <w:u w:val="single"/>
        </w:rPr>
        <w:t>）</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lang w:val="en-US" w:eastAsia="zh-CN"/>
        </w:rPr>
        <w:t>项目概况</w:t>
      </w:r>
    </w:p>
    <w:p>
      <w:pPr>
        <w:adjustRightInd w:val="0"/>
        <w:snapToGrid w:val="0"/>
        <w:spacing w:line="440" w:lineRule="exact"/>
        <w:ind w:firstLine="428" w:firstLineChars="200"/>
        <w:rPr>
          <w:rFonts w:ascii="宋体" w:hAnsi="宋体"/>
          <w:szCs w:val="21"/>
        </w:rPr>
      </w:pPr>
      <w:r>
        <w:rPr>
          <w:rFonts w:hint="eastAsia" w:ascii="宋体" w:hAnsi="宋体"/>
          <w:spacing w:val="2"/>
          <w:szCs w:val="21"/>
        </w:rPr>
        <w:t>【</w:t>
      </w:r>
      <w:r>
        <w:rPr>
          <w:rFonts w:hint="eastAsia" w:ascii="宋体" w:hAnsi="宋体"/>
          <w:szCs w:val="21"/>
        </w:rPr>
        <w:t>运用法律手段催收欠费合作商采购项目，项目预估金额为人民币480万元(不含税)</w:t>
      </w:r>
      <w:r>
        <w:rPr>
          <w:rFonts w:hint="eastAsia" w:ascii="宋体" w:hAnsi="宋体"/>
          <w:spacing w:val="2"/>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w:t>
      </w:r>
      <w:r>
        <w:rPr>
          <w:rFonts w:hint="eastAsia" w:ascii="宋体" w:hAnsi="宋体"/>
          <w:szCs w:val="21"/>
          <w:lang w:eastAsia="zh-CN"/>
        </w:rPr>
        <w:t>，</w:t>
      </w:r>
      <w:r>
        <w:rPr>
          <w:rFonts w:hint="eastAsia" w:ascii="宋体" w:hAnsi="宋体"/>
          <w:szCs w:val="21"/>
          <w:lang w:val="en-US" w:eastAsia="zh-CN"/>
        </w:rPr>
        <w:t>具体</w:t>
      </w:r>
      <w:r>
        <w:rPr>
          <w:rFonts w:hint="eastAsia" w:ascii="宋体" w:hAnsi="宋体"/>
          <w:szCs w:val="21"/>
        </w:rPr>
        <w:t>详见第五章技术服务规范书。</w:t>
      </w:r>
    </w:p>
    <w:p>
      <w:pPr>
        <w:pStyle w:val="10"/>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【自合同签订之日起2年】。</w:t>
      </w:r>
    </w:p>
    <w:p>
      <w:pPr>
        <w:pStyle w:val="10"/>
        <w:spacing w:line="440" w:lineRule="exact"/>
        <w:rPr>
          <w:rFonts w:ascii="宋体" w:hAnsi="宋体"/>
          <w:szCs w:val="21"/>
        </w:rPr>
      </w:pPr>
      <w:r>
        <w:rPr>
          <w:rFonts w:hint="eastAsia" w:ascii="宋体" w:hAnsi="宋体"/>
          <w:szCs w:val="21"/>
        </w:rPr>
        <w:t>本次招标的预估规模、</w:t>
      </w:r>
      <w:r>
        <w:rPr>
          <w:rFonts w:hint="eastAsia" w:ascii="宋体" w:hAnsi="宋体"/>
          <w:szCs w:val="21"/>
          <w:lang w:val="en-US" w:eastAsia="zh-CN"/>
        </w:rPr>
        <w:t>服务</w:t>
      </w:r>
      <w:r>
        <w:rPr>
          <w:rFonts w:hint="eastAsia" w:ascii="宋体" w:hAnsi="宋体"/>
          <w:szCs w:val="21"/>
        </w:rPr>
        <w:t>名称具体如下：</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477"/>
        <w:gridCol w:w="1988"/>
        <w:gridCol w:w="203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72"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67" w:type="pct"/>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167"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196" w:type="pct"/>
            <w:shd w:val="clear" w:color="000000" w:fill="F2F2F2"/>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项目预估金额（不含税）</w:t>
            </w:r>
          </w:p>
        </w:tc>
        <w:tc>
          <w:tcPr>
            <w:tcW w:w="2039" w:type="dxa"/>
            <w:shd w:val="clear" w:color="000000" w:fill="F2F2F2"/>
            <w:vAlign w:val="center"/>
          </w:tcPr>
          <w:p>
            <w:pPr>
              <w:widowControl/>
              <w:jc w:val="center"/>
              <w:rPr>
                <w:rFonts w:hint="eastAsia"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867" w:type="pct"/>
            <w:vAlign w:val="center"/>
          </w:tcPr>
          <w:p>
            <w:pPr>
              <w:widowControl/>
              <w:jc w:val="center"/>
              <w:rPr>
                <w:rFonts w:ascii="宋体" w:hAnsi="宋体" w:cs="宋体"/>
                <w:kern w:val="0"/>
                <w:szCs w:val="21"/>
              </w:rPr>
            </w:pPr>
            <w:r>
              <w:rPr>
                <w:rFonts w:hint="eastAsia" w:ascii="宋体" w:hAnsi="宋体" w:cs="宋体"/>
                <w:kern w:val="0"/>
                <w:szCs w:val="21"/>
              </w:rPr>
              <w:t>咨询服务</w:t>
            </w:r>
          </w:p>
        </w:tc>
        <w:tc>
          <w:tcPr>
            <w:tcW w:w="1167"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法律服务</w:t>
            </w:r>
          </w:p>
        </w:tc>
        <w:tc>
          <w:tcPr>
            <w:tcW w:w="1196" w:type="pct"/>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480万</w:t>
            </w:r>
          </w:p>
        </w:tc>
        <w:tc>
          <w:tcPr>
            <w:tcW w:w="2039"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招标人指定地点</w:t>
            </w:r>
          </w:p>
        </w:tc>
      </w:tr>
    </w:tbl>
    <w:p>
      <w:pPr>
        <w:pStyle w:val="10"/>
        <w:spacing w:line="440" w:lineRule="exact"/>
        <w:rPr>
          <w:rFonts w:hint="eastAsia"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pStyle w:val="10"/>
        <w:spacing w:line="440" w:lineRule="exact"/>
        <w:rPr>
          <w:rFonts w:hint="eastAsia" w:ascii="宋体" w:hAnsi="宋体"/>
          <w:szCs w:val="21"/>
        </w:rPr>
      </w:pPr>
      <w:r>
        <w:rPr>
          <w:rFonts w:hint="eastAsia" w:ascii="宋体" w:hAnsi="宋体"/>
          <w:szCs w:val="21"/>
          <w:lang w:val="en-US" w:eastAsia="zh-CN"/>
        </w:rPr>
        <w:t>1.3</w:t>
      </w:r>
      <w:r>
        <w:rPr>
          <w:rFonts w:hint="eastAsia" w:ascii="宋体" w:hAnsi="宋体"/>
          <w:szCs w:val="21"/>
        </w:rPr>
        <w:t>本项目不划分标包。</w:t>
      </w:r>
    </w:p>
    <w:p>
      <w:pPr>
        <w:pStyle w:val="10"/>
        <w:spacing w:line="440" w:lineRule="exact"/>
        <w:rPr>
          <w:rFonts w:hint="eastAsia" w:ascii="宋体" w:hAnsi="宋体"/>
          <w:szCs w:val="21"/>
        </w:rPr>
      </w:pPr>
      <w:r>
        <w:rPr>
          <w:rFonts w:hint="eastAsia" w:ascii="宋体" w:hAnsi="宋体"/>
          <w:szCs w:val="21"/>
          <w:lang w:val="en-US" w:eastAsia="zh-CN"/>
        </w:rPr>
        <w:t>1.4</w:t>
      </w:r>
      <w:r>
        <w:rPr>
          <w:rFonts w:hint="eastAsia" w:ascii="宋体" w:hAnsi="宋体"/>
          <w:szCs w:val="21"/>
        </w:rPr>
        <w:t>本项目【设置最高投标限价，</w:t>
      </w:r>
      <w:r>
        <w:rPr>
          <w:rFonts w:hint="eastAsia" w:ascii="宋体" w:hAnsi="宋体" w:cs="宋体"/>
          <w:kern w:val="0"/>
          <w:szCs w:val="21"/>
        </w:rPr>
        <w:t>基本收费最高限价为</w:t>
      </w:r>
      <w:r>
        <w:rPr>
          <w:rFonts w:ascii="宋体" w:hAnsi="宋体" w:cs="宋体"/>
          <w:kern w:val="0"/>
          <w:szCs w:val="21"/>
        </w:rPr>
        <w:t>1886.79</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项（不含税）；回收欠费本金律师服务费比率最高限价为实际回收欠费本金的</w:t>
      </w:r>
      <w:r>
        <w:rPr>
          <w:rFonts w:ascii="宋体" w:hAnsi="宋体" w:cs="宋体"/>
          <w:kern w:val="0"/>
          <w:szCs w:val="21"/>
        </w:rPr>
        <w:t>25%</w:t>
      </w:r>
      <w:r>
        <w:rPr>
          <w:rFonts w:hint="eastAsia" w:ascii="宋体" w:hAnsi="宋体" w:cs="宋体"/>
          <w:kern w:val="0"/>
          <w:szCs w:val="21"/>
        </w:rPr>
        <w:t>；回收欠费违约金律师服务费比率最高限价为实际回收欠费违约金的80</w:t>
      </w:r>
      <w:r>
        <w:rPr>
          <w:rFonts w:ascii="宋体" w:hAnsi="宋体" w:cs="宋体"/>
          <w:kern w:val="0"/>
          <w:szCs w:val="21"/>
        </w:rPr>
        <w:t>%</w:t>
      </w:r>
      <w:r>
        <w:rPr>
          <w:rFonts w:hint="eastAsia" w:ascii="宋体" w:hAnsi="宋体"/>
          <w:szCs w:val="21"/>
        </w:rPr>
        <w:t>，投标人投标报价高于最高投标限价的，其投标将被否决。】</w:t>
      </w:r>
    </w:p>
    <w:p>
      <w:pPr>
        <w:pStyle w:val="10"/>
        <w:spacing w:line="440" w:lineRule="exact"/>
        <w:rPr>
          <w:rFonts w:hint="eastAsia" w:ascii="宋体" w:hAnsi="宋体"/>
          <w:szCs w:val="21"/>
        </w:rPr>
      </w:pPr>
      <w:r>
        <w:rPr>
          <w:rFonts w:hint="eastAsia" w:ascii="宋体" w:hAnsi="宋体"/>
          <w:szCs w:val="21"/>
          <w:lang w:val="en-US" w:eastAsia="zh-CN"/>
        </w:rPr>
        <w:t>1.5</w:t>
      </w:r>
      <w:r>
        <w:rPr>
          <w:rFonts w:hint="eastAsia" w:ascii="宋体" w:hAnsi="宋体" w:cs="宋体"/>
          <w:szCs w:val="21"/>
        </w:rPr>
        <w:t>★</w:t>
      </w:r>
      <w:r>
        <w:rPr>
          <w:rFonts w:hint="eastAsia" w:ascii="宋体" w:hAnsi="宋体"/>
          <w:szCs w:val="21"/>
        </w:rPr>
        <w:t>响应要求：中标人自合同签订生效之日起</w:t>
      </w:r>
      <w:r>
        <w:rPr>
          <w:rFonts w:ascii="宋体" w:hAnsi="宋体"/>
          <w:szCs w:val="21"/>
        </w:rPr>
        <w:t>5</w:t>
      </w:r>
      <w:r>
        <w:rPr>
          <w:rFonts w:hint="eastAsia" w:ascii="宋体" w:hAnsi="宋体"/>
          <w:szCs w:val="21"/>
        </w:rPr>
        <w:t>日内人员需全部响应完毕，自合同签订生效之日起</w:t>
      </w:r>
      <w:r>
        <w:rPr>
          <w:rFonts w:ascii="宋体" w:hAnsi="宋体"/>
          <w:szCs w:val="21"/>
        </w:rPr>
        <w:t>30</w:t>
      </w:r>
      <w:r>
        <w:rPr>
          <w:rFonts w:hint="eastAsia" w:ascii="宋体" w:hAnsi="宋体"/>
          <w:szCs w:val="21"/>
        </w:rPr>
        <w:t>日内需向招标人提出项目合理有效的解决方案。</w:t>
      </w:r>
    </w:p>
    <w:p>
      <w:pPr>
        <w:pStyle w:val="10"/>
        <w:spacing w:line="440" w:lineRule="exact"/>
        <w:rPr>
          <w:rFonts w:hint="eastAsia" w:ascii="宋体" w:hAnsi="宋体"/>
          <w:szCs w:val="21"/>
        </w:rPr>
      </w:pPr>
      <w:r>
        <w:rPr>
          <w:rFonts w:hint="eastAsia" w:ascii="宋体" w:hAnsi="宋体"/>
          <w:szCs w:val="21"/>
          <w:lang w:val="en-US" w:eastAsia="zh-CN"/>
        </w:rPr>
        <w:t>1.6</w:t>
      </w:r>
      <w:r>
        <w:rPr>
          <w:rFonts w:hint="eastAsia" w:ascii="宋体" w:hAnsi="宋体" w:cs="宋体"/>
          <w:szCs w:val="21"/>
        </w:rPr>
        <w:t>★</w:t>
      </w:r>
      <w:r>
        <w:rPr>
          <w:rFonts w:hint="eastAsia" w:ascii="宋体" w:hAnsi="宋体"/>
          <w:szCs w:val="21"/>
        </w:rPr>
        <w:t>服务要求：若项目需要现场支撑，中标人需到泉州各县区提供相应的现场支撑。中标人需免费提供资信调查服务。</w:t>
      </w:r>
    </w:p>
    <w:p>
      <w:pPr>
        <w:pStyle w:val="10"/>
        <w:spacing w:line="440" w:lineRule="exact"/>
        <w:rPr>
          <w:rFonts w:ascii="宋体" w:hAnsi="宋体"/>
          <w:szCs w:val="21"/>
        </w:rPr>
      </w:pPr>
      <w:r>
        <w:rPr>
          <w:rFonts w:hint="eastAsia" w:ascii="宋体" w:hAnsi="宋体"/>
          <w:szCs w:val="21"/>
          <w:lang w:val="en-US" w:eastAsia="zh-CN"/>
        </w:rPr>
        <w:t>1.7</w:t>
      </w:r>
      <w:r>
        <w:rPr>
          <w:rFonts w:hint="eastAsia" w:ascii="宋体" w:hAnsi="宋体"/>
          <w:szCs w:val="21"/>
        </w:rPr>
        <w:t>本项目中标人数量为【3】个，每个中标人对应的份额如下：</w:t>
      </w:r>
    </w:p>
    <w:tbl>
      <w:tblPr>
        <w:tblStyle w:val="4"/>
        <w:tblW w:w="5076" w:type="pct"/>
        <w:tblInd w:w="-127" w:type="dxa"/>
        <w:tblLayout w:type="autofit"/>
        <w:tblCellMar>
          <w:top w:w="0" w:type="dxa"/>
          <w:left w:w="0" w:type="dxa"/>
          <w:bottom w:w="0" w:type="dxa"/>
          <w:right w:w="0" w:type="dxa"/>
        </w:tblCellMar>
      </w:tblPr>
      <w:tblGrid>
        <w:gridCol w:w="1032"/>
        <w:gridCol w:w="5039"/>
        <w:gridCol w:w="2392"/>
      </w:tblGrid>
      <w:tr>
        <w:tblPrEx>
          <w:tblCellMar>
            <w:top w:w="0" w:type="dxa"/>
            <w:left w:w="0" w:type="dxa"/>
            <w:bottom w:w="0" w:type="dxa"/>
            <w:right w:w="0" w:type="dxa"/>
          </w:tblCellMar>
        </w:tblPrEx>
        <w:trPr>
          <w:trHeight w:val="270" w:hRule="atLeast"/>
        </w:trPr>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2"/>
                <w:szCs w:val="22"/>
              </w:rPr>
            </w:pPr>
            <w:r>
              <w:rPr>
                <w:rFonts w:hint="eastAsia" w:ascii="宋体" w:hAnsi="宋体" w:cs="宋体"/>
                <w:color w:val="000000"/>
                <w:sz w:val="22"/>
                <w:szCs w:val="22"/>
              </w:rPr>
              <w:t>综合排名</w:t>
            </w:r>
          </w:p>
        </w:tc>
        <w:tc>
          <w:tcPr>
            <w:tcW w:w="29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地点</w:t>
            </w:r>
          </w:p>
        </w:tc>
        <w:tc>
          <w:tcPr>
            <w:tcW w:w="14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份额（万元不含税）</w:t>
            </w:r>
          </w:p>
        </w:tc>
      </w:tr>
      <w:tr>
        <w:tblPrEx>
          <w:tblCellMar>
            <w:top w:w="0" w:type="dxa"/>
            <w:left w:w="0" w:type="dxa"/>
            <w:bottom w:w="0" w:type="dxa"/>
            <w:right w:w="0" w:type="dxa"/>
          </w:tblCellMar>
        </w:tblPrEx>
        <w:trPr>
          <w:trHeight w:val="270" w:hRule="atLeast"/>
        </w:trPr>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9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本部、晋江、石狮、惠安、洛江区、永春、德化</w:t>
            </w:r>
          </w:p>
        </w:tc>
        <w:tc>
          <w:tcPr>
            <w:tcW w:w="14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240</w:t>
            </w:r>
          </w:p>
        </w:tc>
      </w:tr>
      <w:tr>
        <w:tblPrEx>
          <w:tblCellMar>
            <w:top w:w="0" w:type="dxa"/>
            <w:left w:w="0" w:type="dxa"/>
            <w:bottom w:w="0" w:type="dxa"/>
            <w:right w:w="0" w:type="dxa"/>
          </w:tblCellMar>
        </w:tblPrEx>
        <w:trPr>
          <w:trHeight w:val="270" w:hRule="atLeast"/>
        </w:trPr>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29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丰泽区、鲤城区、泉港、台商</w:t>
            </w:r>
          </w:p>
        </w:tc>
        <w:tc>
          <w:tcPr>
            <w:tcW w:w="14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144</w:t>
            </w:r>
          </w:p>
        </w:tc>
      </w:tr>
      <w:tr>
        <w:tblPrEx>
          <w:tblCellMar>
            <w:top w:w="0" w:type="dxa"/>
            <w:left w:w="0" w:type="dxa"/>
            <w:bottom w:w="0" w:type="dxa"/>
            <w:right w:w="0" w:type="dxa"/>
          </w:tblCellMar>
        </w:tblPrEx>
        <w:trPr>
          <w:trHeight w:val="270" w:hRule="atLeast"/>
        </w:trPr>
        <w:tc>
          <w:tcPr>
            <w:tcW w:w="6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29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南安、安溪</w:t>
            </w:r>
          </w:p>
        </w:tc>
        <w:tc>
          <w:tcPr>
            <w:tcW w:w="14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96</w:t>
            </w:r>
          </w:p>
        </w:tc>
      </w:tr>
    </w:tbl>
    <w:p>
      <w:pPr>
        <w:numPr>
          <w:ilvl w:val="0"/>
          <w:numId w:val="1"/>
        </w:numPr>
        <w:spacing w:line="440" w:lineRule="exact"/>
        <w:rPr>
          <w:rFonts w:hint="eastAsia" w:ascii="宋体" w:hAnsi="宋体"/>
          <w:b/>
          <w:szCs w:val="21"/>
        </w:rPr>
      </w:pPr>
      <w:r>
        <w:rPr>
          <w:rFonts w:hint="eastAsia" w:ascii="宋体" w:hAnsi="宋体"/>
          <w:b/>
          <w:szCs w:val="21"/>
        </w:rPr>
        <w:t>投标人资格要求</w:t>
      </w:r>
    </w:p>
    <w:p>
      <w:pPr>
        <w:numPr>
          <w:ilvl w:val="0"/>
          <w:numId w:val="0"/>
        </w:numPr>
        <w:adjustRightInd w:val="0"/>
        <w:snapToGrid w:val="0"/>
        <w:spacing w:line="440" w:lineRule="exact"/>
        <w:ind w:leftChars="0"/>
        <w:rPr>
          <w:rFonts w:hint="eastAsia" w:ascii="宋体" w:hAnsi="宋体"/>
          <w:b/>
          <w:szCs w:val="21"/>
        </w:rPr>
      </w:pPr>
      <w:r>
        <w:rPr>
          <w:rFonts w:hint="eastAsia" w:ascii="宋体" w:hAnsi="宋体"/>
          <w:b/>
          <w:szCs w:val="21"/>
          <w:lang w:val="en-US" w:eastAsia="zh-CN"/>
        </w:rPr>
        <w:t>2.1</w:t>
      </w:r>
      <w:r>
        <w:rPr>
          <w:rFonts w:hint="eastAsia" w:ascii="宋体" w:hAnsi="宋体"/>
          <w:b/>
          <w:szCs w:val="21"/>
        </w:rPr>
        <w:t>投标人基本资格要求</w:t>
      </w:r>
    </w:p>
    <w:p>
      <w:pPr>
        <w:numPr>
          <w:ilvl w:val="0"/>
          <w:numId w:val="0"/>
        </w:numPr>
        <w:adjustRightInd w:val="0"/>
        <w:snapToGrid w:val="0"/>
        <w:spacing w:line="440" w:lineRule="exact"/>
        <w:ind w:leftChars="0"/>
        <w:rPr>
          <w:rFonts w:ascii="宋体" w:hAnsi="宋体"/>
          <w:szCs w:val="21"/>
        </w:rPr>
      </w:pPr>
      <w:r>
        <w:rPr>
          <w:rFonts w:hint="eastAsia" w:ascii="宋体" w:hAnsi="宋体"/>
          <w:szCs w:val="21"/>
          <w:lang w:val="en-US" w:eastAsia="zh-CN"/>
        </w:rPr>
        <w:t>2.1.1  投标</w:t>
      </w:r>
      <w:r>
        <w:rPr>
          <w:rFonts w:hint="eastAsia" w:ascii="宋体" w:hAnsi="宋体"/>
          <w:szCs w:val="21"/>
        </w:rPr>
        <w:t>人应为中华人民共和国境内（不含香港、澳门、台湾地区）法律上和财务上独立的法人或其他组织，合法运作并独立于招标人和招标代理机构。【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0"/>
          <w:numId w:val="0"/>
        </w:numPr>
        <w:tabs>
          <w:tab w:val="left" w:pos="993"/>
        </w:tabs>
        <w:adjustRightInd w:val="0"/>
        <w:snapToGrid w:val="0"/>
        <w:spacing w:line="440" w:lineRule="exact"/>
        <w:ind w:leftChars="0"/>
        <w:rPr>
          <w:rFonts w:hint="eastAsia" w:ascii="宋体" w:hAnsi="宋体"/>
          <w:szCs w:val="21"/>
        </w:rPr>
      </w:pPr>
      <w:r>
        <w:rPr>
          <w:rFonts w:hint="eastAsia" w:ascii="宋体" w:hAnsi="宋体"/>
          <w:szCs w:val="21"/>
        </w:rPr>
        <w:t>2.1.</w:t>
      </w:r>
      <w:r>
        <w:rPr>
          <w:rFonts w:hint="eastAsia" w:ascii="宋体" w:hAnsi="宋体"/>
          <w:szCs w:val="21"/>
          <w:lang w:val="en-US" w:eastAsia="zh-CN"/>
        </w:rPr>
        <w:t>2</w:t>
      </w:r>
      <w:r>
        <w:rPr>
          <w:rFonts w:hint="eastAsia" w:ascii="宋体" w:hAnsi="宋体"/>
          <w:szCs w:val="21"/>
        </w:rPr>
        <w:t xml:space="preserve"> 投标人的法定代表人或负责人为同一人或者存在控股、管理关系的不同投标人，不得参加同一标包投标或者未划分标包的同一招标项目投标。</w:t>
      </w:r>
    </w:p>
    <w:p>
      <w:pPr>
        <w:numPr>
          <w:ilvl w:val="0"/>
          <w:numId w:val="0"/>
        </w:numPr>
        <w:tabs>
          <w:tab w:val="left" w:pos="993"/>
        </w:tabs>
        <w:adjustRightInd w:val="0"/>
        <w:snapToGrid w:val="0"/>
        <w:spacing w:line="440" w:lineRule="exact"/>
        <w:ind w:leftChars="0"/>
        <w:rPr>
          <w:rFonts w:hint="eastAsia" w:ascii="宋体" w:hAnsi="宋体" w:eastAsia="宋体"/>
          <w:szCs w:val="21"/>
          <w:lang w:val="en-US" w:eastAsia="zh-CN"/>
        </w:rPr>
      </w:pPr>
      <w:r>
        <w:rPr>
          <w:rFonts w:hint="eastAsia" w:ascii="宋体" w:hAnsi="宋体"/>
          <w:spacing w:val="2"/>
          <w:szCs w:val="21"/>
          <w:lang w:val="en-US" w:eastAsia="zh-CN"/>
        </w:rPr>
        <w:t>2.1.3</w:t>
      </w:r>
      <w:r>
        <w:rPr>
          <w:rFonts w:hint="eastAsia" w:ascii="宋体" w:hAnsi="宋体"/>
          <w:spacing w:val="2"/>
          <w:szCs w:val="21"/>
        </w:rPr>
        <w:t>人员配备：本项目需配备</w:t>
      </w:r>
      <w:r>
        <w:rPr>
          <w:rFonts w:ascii="宋体" w:hAnsi="宋体"/>
          <w:spacing w:val="2"/>
          <w:szCs w:val="21"/>
        </w:rPr>
        <w:t>4</w:t>
      </w:r>
      <w:r>
        <w:rPr>
          <w:rFonts w:hint="eastAsia" w:ascii="宋体" w:hAnsi="宋体"/>
          <w:spacing w:val="2"/>
          <w:szCs w:val="21"/>
        </w:rPr>
        <w:t>名或以上人员，其中</w:t>
      </w:r>
      <w:r>
        <w:rPr>
          <w:rFonts w:ascii="宋体" w:hAnsi="宋体"/>
          <w:spacing w:val="2"/>
          <w:szCs w:val="21"/>
        </w:rPr>
        <w:t>1</w:t>
      </w:r>
      <w:r>
        <w:rPr>
          <w:rFonts w:hint="eastAsia" w:ascii="宋体" w:hAnsi="宋体"/>
          <w:spacing w:val="2"/>
          <w:szCs w:val="21"/>
        </w:rPr>
        <w:t>名团队负责人需为事务所合伙人之一且从事律师服务</w:t>
      </w:r>
      <w:r>
        <w:rPr>
          <w:rFonts w:ascii="宋体" w:hAnsi="宋体"/>
          <w:spacing w:val="2"/>
          <w:szCs w:val="21"/>
        </w:rPr>
        <w:t>15</w:t>
      </w:r>
      <w:r>
        <w:rPr>
          <w:rFonts w:hint="eastAsia" w:ascii="宋体" w:hAnsi="宋体"/>
          <w:spacing w:val="2"/>
          <w:szCs w:val="21"/>
        </w:rPr>
        <w:t>年及以上；</w:t>
      </w:r>
      <w:r>
        <w:rPr>
          <w:rFonts w:ascii="宋体" w:hAnsi="宋体"/>
          <w:spacing w:val="2"/>
          <w:szCs w:val="21"/>
        </w:rPr>
        <w:t>3</w:t>
      </w:r>
      <w:r>
        <w:rPr>
          <w:rFonts w:hint="eastAsia" w:ascii="宋体" w:hAnsi="宋体"/>
          <w:spacing w:val="2"/>
          <w:szCs w:val="21"/>
        </w:rPr>
        <w:t>名或以上团队成员，作为诉讼案件委托代理人，其中一名律师需从事律师服务</w:t>
      </w:r>
      <w:r>
        <w:rPr>
          <w:rFonts w:ascii="宋体" w:hAnsi="宋体"/>
          <w:spacing w:val="2"/>
          <w:szCs w:val="21"/>
        </w:rPr>
        <w:t>8</w:t>
      </w:r>
      <w:r>
        <w:rPr>
          <w:rFonts w:hint="eastAsia" w:ascii="宋体" w:hAnsi="宋体"/>
          <w:spacing w:val="2"/>
          <w:szCs w:val="21"/>
        </w:rPr>
        <w:t>年及以上。所配备人员需持有律师执业证书（团队负责人持有的证书自取得之日至</w:t>
      </w:r>
      <w:r>
        <w:rPr>
          <w:rFonts w:hint="eastAsia" w:ascii="宋体" w:hAnsi="宋体"/>
          <w:spacing w:val="2"/>
          <w:szCs w:val="21"/>
          <w:lang w:val="en-US" w:eastAsia="zh-CN"/>
        </w:rPr>
        <w:t>投标</w:t>
      </w:r>
      <w:r>
        <w:rPr>
          <w:rFonts w:hint="eastAsia" w:ascii="宋体" w:hAnsi="宋体"/>
          <w:spacing w:val="2"/>
          <w:szCs w:val="21"/>
        </w:rPr>
        <w:t>递交截止时间为止需满</w:t>
      </w:r>
      <w:r>
        <w:rPr>
          <w:rFonts w:ascii="宋体" w:hAnsi="宋体"/>
          <w:spacing w:val="2"/>
          <w:szCs w:val="21"/>
        </w:rPr>
        <w:t>15</w:t>
      </w:r>
      <w:r>
        <w:rPr>
          <w:rFonts w:hint="eastAsia" w:ascii="宋体" w:hAnsi="宋体"/>
          <w:spacing w:val="2"/>
          <w:szCs w:val="21"/>
        </w:rPr>
        <w:t>年，其他团队成员至少有</w:t>
      </w:r>
      <w:r>
        <w:rPr>
          <w:rFonts w:ascii="宋体" w:hAnsi="宋体"/>
          <w:spacing w:val="2"/>
          <w:szCs w:val="21"/>
        </w:rPr>
        <w:t>1</w:t>
      </w:r>
      <w:r>
        <w:rPr>
          <w:rFonts w:hint="eastAsia" w:ascii="宋体" w:hAnsi="宋体"/>
          <w:spacing w:val="2"/>
          <w:szCs w:val="21"/>
        </w:rPr>
        <w:t>名团队成员持有的证书自取得之日至</w:t>
      </w:r>
      <w:r>
        <w:rPr>
          <w:rFonts w:hint="eastAsia" w:ascii="宋体" w:hAnsi="宋体"/>
          <w:spacing w:val="2"/>
          <w:szCs w:val="21"/>
          <w:lang w:val="en-US" w:eastAsia="zh-CN"/>
        </w:rPr>
        <w:t>投标</w:t>
      </w:r>
      <w:r>
        <w:rPr>
          <w:rFonts w:hint="eastAsia" w:ascii="宋体" w:hAnsi="宋体"/>
          <w:spacing w:val="2"/>
          <w:szCs w:val="21"/>
        </w:rPr>
        <w:t>递交截止时间为止需满</w:t>
      </w:r>
      <w:r>
        <w:rPr>
          <w:rFonts w:ascii="宋体" w:hAnsi="宋体"/>
          <w:spacing w:val="2"/>
          <w:szCs w:val="21"/>
        </w:rPr>
        <w:t>8</w:t>
      </w:r>
      <w:r>
        <w:rPr>
          <w:rFonts w:hint="eastAsia" w:ascii="宋体" w:hAnsi="宋体"/>
          <w:spacing w:val="2"/>
          <w:szCs w:val="21"/>
        </w:rPr>
        <w:t>年，且律师执业证书的执业机构需为</w:t>
      </w:r>
      <w:r>
        <w:rPr>
          <w:rFonts w:hint="eastAsia" w:ascii="宋体" w:hAnsi="宋体"/>
          <w:spacing w:val="2"/>
          <w:szCs w:val="21"/>
          <w:lang w:val="en-US" w:eastAsia="zh-CN"/>
        </w:rPr>
        <w:t>投标</w:t>
      </w:r>
      <w:r>
        <w:rPr>
          <w:rFonts w:hint="eastAsia" w:ascii="宋体" w:hAnsi="宋体"/>
          <w:spacing w:val="2"/>
          <w:szCs w:val="21"/>
        </w:rPr>
        <w:t>人名称</w:t>
      </w:r>
      <w:r>
        <w:rPr>
          <w:rFonts w:hint="eastAsia" w:ascii="宋体" w:hAnsi="宋体"/>
          <w:spacing w:val="2"/>
          <w:szCs w:val="21"/>
          <w:lang w:eastAsia="zh-CN"/>
        </w:rPr>
        <w:t>。</w:t>
      </w:r>
    </w:p>
    <w:p>
      <w:pPr>
        <w:numPr>
          <w:ilvl w:val="0"/>
          <w:numId w:val="0"/>
        </w:numPr>
        <w:tabs>
          <w:tab w:val="left" w:pos="993"/>
        </w:tabs>
        <w:adjustRightInd w:val="0"/>
        <w:snapToGrid w:val="0"/>
        <w:spacing w:line="440" w:lineRule="exact"/>
        <w:ind w:leftChars="0"/>
        <w:rPr>
          <w:rFonts w:ascii="宋体" w:hAnsi="宋体"/>
          <w:szCs w:val="21"/>
        </w:rPr>
      </w:pPr>
      <w:r>
        <w:rPr>
          <w:rFonts w:hint="eastAsia" w:ascii="宋体" w:hAnsi="宋体"/>
          <w:szCs w:val="21"/>
          <w:lang w:val="en-US" w:eastAsia="zh-CN"/>
        </w:rPr>
        <w:t>2.1.4</w:t>
      </w:r>
      <w:r>
        <w:rPr>
          <w:rFonts w:hint="eastAsia" w:ascii="宋体" w:hAnsi="宋体"/>
          <w:szCs w:val="21"/>
        </w:rPr>
        <w:t>本次招标不接受联合体投标。</w:t>
      </w:r>
    </w:p>
    <w:p>
      <w:pPr>
        <w:numPr>
          <w:ilvl w:val="0"/>
          <w:numId w:val="0"/>
        </w:numPr>
        <w:spacing w:line="440" w:lineRule="exact"/>
        <w:ind w:leftChars="0"/>
        <w:rPr>
          <w:rFonts w:hint="eastAsia" w:ascii="宋体" w:hAnsi="宋体"/>
          <w:b/>
          <w:szCs w:val="21"/>
        </w:rPr>
      </w:pPr>
      <w:bookmarkStart w:id="2" w:name="_GoBack"/>
      <w:bookmarkEnd w:id="2"/>
      <w:r>
        <w:rPr>
          <w:rFonts w:hint="eastAsia" w:ascii="宋体" w:hAnsi="宋体"/>
          <w:b/>
          <w:szCs w:val="21"/>
          <w:lang w:val="en-US" w:eastAsia="zh-CN"/>
        </w:rPr>
        <w:t xml:space="preserve">2.2 </w:t>
      </w:r>
      <w:r>
        <w:rPr>
          <w:rFonts w:hint="eastAsia" w:ascii="宋体" w:hAnsi="宋体"/>
          <w:b/>
          <w:szCs w:val="21"/>
        </w:rPr>
        <w:t>投标人不得存在下列情形之一</w:t>
      </w:r>
    </w:p>
    <w:p>
      <w:pPr>
        <w:numPr>
          <w:ilvl w:val="0"/>
          <w:numId w:val="2"/>
        </w:numPr>
        <w:tabs>
          <w:tab w:val="left" w:pos="0"/>
          <w:tab w:val="left" w:pos="1713"/>
        </w:tabs>
        <w:spacing w:line="440" w:lineRule="exact"/>
        <w:ind w:left="-2" w:leftChars="0" w:firstLine="422" w:firstLineChars="0"/>
        <w:rPr>
          <w:rFonts w:ascii="宋体" w:hAnsi="宋体"/>
          <w:szCs w:val="21"/>
        </w:rPr>
      </w:pPr>
      <w:r>
        <w:rPr>
          <w:rFonts w:hint="eastAsia" w:ascii="宋体" w:hAnsi="宋体"/>
          <w:szCs w:val="21"/>
        </w:rPr>
        <w:t>为招标人不具有独立法人资格的附属机构（单位）；</w:t>
      </w:r>
    </w:p>
    <w:p>
      <w:pPr>
        <w:numPr>
          <w:ilvl w:val="0"/>
          <w:numId w:val="2"/>
        </w:numPr>
        <w:tabs>
          <w:tab w:val="left" w:pos="0"/>
          <w:tab w:val="left" w:pos="1713"/>
        </w:tabs>
        <w:spacing w:line="440" w:lineRule="exact"/>
        <w:ind w:left="-2" w:leftChars="0" w:firstLine="422" w:firstLineChars="0"/>
        <w:rPr>
          <w:rFonts w:ascii="宋体" w:hAnsi="宋体"/>
          <w:szCs w:val="21"/>
        </w:rPr>
      </w:pPr>
      <w:r>
        <w:rPr>
          <w:rFonts w:hint="eastAsia" w:ascii="宋体" w:hAnsi="宋体"/>
          <w:szCs w:val="21"/>
        </w:rPr>
        <w:t>被依法暂停或取消投标资格的；</w:t>
      </w:r>
    </w:p>
    <w:p>
      <w:pPr>
        <w:numPr>
          <w:ilvl w:val="0"/>
          <w:numId w:val="2"/>
        </w:numPr>
        <w:tabs>
          <w:tab w:val="left" w:pos="0"/>
          <w:tab w:val="left" w:pos="1713"/>
        </w:tabs>
        <w:spacing w:line="440" w:lineRule="exact"/>
        <w:ind w:left="-2" w:leftChars="0" w:firstLine="422" w:firstLineChars="0"/>
        <w:rPr>
          <w:rFonts w:ascii="宋体" w:hAnsi="宋体"/>
          <w:szCs w:val="21"/>
        </w:rPr>
      </w:pPr>
      <w:r>
        <w:rPr>
          <w:rFonts w:ascii="宋体" w:hAnsi="宋体"/>
          <w:szCs w:val="21"/>
        </w:rPr>
        <w:t xml:space="preserve">被责令停产停业、暂扣或者吊销许可证、暂扣或者吊销执照； </w:t>
      </w:r>
    </w:p>
    <w:p>
      <w:pPr>
        <w:numPr>
          <w:ilvl w:val="0"/>
          <w:numId w:val="2"/>
        </w:numPr>
        <w:tabs>
          <w:tab w:val="left" w:pos="0"/>
          <w:tab w:val="left" w:pos="1713"/>
        </w:tabs>
        <w:spacing w:line="440" w:lineRule="exact"/>
        <w:ind w:left="-2" w:leftChars="0" w:firstLine="422" w:firstLineChars="0"/>
        <w:rPr>
          <w:rFonts w:ascii="宋体" w:hAnsi="宋体"/>
          <w:szCs w:val="21"/>
        </w:rPr>
      </w:pPr>
      <w:r>
        <w:rPr>
          <w:rFonts w:ascii="宋体" w:hAnsi="宋体"/>
          <w:szCs w:val="21"/>
        </w:rPr>
        <w:t xml:space="preserve">进入清算程序，或被宣告破产，或其他丧失履约能力的情形； </w:t>
      </w:r>
    </w:p>
    <w:p>
      <w:pPr>
        <w:numPr>
          <w:ilvl w:val="0"/>
          <w:numId w:val="2"/>
        </w:numPr>
        <w:tabs>
          <w:tab w:val="left" w:pos="0"/>
          <w:tab w:val="left" w:pos="993"/>
          <w:tab w:val="left" w:pos="2564"/>
          <w:tab w:val="clear" w:pos="1146"/>
        </w:tabs>
        <w:spacing w:line="440" w:lineRule="exact"/>
        <w:ind w:left="-2" w:leftChars="0" w:firstLine="422" w:firstLineChars="0"/>
        <w:rPr>
          <w:rFonts w:ascii="宋体" w:hAnsi="宋体"/>
          <w:szCs w:val="21"/>
        </w:rPr>
      </w:pPr>
      <w:r>
        <w:rPr>
          <w:rFonts w:hint="eastAsia" w:ascii="宋体" w:hAnsi="宋体"/>
        </w:rPr>
        <w:t>在最近三年内（自201</w:t>
      </w:r>
      <w:r>
        <w:rPr>
          <w:rFonts w:ascii="宋体" w:hAnsi="宋体"/>
        </w:rPr>
        <w:t>8</w:t>
      </w:r>
      <w:r>
        <w:rPr>
          <w:rFonts w:hint="eastAsia" w:ascii="宋体" w:hAnsi="宋体"/>
        </w:rPr>
        <w:t>年4月1日起</w:t>
      </w:r>
      <w:r>
        <w:rPr>
          <w:rFonts w:hint="eastAsia"/>
        </w:rPr>
        <w:t>至投标截止时间</w:t>
      </w:r>
      <w:r>
        <w:rPr>
          <w:rFonts w:hint="eastAsia" w:ascii="宋体" w:hAnsi="宋体"/>
        </w:rPr>
        <w:t>）被相关行业主管部门或司法机关认定有骗取中标、严重违约、重大工程质量或者安全问题的；</w:t>
      </w:r>
    </w:p>
    <w:p>
      <w:pPr>
        <w:numPr>
          <w:ilvl w:val="0"/>
          <w:numId w:val="2"/>
        </w:numPr>
        <w:tabs>
          <w:tab w:val="left" w:pos="0"/>
          <w:tab w:val="left" w:pos="993"/>
          <w:tab w:val="left" w:pos="2564"/>
          <w:tab w:val="clear" w:pos="1146"/>
        </w:tabs>
        <w:spacing w:line="440" w:lineRule="exact"/>
        <w:ind w:left="-2" w:leftChars="0" w:firstLine="422" w:firstLineChars="0"/>
        <w:rPr>
          <w:rFonts w:ascii="宋体" w:hAnsi="宋体"/>
        </w:rPr>
      </w:pPr>
      <w:r>
        <w:rPr>
          <w:rFonts w:hint="eastAsia" w:ascii="宋体" w:hAnsi="宋体"/>
        </w:rPr>
        <w:t>在最近五年内（自201</w:t>
      </w:r>
      <w:r>
        <w:rPr>
          <w:rFonts w:ascii="宋体" w:hAnsi="宋体"/>
        </w:rPr>
        <w:t>6</w:t>
      </w:r>
      <w:r>
        <w:rPr>
          <w:rFonts w:hint="eastAsia" w:ascii="宋体" w:hAnsi="宋体"/>
        </w:rPr>
        <w:t>年4月1日起</w:t>
      </w:r>
      <w:r>
        <w:rPr>
          <w:rFonts w:hint="eastAsia"/>
        </w:rPr>
        <w:t>至投标截止时间</w:t>
      </w:r>
      <w:r>
        <w:rPr>
          <w:rFonts w:hint="eastAsia" w:ascii="宋体" w:hAnsi="宋体"/>
        </w:rPr>
        <w:t>）被判处单位行贿罪，且行贿行为与采购活动相关的（以“中国裁判文书网”的生效判决为准）；</w:t>
      </w:r>
    </w:p>
    <w:p>
      <w:pPr>
        <w:numPr>
          <w:ilvl w:val="0"/>
          <w:numId w:val="2"/>
        </w:numPr>
        <w:tabs>
          <w:tab w:val="left" w:pos="0"/>
          <w:tab w:val="left" w:pos="993"/>
          <w:tab w:val="left" w:pos="2564"/>
          <w:tab w:val="clear" w:pos="1146"/>
        </w:tabs>
        <w:spacing w:line="440" w:lineRule="exact"/>
        <w:ind w:left="-2" w:leftChars="0" w:firstLine="422" w:firstLineChars="0"/>
        <w:rPr>
          <w:rFonts w:ascii="宋体" w:hAnsi="宋体"/>
        </w:rPr>
      </w:pPr>
      <w:r>
        <w:rPr>
          <w:rFonts w:hint="eastAsia" w:ascii="宋体" w:hAnsi="宋体"/>
        </w:rPr>
        <w:t>在最近五年内（自201</w:t>
      </w:r>
      <w:r>
        <w:rPr>
          <w:rFonts w:ascii="宋体" w:hAnsi="宋体"/>
        </w:rPr>
        <w:t>6</w:t>
      </w:r>
      <w:r>
        <w:rPr>
          <w:rFonts w:hint="eastAsia" w:ascii="宋体" w:hAnsi="宋体"/>
        </w:rPr>
        <w:t>年4月1日起</w:t>
      </w:r>
      <w:r>
        <w:rPr>
          <w:rFonts w:hint="eastAsia"/>
        </w:rPr>
        <w:t>至投标截止时间</w:t>
      </w:r>
      <w:r>
        <w:rPr>
          <w:rFonts w:hint="eastAsia" w:ascii="宋体" w:hAnsi="宋体"/>
        </w:rPr>
        <w:t>）被判处合同诈骗罪的（以“中国裁判文书网”的生效判决为准）；</w:t>
      </w:r>
    </w:p>
    <w:p>
      <w:pPr>
        <w:numPr>
          <w:ilvl w:val="0"/>
          <w:numId w:val="2"/>
        </w:numPr>
        <w:tabs>
          <w:tab w:val="left" w:pos="0"/>
          <w:tab w:val="left" w:pos="2564"/>
        </w:tabs>
        <w:spacing w:line="440" w:lineRule="exact"/>
        <w:ind w:left="-2" w:leftChars="0" w:firstLine="422" w:firstLineChars="0"/>
        <w:rPr>
          <w:rFonts w:ascii="宋体" w:hAnsi="宋体"/>
        </w:rPr>
      </w:pPr>
      <w:r>
        <w:rPr>
          <w:rFonts w:hint="eastAsia" w:asciiTheme="minorEastAsia" w:hAnsiTheme="minorEastAsia" w:eastAsiaTheme="minorEastAsia"/>
        </w:rPr>
        <w:t>被最高人民法院认定为失信被执行人的</w:t>
      </w:r>
      <w:r>
        <w:rPr>
          <w:rFonts w:asciiTheme="minorEastAsia" w:hAnsiTheme="minorEastAsia" w:eastAsiaTheme="minorEastAsia"/>
        </w:rPr>
        <w:t>(以“信用中国”网站（www.creditchina.gov.cn）或各级信用信息共享平台</w:t>
      </w:r>
      <w:r>
        <w:rPr>
          <w:rFonts w:hint="eastAsia" w:asciiTheme="minorEastAsia" w:hAnsiTheme="minorEastAsia" w:eastAsiaTheme="minorEastAsia"/>
        </w:rPr>
        <w:t>公布的</w:t>
      </w:r>
      <w:r>
        <w:rPr>
          <w:rFonts w:asciiTheme="minorEastAsia" w:hAnsiTheme="minorEastAsia" w:eastAsiaTheme="minorEastAsia"/>
        </w:rPr>
        <w:t>失信被执行人名单</w:t>
      </w:r>
      <w:r>
        <w:rPr>
          <w:rFonts w:hint="eastAsia" w:asciiTheme="minorEastAsia" w:hAnsiTheme="minorEastAsia" w:eastAsiaTheme="minorEastAsia"/>
        </w:rPr>
        <w:t>为准</w:t>
      </w:r>
      <w:r>
        <w:rPr>
          <w:rFonts w:asciiTheme="minorEastAsia" w:hAnsiTheme="minorEastAsia" w:eastAsiaTheme="minorEastAsia"/>
        </w:rPr>
        <w:t>)</w:t>
      </w:r>
      <w:r>
        <w:rPr>
          <w:rFonts w:hint="eastAsia" w:asciiTheme="minorEastAsia" w:hAnsiTheme="minorEastAsia" w:eastAsiaTheme="minorEastAsia"/>
        </w:rPr>
        <w:t>，已执行完毕或不再执行的除外</w:t>
      </w:r>
      <w:r>
        <w:rPr>
          <w:rFonts w:asciiTheme="minorEastAsia" w:hAnsiTheme="minorEastAsia" w:eastAsiaTheme="minorEastAsia"/>
        </w:rPr>
        <w:t>；</w:t>
      </w:r>
    </w:p>
    <w:p>
      <w:pPr>
        <w:numPr>
          <w:ilvl w:val="0"/>
          <w:numId w:val="2"/>
        </w:numPr>
        <w:tabs>
          <w:tab w:val="left" w:pos="0"/>
          <w:tab w:val="left" w:pos="993"/>
          <w:tab w:val="left" w:pos="2564"/>
        </w:tabs>
        <w:spacing w:line="440" w:lineRule="exact"/>
        <w:ind w:left="-2" w:leftChars="0" w:firstLine="422" w:firstLineChars="0"/>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numPr>
          <w:ilvl w:val="0"/>
          <w:numId w:val="2"/>
        </w:numPr>
        <w:tabs>
          <w:tab w:val="left" w:pos="0"/>
          <w:tab w:val="left" w:pos="993"/>
          <w:tab w:val="left" w:pos="2564"/>
        </w:tabs>
        <w:spacing w:line="440" w:lineRule="exact"/>
        <w:ind w:left="-2" w:leftChars="0" w:firstLine="422" w:firstLineChars="0"/>
        <w:rPr>
          <w:rFonts w:ascii="宋体" w:hAnsi="宋体"/>
          <w:szCs w:val="21"/>
        </w:rPr>
      </w:pPr>
      <w:r>
        <w:rPr>
          <w:rFonts w:hint="eastAsia" w:ascii="宋体" w:hAnsi="宋体"/>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3"/>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3"/>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hint="eastAsia" w:ascii="宋体" w:hAnsi="宋体"/>
          <w:color w:val="FF0000"/>
          <w:szCs w:val="21"/>
        </w:rPr>
        <w:t>2021年</w:t>
      </w:r>
      <w:r>
        <w:rPr>
          <w:rFonts w:hint="eastAsia" w:ascii="宋体" w:hAnsi="宋体"/>
          <w:color w:val="FF0000"/>
          <w:szCs w:val="21"/>
          <w:lang w:val="en-US" w:eastAsia="zh-CN"/>
        </w:rPr>
        <w:t>4</w:t>
      </w:r>
      <w:r>
        <w:rPr>
          <w:rFonts w:hint="eastAsia" w:ascii="宋体" w:hAnsi="宋体"/>
          <w:color w:val="FF0000"/>
          <w:szCs w:val="21"/>
        </w:rPr>
        <w:t>月</w:t>
      </w:r>
      <w:r>
        <w:rPr>
          <w:rFonts w:hint="eastAsia" w:ascii="宋体" w:hAnsi="宋体"/>
          <w:color w:val="FF0000"/>
          <w:szCs w:val="21"/>
          <w:lang w:val="en-US" w:eastAsia="zh-CN"/>
        </w:rPr>
        <w:t>30</w:t>
      </w:r>
      <w:r>
        <w:rPr>
          <w:rFonts w:hint="eastAsia" w:ascii="宋体" w:hAnsi="宋体"/>
          <w:color w:val="FF0000"/>
          <w:szCs w:val="21"/>
        </w:rPr>
        <w:t>日8时30分至2021年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10</w:t>
      </w:r>
      <w:r>
        <w:rPr>
          <w:rFonts w:hint="eastAsia" w:ascii="宋体" w:hAnsi="宋体"/>
          <w:color w:val="FF0000"/>
          <w:szCs w:val="21"/>
        </w:rPr>
        <w:t>日17时30分</w:t>
      </w:r>
      <w:r>
        <w:rPr>
          <w:rFonts w:hint="eastAsia" w:ascii="宋体" w:hAnsi="宋体"/>
          <w:szCs w:val="21"/>
        </w:rPr>
        <w:t>】（北京时间，下同）。</w:t>
      </w:r>
    </w:p>
    <w:p>
      <w:pPr>
        <w:numPr>
          <w:ilvl w:val="1"/>
          <w:numId w:val="3"/>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4"/>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4"/>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rPr>
          <w:rFonts w:hint="eastAsia"/>
          <w:lang w:val="en-US" w:eastAsia="zh-CN"/>
        </w:rP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FF00FF"/>
          <w:spacing w:val="2"/>
          <w:szCs w:val="21"/>
        </w:rPr>
        <w:t>，</w:t>
      </w:r>
      <w:r>
        <w:rPr>
          <w:rFonts w:hint="eastAsia" w:ascii="宋体" w:hAnsi="宋体"/>
          <w:b/>
          <w:color w:val="0000FF"/>
          <w:spacing w:val="2"/>
          <w:szCs w:val="21"/>
        </w:rPr>
        <w:t>或</w:t>
      </w:r>
      <w:r>
        <w:rPr>
          <w:rFonts w:hint="eastAsia" w:ascii="宋体" w:hAnsi="宋体"/>
          <w:color w:val="0000FF"/>
          <w:spacing w:val="2"/>
          <w:szCs w:val="21"/>
        </w:rPr>
        <w:t>委托经办人持下述文件到现场向招标代理机构了解有关信息并缴费。</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4"/>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5"/>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5"/>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hint="eastAsia" w:ascii="宋体" w:hAnsi="宋体"/>
          <w:color w:val="FF0000"/>
          <w:szCs w:val="21"/>
        </w:rPr>
        <w:t>2021年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28</w:t>
      </w:r>
      <w:r>
        <w:rPr>
          <w:rFonts w:hint="eastAsia" w:ascii="宋体" w:hAnsi="宋体"/>
          <w:color w:val="FF0000"/>
          <w:szCs w:val="21"/>
        </w:rPr>
        <w:t>日9时00分</w:t>
      </w:r>
      <w:r>
        <w:rPr>
          <w:rFonts w:hint="eastAsia" w:ascii="宋体" w:hAnsi="宋体"/>
          <w:szCs w:val="21"/>
        </w:rPr>
        <w:t>】。</w:t>
      </w:r>
    </w:p>
    <w:p>
      <w:pPr>
        <w:numPr>
          <w:ilvl w:val="1"/>
          <w:numId w:val="5"/>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rPr>
        <w:t>福建省泉州市丰泽区领秀南路领SHOW天地-东区创意办公C 座3楼308室（导航“领SHOW天地-东区创意办公C座泉州市丰泽区”可至）</w:t>
      </w:r>
      <w:r>
        <w:rPr>
          <w:rFonts w:hint="eastAsia" w:ascii="宋体" w:hAnsi="宋体"/>
        </w:rPr>
        <w:t>】。</w:t>
      </w:r>
    </w:p>
    <w:p>
      <w:pPr>
        <w:adjustRightInd w:val="0"/>
        <w:snapToGrid w:val="0"/>
        <w:spacing w:line="440" w:lineRule="exact"/>
        <w:ind w:firstLine="420" w:firstLineChars="200"/>
        <w:rPr>
          <w:rFonts w:ascii="宋体" w:hAnsi="宋体"/>
          <w:szCs w:val="21"/>
          <w:highlight w:val="yellow"/>
        </w:rPr>
      </w:pPr>
      <w:r>
        <w:rPr>
          <w:rFonts w:hint="eastAsia"/>
          <w:highlight w:val="yellow"/>
        </w:rPr>
        <w:t>本项目不强制投标人递交不加密的投标文件和纸质投标文件，但投标人在投标截止时间前未递交不加密投标文件、纸质投标文件的，将会失去补救机会（补救规则详见公告5.3）。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5"/>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5"/>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5"/>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5"/>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5"/>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5"/>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5"/>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5"/>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样品递交的时间、地点：本项目无要求递交样品。</w:t>
      </w:r>
    </w:p>
    <w:p>
      <w:pPr>
        <w:numPr>
          <w:ilvl w:val="1"/>
          <w:numId w:val="5"/>
        </w:numPr>
        <w:adjustRightInd w:val="0"/>
        <w:snapToGrid w:val="0"/>
        <w:spacing w:line="440" w:lineRule="exact"/>
        <w:ind w:left="0" w:firstLine="0"/>
        <w:rPr>
          <w:rFonts w:ascii="宋体" w:hAnsi="宋体"/>
          <w:szCs w:val="21"/>
        </w:rPr>
      </w:pPr>
      <w:r>
        <w:rPr>
          <w:rFonts w:hint="eastAsia" w:ascii="宋体" w:hAnsi="宋体"/>
          <w:szCs w:val="21"/>
        </w:rPr>
        <w:t>检测相关费用：本项目无要求递交样品</w:t>
      </w:r>
      <w:r>
        <w:rPr>
          <w:rFonts w:hint="eastAsia" w:ascii="宋体" w:hAnsi="宋体"/>
          <w:szCs w:val="21"/>
          <w:lang w:eastAsia="zh-CN"/>
        </w:rPr>
        <w:t>。</w:t>
      </w:r>
    </w:p>
    <w:p>
      <w:pPr>
        <w:numPr>
          <w:ilvl w:val="0"/>
          <w:numId w:val="5"/>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5"/>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5"/>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6"/>
          <w:rFonts w:hint="eastAsia" w:ascii="宋体" w:hAnsi="宋体"/>
        </w:rPr>
        <w:t>http://trade.chinatelecom.com.cn/TPFrame</w:t>
      </w:r>
      <w:r>
        <w:rPr>
          <w:rStyle w:val="6"/>
          <w:rFonts w:hint="eastAsia"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5"/>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5"/>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5"/>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5"/>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5"/>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5"/>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5"/>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rPr>
          <w:rFonts w:ascii="宋体" w:hAnsi="宋体"/>
        </w:rPr>
      </w:pPr>
      <w:r>
        <w:rPr>
          <w:rFonts w:hint="eastAsia" w:ascii="宋体" w:hAnsi="宋体"/>
        </w:rPr>
        <w:t>招 标 人：</w:t>
      </w:r>
      <w:r>
        <w:rPr>
          <w:rFonts w:hint="eastAsia" w:ascii="宋体" w:hAnsi="宋体"/>
          <w:u w:val="single"/>
        </w:rPr>
        <w:t>【中国电信股份有限公司泉州分公司】</w:t>
      </w:r>
    </w:p>
    <w:p>
      <w:pPr>
        <w:spacing w:line="400" w:lineRule="exact"/>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rPr>
          <w:rFonts w:ascii="宋体" w:hAnsi="宋体"/>
        </w:rPr>
      </w:pPr>
      <w:r>
        <w:rPr>
          <w:rFonts w:hint="eastAsia" w:ascii="宋体" w:hAnsi="宋体"/>
        </w:rPr>
        <w:t>联 系 人：</w:t>
      </w:r>
      <w:r>
        <w:rPr>
          <w:rFonts w:hint="eastAsia" w:ascii="宋体" w:hAnsi="宋体"/>
          <w:u w:val="single"/>
        </w:rPr>
        <w:t>【谢女士】</w:t>
      </w:r>
    </w:p>
    <w:p>
      <w:pPr>
        <w:spacing w:line="400" w:lineRule="exact"/>
        <w:rPr>
          <w:rFonts w:ascii="宋体" w:hAnsi="宋体"/>
        </w:rPr>
      </w:pPr>
      <w:r>
        <w:rPr>
          <w:rFonts w:hint="eastAsia" w:ascii="宋体" w:hAnsi="宋体"/>
        </w:rPr>
        <w:t>电    话：</w:t>
      </w:r>
      <w:r>
        <w:rPr>
          <w:rFonts w:hint="eastAsia" w:ascii="宋体" w:hAnsi="宋体"/>
          <w:u w:val="single"/>
        </w:rPr>
        <w:t>【</w:t>
      </w:r>
      <w:r>
        <w:rPr>
          <w:rFonts w:ascii="宋体" w:hAnsi="宋体"/>
          <w:u w:val="single"/>
        </w:rPr>
        <w:t>18906995525</w:t>
      </w:r>
      <w:r>
        <w:rPr>
          <w:rFonts w:hint="eastAsia" w:ascii="宋体" w:hAnsi="宋体"/>
          <w:u w:val="single"/>
        </w:rPr>
        <w:t>】</w:t>
      </w:r>
    </w:p>
    <w:p>
      <w:pPr>
        <w:spacing w:line="400" w:lineRule="exact"/>
        <w:rPr>
          <w:rFonts w:ascii="宋体" w:hAnsi="宋体"/>
        </w:rPr>
      </w:pPr>
      <w:r>
        <w:rPr>
          <w:rFonts w:hint="eastAsia" w:ascii="宋体" w:hAnsi="宋体"/>
        </w:rPr>
        <w:t>电子邮件：</w:t>
      </w:r>
      <w:r>
        <w:rPr>
          <w:rFonts w:hint="eastAsia" w:ascii="宋体" w:hAnsi="宋体"/>
          <w:u w:val="single"/>
        </w:rPr>
        <w:t>【qzxiedh@chinatelecom.cn】</w:t>
      </w:r>
    </w:p>
    <w:p>
      <w:pPr>
        <w:spacing w:line="400" w:lineRule="exact"/>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rPr>
          <w:rFonts w:ascii="宋体" w:hAnsi="宋体"/>
        </w:rPr>
      </w:pPr>
      <w:r>
        <w:rPr>
          <w:rFonts w:hint="eastAsia" w:ascii="宋体" w:hAnsi="宋体"/>
        </w:rPr>
        <w:t>邮    编：【350007】</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1</w:t>
      </w:r>
      <w:r>
        <w:rPr>
          <w:rFonts w:hint="eastAsia" w:ascii="宋体" w:hAnsi="宋体"/>
          <w:color w:val="000000"/>
          <w:kern w:val="0"/>
          <w:szCs w:val="21"/>
          <w:lang w:val="zh-CN"/>
        </w:rPr>
        <w:t>:</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hint="eastAsia" w:ascii="宋体" w:hAnsi="宋体"/>
          <w:color w:val="0000FF"/>
          <w:kern w:val="0"/>
          <w:szCs w:val="21"/>
          <w:u w:val="single"/>
        </w:rPr>
        <w:t>jianggongkai</w:t>
      </w:r>
      <w:r>
        <w:rPr>
          <w:rFonts w:hint="eastAsia" w:ascii="宋体" w:hAnsi="宋体"/>
          <w:color w:val="0000FF"/>
          <w:kern w:val="0"/>
          <w:szCs w:val="21"/>
          <w:u w:val="single"/>
          <w:lang w:val="zh-CN"/>
        </w:rPr>
        <w:t>@chinaccs.cn</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2</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rPr>
          <w:rFonts w:ascii="宋体" w:hAnsi="宋体"/>
        </w:rPr>
      </w:pPr>
      <w:r>
        <w:rPr>
          <w:rFonts w:hint="eastAsia" w:ascii="宋体" w:hAnsi="宋体"/>
          <w:color w:val="000000"/>
          <w:kern w:val="0"/>
          <w:szCs w:val="21"/>
          <w:lang w:val="zh-CN"/>
        </w:rPr>
        <w:t>异议联系电话:【</w:t>
      </w:r>
      <w:r>
        <w:rPr>
          <w:rFonts w:ascii="宋体" w:hAnsi="宋体"/>
          <w:color w:val="000000"/>
          <w:kern w:val="0"/>
          <w:szCs w:val="21"/>
          <w:lang w:val="zh-CN"/>
        </w:rPr>
        <w:t>18959944818</w:t>
      </w:r>
      <w:r>
        <w:rPr>
          <w:rFonts w:hint="eastAsia" w:ascii="宋体" w:hAnsi="宋体"/>
          <w:color w:val="000000"/>
          <w:kern w:val="0"/>
          <w:szCs w:val="21"/>
          <w:lang w:val="zh-CN"/>
        </w:rPr>
        <w:t>】</w:t>
      </w:r>
    </w:p>
    <w:p>
      <w:pPr>
        <w:spacing w:line="360" w:lineRule="auto"/>
        <w:ind w:right="489"/>
        <w:jc w:val="left"/>
        <w:rPr>
          <w:rFonts w:ascii="宋体" w:hAnsi="宋体"/>
        </w:rPr>
      </w:pPr>
      <w:r>
        <w:rPr>
          <w:rFonts w:hint="eastAsia" w:ascii="宋体" w:hAnsi="宋体"/>
        </w:rPr>
        <w:t>异议接收邮箱：【</w:t>
      </w:r>
      <w:r>
        <w:rPr>
          <w:rFonts w:hint="eastAsia" w:ascii="宋体" w:hAnsi="宋体"/>
          <w:color w:val="0000FF"/>
          <w:kern w:val="0"/>
          <w:szCs w:val="21"/>
          <w:u w:val="single"/>
        </w:rPr>
        <w:t>jianggongkai@chinaccs.cn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pStyle w:val="10"/>
        <w:spacing w:line="400" w:lineRule="exact"/>
        <w:ind w:left="425" w:firstLine="0" w:firstLineChars="0"/>
        <w:jc w:val="center"/>
        <w:rPr>
          <w:rFonts w:ascii="宋体" w:hAnsi="宋体"/>
          <w:szCs w:val="21"/>
        </w:rPr>
      </w:pPr>
      <w:r>
        <w:rPr>
          <w:rFonts w:hint="eastAsia" w:ascii="宋体" w:hAnsi="宋体"/>
          <w:szCs w:val="21"/>
        </w:rPr>
        <w:t>【2021年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w:t>
      </w:r>
    </w:p>
    <w:p>
      <w:pPr>
        <w:widowControl/>
        <w:jc w:val="center"/>
        <w:rPr>
          <w:rFonts w:ascii="宋体" w:hAnsi="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D32087B"/>
    <w:multiLevelType w:val="multilevel"/>
    <w:tmpl w:val="5D32087B"/>
    <w:lvl w:ilvl="0" w:tentative="0">
      <w:start w:val="1"/>
      <w:numFmt w:val="decimal"/>
      <w:lvlText w:val="（%1）"/>
      <w:lvlJc w:val="left"/>
      <w:pPr>
        <w:tabs>
          <w:tab w:val="left" w:pos="1146"/>
        </w:tabs>
        <w:ind w:left="1146" w:hanging="720"/>
      </w:pPr>
      <w:rPr>
        <w:rFonts w:hint="default"/>
        <w:color w:val="auto"/>
      </w:rPr>
    </w:lvl>
    <w:lvl w:ilvl="1" w:tentative="0">
      <w:start w:val="1"/>
      <w:numFmt w:val="lowerLetter"/>
      <w:lvlText w:val="%2)"/>
      <w:lvlJc w:val="left"/>
      <w:pPr>
        <w:tabs>
          <w:tab w:val="left" w:pos="844"/>
        </w:tabs>
        <w:ind w:left="844" w:hanging="420"/>
      </w:pPr>
    </w:lvl>
    <w:lvl w:ilvl="2" w:tentative="0">
      <w:start w:val="1"/>
      <w:numFmt w:val="lowerRoman"/>
      <w:lvlText w:val="%3."/>
      <w:lvlJc w:val="right"/>
      <w:pPr>
        <w:tabs>
          <w:tab w:val="left" w:pos="1264"/>
        </w:tabs>
        <w:ind w:left="1264" w:hanging="420"/>
      </w:pPr>
    </w:lvl>
    <w:lvl w:ilvl="3" w:tentative="0">
      <w:start w:val="1"/>
      <w:numFmt w:val="decimal"/>
      <w:lvlText w:val="%4."/>
      <w:lvlJc w:val="left"/>
      <w:pPr>
        <w:tabs>
          <w:tab w:val="left" w:pos="1684"/>
        </w:tabs>
        <w:ind w:left="1684" w:hanging="420"/>
      </w:pPr>
    </w:lvl>
    <w:lvl w:ilvl="4" w:tentative="0">
      <w:start w:val="1"/>
      <w:numFmt w:val="lowerLetter"/>
      <w:lvlText w:val="%5)"/>
      <w:lvlJc w:val="left"/>
      <w:pPr>
        <w:tabs>
          <w:tab w:val="left" w:pos="2104"/>
        </w:tabs>
        <w:ind w:left="2104" w:hanging="420"/>
      </w:pPr>
    </w:lvl>
    <w:lvl w:ilvl="5" w:tentative="0">
      <w:start w:val="1"/>
      <w:numFmt w:val="lowerRoman"/>
      <w:lvlText w:val="%6."/>
      <w:lvlJc w:val="right"/>
      <w:pPr>
        <w:tabs>
          <w:tab w:val="left" w:pos="2524"/>
        </w:tabs>
        <w:ind w:left="2524" w:hanging="420"/>
      </w:pPr>
    </w:lvl>
    <w:lvl w:ilvl="6" w:tentative="0">
      <w:start w:val="1"/>
      <w:numFmt w:val="decimal"/>
      <w:lvlText w:val="%7."/>
      <w:lvlJc w:val="left"/>
      <w:pPr>
        <w:tabs>
          <w:tab w:val="left" w:pos="2944"/>
        </w:tabs>
        <w:ind w:left="2944" w:hanging="420"/>
      </w:pPr>
    </w:lvl>
    <w:lvl w:ilvl="7" w:tentative="0">
      <w:start w:val="1"/>
      <w:numFmt w:val="lowerLetter"/>
      <w:lvlText w:val="%8)"/>
      <w:lvlJc w:val="left"/>
      <w:pPr>
        <w:tabs>
          <w:tab w:val="left" w:pos="3364"/>
        </w:tabs>
        <w:ind w:left="3364" w:hanging="420"/>
      </w:pPr>
    </w:lvl>
    <w:lvl w:ilvl="8" w:tentative="0">
      <w:start w:val="1"/>
      <w:numFmt w:val="lowerRoman"/>
      <w:lvlText w:val="%9."/>
      <w:lvlJc w:val="right"/>
      <w:pPr>
        <w:tabs>
          <w:tab w:val="left" w:pos="3784"/>
        </w:tabs>
        <w:ind w:left="3784" w:hanging="420"/>
      </w:pPr>
    </w:lvl>
  </w:abstractNum>
  <w:abstractNum w:abstractNumId="3">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015020A3"/>
    <w:rsid w:val="055E0169"/>
    <w:rsid w:val="094061D4"/>
    <w:rsid w:val="0D7D00E6"/>
    <w:rsid w:val="11596BA6"/>
    <w:rsid w:val="17AA3537"/>
    <w:rsid w:val="196B68F5"/>
    <w:rsid w:val="1D140FD3"/>
    <w:rsid w:val="238E37F6"/>
    <w:rsid w:val="27A323E5"/>
    <w:rsid w:val="293B6416"/>
    <w:rsid w:val="2A663C58"/>
    <w:rsid w:val="2B2240C9"/>
    <w:rsid w:val="2DD96EB3"/>
    <w:rsid w:val="31EF391B"/>
    <w:rsid w:val="412B378D"/>
    <w:rsid w:val="41D56D7E"/>
    <w:rsid w:val="469B6C08"/>
    <w:rsid w:val="49C259A4"/>
    <w:rsid w:val="56332705"/>
    <w:rsid w:val="5A9721A8"/>
    <w:rsid w:val="5D3B5446"/>
    <w:rsid w:val="616856F6"/>
    <w:rsid w:val="626369A8"/>
    <w:rsid w:val="670F0DC0"/>
    <w:rsid w:val="6C630D95"/>
    <w:rsid w:val="6E487A10"/>
    <w:rsid w:val="6FF75861"/>
    <w:rsid w:val="71770A5A"/>
    <w:rsid w:val="785A746E"/>
    <w:rsid w:val="788E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15</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７号</cp:lastModifiedBy>
  <dcterms:modified xsi:type="dcterms:W3CDTF">2021-04-29T08:36:38Z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4909E9B304DE4357BD62BFBFDDA97661</vt:lpwstr>
  </property>
</Properties>
</file>