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2021-2023年中国电信股份有限公司泉州分公司宣传零星制作采购项目（永春、德化）招标公告</w:t>
      </w:r>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【2021-2023年中国电信股份有限公司泉州分公司宣传零星制作采购项目（永春、德化）】</w:t>
      </w:r>
      <w:r>
        <w:rPr>
          <w:rFonts w:hint="eastAsia" w:ascii="宋体" w:hAnsi="宋体"/>
          <w:szCs w:val="21"/>
        </w:rPr>
        <w:t>，</w:t>
      </w:r>
      <w:r>
        <w:rPr>
          <w:rFonts w:hint="eastAsia" w:ascii="宋体" w:hAnsi="宋体"/>
          <w:szCs w:val="21"/>
          <w:u w:val="single"/>
        </w:rPr>
        <w:t>（招标编号：【FJZT-2021-10278】）</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，资金已落实。项目已具备招标条件，现进行公开招标，有意向的且具有提供标的物能力的潜在投标人（以下简称投标人）可报名参加投标。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招标内容：本项目为集中招标项目。本项目预估规模为</w:t>
      </w:r>
      <w:r>
        <w:rPr>
          <w:rFonts w:ascii="宋体" w:hAnsi="宋体"/>
          <w:szCs w:val="21"/>
        </w:rPr>
        <w:t>140</w:t>
      </w:r>
      <w:r>
        <w:rPr>
          <w:rFonts w:hint="eastAsia" w:ascii="宋体" w:hAnsi="宋体"/>
          <w:szCs w:val="21"/>
        </w:rPr>
        <w:t>万元人民币（不含税）。</w:t>
      </w:r>
    </w:p>
    <w:p>
      <w:pPr>
        <w:pStyle w:val="6"/>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【自框架合同签订生效之日起2年】。</w:t>
      </w:r>
    </w:p>
    <w:p>
      <w:pPr>
        <w:pStyle w:val="6"/>
        <w:spacing w:line="440" w:lineRule="exact"/>
        <w:rPr>
          <w:rFonts w:ascii="宋体" w:hAnsi="宋体"/>
          <w:szCs w:val="21"/>
        </w:rPr>
      </w:pPr>
      <w:r>
        <w:rPr>
          <w:rFonts w:hint="eastAsia" w:ascii="宋体" w:hAnsi="宋体"/>
          <w:szCs w:val="21"/>
        </w:rPr>
        <w:t>本次招标的预估规模、货物名称、数量及主要技术参数具体如下：</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1559"/>
        <w:gridCol w:w="1559"/>
        <w:gridCol w:w="141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0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418"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84"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985" w:type="dxa"/>
            <w:vAlign w:val="center"/>
          </w:tcPr>
          <w:p>
            <w:pPr>
              <w:widowControl/>
              <w:jc w:val="center"/>
              <w:rPr>
                <w:rFonts w:ascii="宋体" w:hAnsi="宋体" w:cs="宋体"/>
                <w:kern w:val="0"/>
                <w:szCs w:val="21"/>
              </w:rPr>
            </w:pPr>
            <w:r>
              <w:rPr>
                <w:rFonts w:ascii="宋体" w:hAnsi="宋体" w:cs="宋体"/>
                <w:kern w:val="0"/>
                <w:szCs w:val="21"/>
              </w:rPr>
              <w:t>CP01605</w:t>
            </w:r>
            <w:r>
              <w:rPr>
                <w:rFonts w:hint="eastAsia" w:ascii="宋体" w:hAnsi="宋体" w:cs="宋体"/>
                <w:kern w:val="0"/>
                <w:szCs w:val="21"/>
              </w:rPr>
              <w:t>广告制作</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4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184" w:type="dxa"/>
            <w:vAlign w:val="center"/>
          </w:tcPr>
          <w:p>
            <w:pPr>
              <w:widowControl/>
              <w:jc w:val="center"/>
              <w:rPr>
                <w:rFonts w:ascii="宋体" w:hAnsi="宋体" w:cs="宋体"/>
                <w:kern w:val="0"/>
                <w:szCs w:val="21"/>
              </w:rPr>
            </w:pPr>
            <w:r>
              <w:rPr>
                <w:rFonts w:hint="eastAsia" w:ascii="宋体" w:hAnsi="宋体" w:cs="宋体"/>
                <w:kern w:val="0"/>
                <w:szCs w:val="21"/>
              </w:rPr>
              <w:t>泉州永春县、德化县招标人指定地点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4" w:type="dxa"/>
            <w:gridSpan w:val="6"/>
            <w:vAlign w:val="center"/>
          </w:tcPr>
          <w:p>
            <w:pPr>
              <w:widowControl/>
              <w:rPr>
                <w:rFonts w:ascii="宋体" w:hAnsi="宋体"/>
                <w:szCs w:val="21"/>
              </w:rPr>
            </w:pPr>
            <w:r>
              <w:rPr>
                <w:rFonts w:hint="eastAsia" w:ascii="宋体" w:hAnsi="宋体"/>
                <w:szCs w:val="21"/>
              </w:rPr>
              <w:t>注：本项目采购数量为预估量。</w:t>
            </w:r>
          </w:p>
        </w:tc>
      </w:tr>
    </w:tbl>
    <w:p>
      <w:pPr>
        <w:pStyle w:val="6"/>
        <w:spacing w:line="440" w:lineRule="exact"/>
        <w:rPr>
          <w:rFonts w:ascii="宋体" w:hAnsi="宋体"/>
          <w:szCs w:val="21"/>
        </w:rPr>
      </w:pPr>
      <w:r>
        <w:rPr>
          <w:rFonts w:hint="eastAsia" w:ascii="宋体" w:hAnsi="宋体"/>
          <w:szCs w:val="21"/>
        </w:rPr>
        <w:t>主要技术参数：详见第五章技术规范书。</w:t>
      </w:r>
    </w:p>
    <w:p>
      <w:pPr>
        <w:pStyle w:val="6"/>
        <w:spacing w:line="440" w:lineRule="exact"/>
        <w:rPr>
          <w:rFonts w:ascii="宋体" w:hAnsi="宋体"/>
          <w:szCs w:val="21"/>
        </w:rPr>
      </w:pPr>
      <w:r>
        <w:rPr>
          <w:rFonts w:hint="eastAsia" w:ascii="宋体" w:hAnsi="宋体"/>
          <w:szCs w:val="21"/>
        </w:rPr>
        <w:t>响应时限：详见第五章技术规范书。</w:t>
      </w:r>
    </w:p>
    <w:p>
      <w:pPr>
        <w:pStyle w:val="6"/>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本项目中标人数量为【</w:t>
      </w:r>
      <w:r>
        <w:rPr>
          <w:rFonts w:ascii="宋体" w:hAnsi="宋体"/>
          <w:szCs w:val="21"/>
        </w:rPr>
        <w:t>3</w:t>
      </w:r>
      <w:r>
        <w:rPr>
          <w:rFonts w:hint="eastAsia" w:ascii="宋体" w:hAnsi="宋体"/>
          <w:szCs w:val="21"/>
        </w:rPr>
        <w:t>】个，每个中标人对应的份额如下</w:t>
      </w:r>
    </w:p>
    <w:tbl>
      <w:tblPr>
        <w:tblStyle w:val="2"/>
        <w:tblW w:w="8363" w:type="dxa"/>
        <w:tblInd w:w="108" w:type="dxa"/>
        <w:tblLayout w:type="autofit"/>
        <w:tblCellMar>
          <w:top w:w="0" w:type="dxa"/>
          <w:left w:w="108" w:type="dxa"/>
          <w:bottom w:w="0" w:type="dxa"/>
          <w:right w:w="108" w:type="dxa"/>
        </w:tblCellMar>
      </w:tblPr>
      <w:tblGrid>
        <w:gridCol w:w="851"/>
        <w:gridCol w:w="2835"/>
        <w:gridCol w:w="2835"/>
        <w:gridCol w:w="1842"/>
      </w:tblGrid>
      <w:tr>
        <w:tblPrEx>
          <w:tblCellMar>
            <w:top w:w="0" w:type="dxa"/>
            <w:left w:w="108" w:type="dxa"/>
            <w:bottom w:w="0" w:type="dxa"/>
            <w:right w:w="108" w:type="dxa"/>
          </w:tblCellMar>
        </w:tblPrEx>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序号</w:t>
            </w:r>
          </w:p>
        </w:tc>
        <w:tc>
          <w:tcPr>
            <w:tcW w:w="2835" w:type="dxa"/>
            <w:tcBorders>
              <w:top w:val="single" w:color="auto" w:sz="4" w:space="0"/>
              <w:left w:val="nil"/>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综合排名</w:t>
            </w:r>
          </w:p>
        </w:tc>
        <w:tc>
          <w:tcPr>
            <w:tcW w:w="2835" w:type="dxa"/>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rPr>
            </w:pPr>
            <w:r>
              <w:rPr>
                <w:rFonts w:hint="eastAsia" w:ascii="宋体" w:hAnsi="宋体" w:cs="宋体"/>
                <w:kern w:val="0"/>
                <w:szCs w:val="21"/>
              </w:rPr>
              <w:t>中标份额（万元，不含税）</w:t>
            </w:r>
          </w:p>
        </w:tc>
        <w:tc>
          <w:tcPr>
            <w:tcW w:w="1842" w:type="dxa"/>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第一名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70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第二名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40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第三名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30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bl>
    <w:p>
      <w:pPr>
        <w:pStyle w:val="6"/>
        <w:numPr>
          <w:ilvl w:val="0"/>
          <w:numId w:val="2"/>
        </w:numPr>
        <w:adjustRightInd w:val="0"/>
        <w:snapToGrid w:val="0"/>
        <w:spacing w:line="440" w:lineRule="exact"/>
        <w:ind w:firstLineChars="0"/>
        <w:rPr>
          <w:rFonts w:ascii="宋体" w:hAnsi="宋体"/>
          <w:vanish/>
          <w:szCs w:val="21"/>
        </w:rPr>
      </w:pPr>
    </w:p>
    <w:p>
      <w:pPr>
        <w:pStyle w:val="6"/>
        <w:numPr>
          <w:ilvl w:val="1"/>
          <w:numId w:val="2"/>
        </w:numPr>
        <w:adjustRightInd w:val="0"/>
        <w:snapToGrid w:val="0"/>
        <w:spacing w:line="440" w:lineRule="exact"/>
        <w:ind w:firstLineChars="0"/>
        <w:rPr>
          <w:rFonts w:ascii="宋体" w:hAnsi="宋体"/>
          <w:vanish/>
          <w:szCs w:val="21"/>
        </w:rPr>
      </w:pPr>
    </w:p>
    <w:p>
      <w:pPr>
        <w:pStyle w:val="6"/>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本项目【设置最高投标限价，最高投标限价</w:t>
      </w:r>
      <w:r>
        <w:rPr>
          <w:rFonts w:hint="eastAsia" w:ascii="宋体" w:hAnsi="宋体" w:cs="宋体"/>
          <w:kern w:val="0"/>
          <w:szCs w:val="21"/>
        </w:rPr>
        <w:t>详见第五章技术规范书</w:t>
      </w:r>
      <w:r>
        <w:rPr>
          <w:rFonts w:hint="eastAsia" w:ascii="宋体" w:hAnsi="宋体"/>
          <w:szCs w:val="21"/>
        </w:rPr>
        <w:t>】，投标人投标报价任一项高于最高投标限价的，其投标将被否决。</w:t>
      </w: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本项目无划分标包。</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bookmarkStart w:id="0" w:name="_Hlk68788687"/>
      <w:r>
        <w:rPr>
          <w:rFonts w:hint="eastAsia" w:ascii="宋体" w:hAnsi="宋体"/>
          <w:szCs w:val="21"/>
        </w:rPr>
        <w:t>投标人应为中华人民共和国境内（不含香港、澳门、台湾地区）法律上和财务上独立的法人或其他组织，合法运作并独立于招标人和招标代理机构</w:t>
      </w:r>
      <w:r>
        <w:rPr>
          <w:rFonts w:ascii="宋体" w:hAnsi="宋体"/>
          <w:szCs w:val="21"/>
        </w:rPr>
        <w:t>。</w:t>
      </w:r>
      <w:r>
        <w:rPr>
          <w:rFonts w:hint="eastAsia" w:ascii="宋体" w:hAnsi="宋体"/>
          <w:szCs w:val="21"/>
        </w:rPr>
        <w:t>【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投标人提供自201</w:t>
      </w:r>
      <w:r>
        <w:rPr>
          <w:rFonts w:ascii="宋体" w:hAnsi="宋体"/>
          <w:color w:val="000000"/>
          <w:szCs w:val="21"/>
        </w:rPr>
        <w:t>8</w:t>
      </w:r>
      <w:r>
        <w:rPr>
          <w:rFonts w:hint="eastAsia" w:ascii="宋体" w:hAnsi="宋体"/>
          <w:color w:val="000000"/>
          <w:szCs w:val="21"/>
        </w:rPr>
        <w:t>年1月1日以来承接过广告宣传零星制作类业绩1份。</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投标人需承诺：若中标本项目，不得在履约期内就广告零星制作项目同时服务于福建省内其它通信运营商。</w:t>
      </w:r>
    </w:p>
    <w:bookmarkEnd w:id="0"/>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被依法暂停或取消投标资格的；</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在最近三年内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被相关行业主管部门或司法机关认定有骗取中标、严重违约、重大工程质量或者安全问题的；</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被判处单位行贿罪，且行贿行为与采购活动相关的（以“中国裁判文书网”的生效判决为准）；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被判处合同诈骗罪的（以“中国裁判文书网”的生效判决为准）；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被最高人民法院认定为失信被执行人的</w:t>
      </w:r>
      <w:r>
        <w:rPr>
          <w:rFonts w:ascii="宋体" w:hAnsi="宋体"/>
          <w:szCs w:val="21"/>
        </w:rPr>
        <w:t>(以“信用中国”网站（www.creditchina.gov.cn）或各级信用信息共享平台</w:t>
      </w:r>
      <w:r>
        <w:rPr>
          <w:rFonts w:hint="eastAsia" w:ascii="宋体" w:hAnsi="宋体"/>
          <w:szCs w:val="21"/>
        </w:rPr>
        <w:t>公布的</w:t>
      </w:r>
      <w:r>
        <w:rPr>
          <w:rFonts w:ascii="宋体" w:hAnsi="宋体"/>
          <w:szCs w:val="21"/>
        </w:rPr>
        <w:t>失信被执行人名单</w:t>
      </w:r>
      <w:r>
        <w:rPr>
          <w:rFonts w:hint="eastAsia" w:ascii="宋体" w:hAnsi="宋体"/>
          <w:szCs w:val="21"/>
        </w:rPr>
        <w:t>为准</w:t>
      </w:r>
      <w:r>
        <w:rPr>
          <w:rFonts w:ascii="宋体" w:hAnsi="宋体"/>
          <w:szCs w:val="21"/>
        </w:rPr>
        <w:t>)</w:t>
      </w:r>
      <w:r>
        <w:rPr>
          <w:rFonts w:hint="eastAsia" w:ascii="宋体" w:hAnsi="宋体"/>
          <w:szCs w:val="21"/>
        </w:rPr>
        <w:t>，已执行完毕或不再执行的除外</w:t>
      </w:r>
      <w:r>
        <w:rPr>
          <w:rFonts w:ascii="宋体" w:hAnsi="宋体"/>
          <w:szCs w:val="21"/>
        </w:rPr>
        <w:t>；</w:t>
      </w:r>
    </w:p>
    <w:p>
      <w:pPr>
        <w:numPr>
          <w:ilvl w:val="0"/>
          <w:numId w:val="3"/>
        </w:numPr>
        <w:tabs>
          <w:tab w:val="left" w:pos="0"/>
          <w:tab w:val="left" w:pos="567"/>
          <w:tab w:val="left" w:pos="2564"/>
        </w:tabs>
        <w:spacing w:line="440" w:lineRule="exact"/>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adjustRightInd w:val="0"/>
        <w:snapToGrid w:val="0"/>
        <w:spacing w:line="440" w:lineRule="exac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w:t>
      </w:r>
      <w:r>
        <w:rPr>
          <w:rFonts w:hint="eastAsia" w:ascii="宋体" w:hAnsi="宋体"/>
          <w:szCs w:val="21"/>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15</w:t>
      </w:r>
      <w:r>
        <w:rPr>
          <w:rFonts w:hint="eastAsia" w:ascii="宋体" w:hAnsi="宋体"/>
          <w:color w:val="FF0000"/>
          <w:szCs w:val="21"/>
        </w:rPr>
        <w:t>日</w:t>
      </w:r>
      <w:r>
        <w:rPr>
          <w:rFonts w:ascii="宋体" w:hAnsi="宋体"/>
          <w:color w:val="FF0000"/>
          <w:szCs w:val="21"/>
        </w:rPr>
        <w:t>8</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分至</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20</w:t>
      </w:r>
      <w:r>
        <w:rPr>
          <w:rFonts w:hint="eastAsia" w:ascii="宋体" w:hAnsi="宋体"/>
          <w:color w:val="FF0000"/>
          <w:szCs w:val="21"/>
        </w:rPr>
        <w:t>日</w:t>
      </w:r>
      <w:r>
        <w:rPr>
          <w:rFonts w:ascii="宋体" w:hAnsi="宋体"/>
          <w:color w:val="FF0000"/>
          <w:szCs w:val="21"/>
        </w:rPr>
        <w:t>17</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5"/>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ascii="宋体" w:hAnsi="宋体"/>
          <w:color w:val="FF0000"/>
          <w:szCs w:val="21"/>
        </w:rPr>
        <w:t>2021</w:t>
      </w:r>
      <w:r>
        <w:rPr>
          <w:rFonts w:hint="eastAsia" w:ascii="宋体" w:hAnsi="宋体"/>
          <w:color w:val="FF0000"/>
          <w:szCs w:val="21"/>
        </w:rPr>
        <w:t>年</w:t>
      </w:r>
      <w:r>
        <w:rPr>
          <w:rFonts w:ascii="宋体" w:hAnsi="宋体"/>
          <w:color w:val="FF0000"/>
          <w:szCs w:val="21"/>
        </w:rPr>
        <w:t>5</w:t>
      </w:r>
      <w:r>
        <w:rPr>
          <w:rFonts w:hint="eastAsia" w:ascii="宋体" w:hAnsi="宋体"/>
          <w:color w:val="FF0000"/>
          <w:szCs w:val="21"/>
        </w:rPr>
        <w:t>月</w:t>
      </w:r>
      <w:r>
        <w:rPr>
          <w:rFonts w:ascii="宋体" w:hAnsi="宋体"/>
          <w:color w:val="FF0000"/>
          <w:szCs w:val="21"/>
        </w:rPr>
        <w:t>6</w:t>
      </w:r>
      <w:r>
        <w:rPr>
          <w:rFonts w:hint="eastAsia" w:ascii="宋体" w:hAnsi="宋体"/>
          <w:color w:val="FF0000"/>
          <w:szCs w:val="21"/>
        </w:rPr>
        <w:t>日</w:t>
      </w:r>
      <w:r>
        <w:rPr>
          <w:rFonts w:ascii="宋体" w:hAnsi="宋体"/>
          <w:color w:val="FF0000"/>
          <w:szCs w:val="21"/>
        </w:rPr>
        <w:t>9</w:t>
      </w:r>
      <w:r>
        <w:rPr>
          <w:rFonts w:hint="eastAsia" w:ascii="宋体" w:hAnsi="宋体"/>
          <w:color w:val="FF0000"/>
          <w:szCs w:val="21"/>
        </w:rPr>
        <w:t>时</w:t>
      </w:r>
      <w:r>
        <w:rPr>
          <w:rFonts w:ascii="宋体" w:hAnsi="宋体"/>
          <w:color w:val="FF0000"/>
          <w:szCs w:val="21"/>
        </w:rPr>
        <w:t>00</w:t>
      </w:r>
      <w:r>
        <w:rPr>
          <w:rFonts w:hint="eastAsia" w:ascii="宋体" w:hAnsi="宋体"/>
          <w:color w:val="FF0000"/>
          <w:szCs w:val="21"/>
        </w:rPr>
        <w:t>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szCs w:val="21"/>
        </w:rPr>
        <w:t>福建省福州市仓山区信平路1</w:t>
      </w:r>
      <w:r>
        <w:rPr>
          <w:rFonts w:ascii="宋体" w:hAnsi="宋体"/>
          <w:color w:val="FF0000"/>
          <w:szCs w:val="21"/>
        </w:rPr>
        <w:t>0</w:t>
      </w:r>
      <w:r>
        <w:rPr>
          <w:rFonts w:hint="eastAsia" w:ascii="宋体" w:hAnsi="宋体"/>
          <w:color w:val="FF0000"/>
          <w:szCs w:val="21"/>
        </w:rPr>
        <w:t>号福建省中通通信物流有限公司6楼第</w:t>
      </w:r>
      <w:r>
        <w:rPr>
          <w:rFonts w:hint="eastAsia" w:ascii="宋体" w:hAnsi="宋体"/>
          <w:color w:val="FF0000"/>
          <w:szCs w:val="21"/>
          <w:lang w:val="en-US" w:eastAsia="zh-CN"/>
        </w:rPr>
        <w:t>二</w:t>
      </w:r>
      <w:bookmarkStart w:id="1" w:name="_GoBack"/>
      <w:bookmarkEnd w:id="1"/>
      <w:r>
        <w:rPr>
          <w:rFonts w:hint="eastAsia" w:ascii="宋体" w:hAnsi="宋体"/>
          <w:color w:val="FF0000"/>
          <w:szCs w:val="21"/>
        </w:rPr>
        <w:t>会议室</w:t>
      </w:r>
      <w:r>
        <w:rPr>
          <w:rFonts w:hint="eastAsia" w:ascii="宋体" w:hAnsi="宋体"/>
        </w:rPr>
        <w:t>】。</w:t>
      </w:r>
    </w:p>
    <w:p>
      <w:pPr>
        <w:adjustRightInd w:val="0"/>
        <w:snapToGrid w:val="0"/>
        <w:spacing w:line="440" w:lineRule="exact"/>
        <w:ind w:firstLine="420" w:firstLineChars="200"/>
        <w:rPr>
          <w:rFonts w:ascii="宋体" w:hAnsi="宋体"/>
          <w:szCs w:val="21"/>
        </w:rPr>
      </w:pPr>
      <w:r>
        <w:rPr>
          <w:rFonts w:hint="eastAsia"/>
          <w:color w:val="FF0000"/>
        </w:rPr>
        <w:t>本项目不强制投标人递交不加密的投标文件和纸质投标文件，但投标人在投标截止时间前未递交不加密投标文件、纸质投标文件的，将会失去补救机会</w:t>
      </w:r>
      <w:r>
        <w:rPr>
          <w:rFonts w:hint="eastAsia"/>
        </w:rPr>
        <w:t>（补救规则详见公告5.3）。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5"/>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6"/>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6"/>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4"/>
          <w:rFonts w:hint="eastAsia" w:ascii="宋体" w:hAnsi="宋体"/>
        </w:rPr>
        <w:t>http://trade.chinatelecom.com.cn/TPFrame</w:t>
      </w:r>
      <w:r>
        <w:rPr>
          <w:rStyle w:val="4"/>
          <w:rFonts w:hint="eastAsia"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ind w:firstLine="420" w:firstLineChars="200"/>
        <w:rPr>
          <w:rFonts w:ascii="宋体" w:hAnsi="宋体"/>
        </w:rPr>
      </w:pPr>
      <w:r>
        <w:rPr>
          <w:rFonts w:hint="eastAsia" w:ascii="宋体" w:hAnsi="宋体"/>
        </w:rPr>
        <w:t>招标人：</w:t>
      </w:r>
      <w:r>
        <w:rPr>
          <w:rFonts w:hint="eastAsia" w:ascii="宋体" w:hAnsi="宋体"/>
          <w:u w:val="single"/>
        </w:rPr>
        <w:t>【中国电信股份有限公司泉州分公司】</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联 系 人：</w:t>
      </w:r>
      <w:r>
        <w:rPr>
          <w:rFonts w:hint="eastAsia" w:ascii="宋体" w:hAnsi="宋体"/>
          <w:u w:val="single"/>
        </w:rPr>
        <w:t>【黄先生】</w:t>
      </w:r>
    </w:p>
    <w:p>
      <w:pPr>
        <w:spacing w:line="400" w:lineRule="exact"/>
        <w:ind w:firstLine="420" w:firstLineChars="200"/>
        <w:rPr>
          <w:rFonts w:ascii="宋体" w:hAnsi="宋体"/>
        </w:rPr>
      </w:pPr>
      <w:r>
        <w:rPr>
          <w:rFonts w:hint="eastAsia" w:ascii="宋体" w:hAnsi="宋体"/>
        </w:rPr>
        <w:t>电    话：【</w:t>
      </w:r>
      <w:r>
        <w:t>0595</w:t>
      </w:r>
      <w:r>
        <w:rPr>
          <w:rFonts w:hint="eastAsia"/>
        </w:rPr>
        <w:t>-</w:t>
      </w:r>
      <w:r>
        <w:t>28056798</w:t>
      </w:r>
      <w:r>
        <w:rPr>
          <w:rFonts w:hint="eastAsia" w:ascii="宋体" w:hAnsi="宋体"/>
        </w:rPr>
        <w:t>】</w:t>
      </w:r>
    </w:p>
    <w:p>
      <w:pPr>
        <w:spacing w:line="400" w:lineRule="exact"/>
        <w:ind w:firstLine="420" w:firstLineChars="200"/>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异议电话：【1</w:t>
      </w:r>
      <w:r>
        <w:rPr>
          <w:rFonts w:ascii="宋体" w:hAnsi="宋体"/>
        </w:rPr>
        <w:t>8959854123</w:t>
      </w:r>
      <w:r>
        <w:rPr>
          <w:rFonts w:hint="eastAsia" w:ascii="宋体" w:hAnsi="宋体"/>
        </w:rPr>
        <w:t>】</w:t>
      </w:r>
    </w:p>
    <w:p>
      <w:pPr>
        <w:spacing w:line="400" w:lineRule="exact"/>
        <w:ind w:firstLine="420" w:firstLineChars="200"/>
        <w:rPr>
          <w:rFonts w:ascii="宋体" w:hAnsi="宋体"/>
        </w:rPr>
      </w:pPr>
      <w:r>
        <w:rPr>
          <w:rFonts w:hint="eastAsia" w:ascii="宋体" w:hAnsi="宋体"/>
        </w:rPr>
        <w:t>异议接收邮箱：【</w:t>
      </w:r>
      <w:r>
        <w:rPr>
          <w:rFonts w:ascii="宋体" w:hAnsi="宋体"/>
        </w:rPr>
        <w:t>wujintuo@chinaccs.cn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jc w:val="right"/>
      </w:pPr>
      <w:r>
        <w:rPr>
          <w:rFonts w:hint="eastAsia" w:ascii="宋体" w:hAnsi="宋体"/>
          <w:szCs w:val="21"/>
        </w:rPr>
        <w:t>【</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14</w:t>
      </w:r>
      <w:r>
        <w:rPr>
          <w:rFonts w:hint="eastAsia" w:ascii="宋体" w:hAnsi="宋体"/>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1738E"/>
    <w:multiLevelType w:val="multilevel"/>
    <w:tmpl w:val="0D11738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DD"/>
    <w:rsid w:val="003F71AD"/>
    <w:rsid w:val="006F5ADD"/>
    <w:rsid w:val="00E23829"/>
    <w:rsid w:val="34B51BA7"/>
    <w:rsid w:val="6ADF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character" w:styleId="5">
    <w:name w:val="annotation reference"/>
    <w:qFormat/>
    <w:uiPriority w:val="99"/>
    <w:rPr>
      <w:sz w:val="21"/>
      <w:szCs w:val="21"/>
    </w:rPr>
  </w:style>
  <w:style w:type="paragraph" w:styleId="6">
    <w:name w:val="List Paragraph"/>
    <w:basedOn w:val="1"/>
    <w:link w:val="7"/>
    <w:unhideWhenUsed/>
    <w:qFormat/>
    <w:uiPriority w:val="34"/>
    <w:pPr>
      <w:ind w:firstLine="420" w:firstLineChars="200"/>
    </w:pPr>
  </w:style>
  <w:style w:type="character" w:customStyle="1" w:styleId="7">
    <w:name w:val="列表段落 字符1"/>
    <w:link w:val="6"/>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841</Words>
  <Characters>4796</Characters>
  <Lines>39</Lines>
  <Paragraphs>11</Paragraphs>
  <TotalTime>1</TotalTime>
  <ScaleCrop>false</ScaleCrop>
  <LinksUpToDate>false</LinksUpToDate>
  <CharactersWithSpaces>5626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W</dc:creator>
  <cp:lastModifiedBy>dell</cp:lastModifiedBy>
  <dcterms:modified xsi:type="dcterms:W3CDTF">2021-04-14T07:06:45Z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0808622E93AD47619F7960E0A760D312</vt:lpwstr>
  </property>
</Properties>
</file>